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png" ContentType="image/png"/>
  <Default Extension="emf" ContentType="image/x-e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firstLine="2" w:firstLineChars="1"/>
        <w:jc w:val="center"/>
        <w:rPr>
          <w:rFonts w:eastAsia="黑体"/>
          <w:b/>
          <w:bCs/>
          <w:sz w:val="24"/>
          <w:szCs w:val="24"/>
        </w:rPr>
      </w:pPr>
      <w:r>
        <w:rPr>
          <w:rFonts w:eastAsia="黑体"/>
          <w:b/>
          <w:bCs/>
          <w:sz w:val="24"/>
          <w:szCs w:val="24"/>
        </w:rPr>
        <w:t xml:space="preserve">                                         </w:t>
      </w:r>
      <w:r>
        <w:rPr>
          <w:rFonts w:hint="eastAsia" w:eastAsia="黑体"/>
          <w:b/>
          <w:bCs/>
          <w:sz w:val="24"/>
          <w:szCs w:val="24"/>
        </w:rPr>
        <w:t xml:space="preserve"> </w:t>
      </w:r>
      <w:r>
        <w:rPr>
          <w:rFonts w:eastAsia="黑体"/>
          <w:b/>
          <w:bCs/>
          <w:sz w:val="24"/>
          <w:szCs w:val="24"/>
        </w:rPr>
        <w:t>预案编号：</w:t>
      </w:r>
    </w:p>
    <w:p>
      <w:pPr>
        <w:ind w:firstLine="2" w:firstLineChars="1"/>
        <w:rPr>
          <w:rFonts w:eastAsia="黑体"/>
          <w:b/>
          <w:bCs/>
          <w:sz w:val="24"/>
          <w:szCs w:val="24"/>
        </w:rPr>
      </w:pPr>
      <w:r>
        <w:rPr>
          <w:rFonts w:eastAsia="黑体"/>
          <w:b/>
          <w:bCs/>
          <w:sz w:val="24"/>
          <w:szCs w:val="24"/>
        </w:rPr>
        <w:t xml:space="preserve">                                                  </w:t>
      </w:r>
      <w:r>
        <w:rPr>
          <w:rFonts w:hint="eastAsia" w:eastAsia="黑体"/>
          <w:b/>
          <w:bCs/>
          <w:sz w:val="24"/>
          <w:szCs w:val="24"/>
        </w:rPr>
        <w:t xml:space="preserve">     </w:t>
      </w:r>
      <w:r>
        <w:rPr>
          <w:rFonts w:eastAsia="黑体"/>
          <w:b/>
          <w:bCs/>
          <w:sz w:val="24"/>
          <w:szCs w:val="24"/>
        </w:rPr>
        <w:t>预案版本：</w:t>
      </w:r>
      <w:r>
        <w:rPr>
          <w:rFonts w:hint="eastAsia" w:eastAsia="黑体"/>
          <w:b/>
          <w:bCs/>
          <w:sz w:val="24"/>
          <w:szCs w:val="24"/>
        </w:rPr>
        <w:t>201</w:t>
      </w:r>
      <w:r>
        <w:rPr>
          <w:rFonts w:hint="eastAsia" w:eastAsia="黑体"/>
          <w:b/>
          <w:bCs/>
          <w:sz w:val="24"/>
          <w:szCs w:val="24"/>
          <w:lang w:val="en-US" w:eastAsia="zh-CN"/>
        </w:rPr>
        <w:t>9</w:t>
      </w:r>
      <w:r>
        <w:rPr>
          <w:rFonts w:hint="eastAsia" w:eastAsia="黑体"/>
          <w:b/>
          <w:bCs/>
          <w:sz w:val="24"/>
          <w:szCs w:val="24"/>
        </w:rPr>
        <w:t>年修订版</w:t>
      </w:r>
    </w:p>
    <w:p>
      <w:pPr>
        <w:ind w:firstLine="5" w:firstLineChars="1"/>
        <w:rPr>
          <w:rFonts w:eastAsia="黑体"/>
          <w:b/>
          <w:bCs/>
          <w:sz w:val="52"/>
          <w:szCs w:val="52"/>
        </w:rPr>
      </w:pPr>
    </w:p>
    <w:p>
      <w:pPr>
        <w:spacing w:line="1000" w:lineRule="exact"/>
        <w:ind w:firstLine="5" w:firstLineChars="1"/>
        <w:jc w:val="center"/>
        <w:rPr>
          <w:rFonts w:hint="eastAsia" w:eastAsia="黑体"/>
          <w:b/>
          <w:bCs/>
          <w:sz w:val="52"/>
          <w:szCs w:val="52"/>
          <w:lang w:eastAsia="zh-CN"/>
        </w:rPr>
      </w:pPr>
      <w:r>
        <w:rPr>
          <w:rFonts w:hint="eastAsia" w:eastAsia="黑体"/>
          <w:b/>
          <w:bCs/>
          <w:sz w:val="52"/>
          <w:szCs w:val="52"/>
          <w:lang w:eastAsia="zh-CN"/>
        </w:rPr>
        <w:t>中山市民东有机废物处理有限公司</w:t>
      </w:r>
    </w:p>
    <w:p>
      <w:pPr>
        <w:spacing w:line="1000" w:lineRule="exact"/>
        <w:ind w:firstLine="5" w:firstLineChars="1"/>
        <w:jc w:val="center"/>
        <w:rPr>
          <w:rFonts w:eastAsia="黑体"/>
          <w:b/>
          <w:bCs/>
          <w:sz w:val="52"/>
          <w:szCs w:val="52"/>
        </w:rPr>
      </w:pPr>
      <w:r>
        <w:rPr>
          <w:rFonts w:eastAsia="黑体"/>
          <w:b/>
          <w:bCs/>
          <w:sz w:val="52"/>
          <w:szCs w:val="52"/>
        </w:rPr>
        <w:t>突发环境事件应急预案</w:t>
      </w:r>
    </w:p>
    <w:p>
      <w:pPr>
        <w:spacing w:line="1000" w:lineRule="exact"/>
        <w:ind w:firstLine="5" w:firstLineChars="1"/>
        <w:jc w:val="center"/>
        <w:rPr>
          <w:rFonts w:hint="eastAsia" w:eastAsia="黑体"/>
          <w:b/>
          <w:bCs/>
          <w:sz w:val="52"/>
          <w:szCs w:val="52"/>
          <w:lang w:eastAsia="zh-CN"/>
        </w:rPr>
      </w:pPr>
      <w:r>
        <w:rPr>
          <w:rFonts w:hint="eastAsia" w:eastAsia="黑体"/>
          <w:b/>
          <w:bCs/>
          <w:sz w:val="52"/>
          <w:szCs w:val="52"/>
          <w:lang w:eastAsia="zh-CN"/>
        </w:rPr>
        <w:t>（修订版）</w:t>
      </w:r>
    </w:p>
    <w:p>
      <w:pPr>
        <w:spacing w:line="600" w:lineRule="exact"/>
        <w:ind w:firstLine="2" w:firstLineChars="1"/>
        <w:rPr>
          <w:rFonts w:eastAsia="黑体"/>
          <w:b/>
          <w:sz w:val="32"/>
        </w:rPr>
      </w:pPr>
      <w:r>
        <w:drawing>
          <wp:anchor distT="0" distB="0" distL="114300" distR="114300" simplePos="0" relativeHeight="2127899648" behindDoc="0" locked="0" layoutInCell="1" allowOverlap="1">
            <wp:simplePos x="0" y="0"/>
            <wp:positionH relativeFrom="column">
              <wp:posOffset>13970</wp:posOffset>
            </wp:positionH>
            <wp:positionV relativeFrom="paragraph">
              <wp:posOffset>399415</wp:posOffset>
            </wp:positionV>
            <wp:extent cx="5753100" cy="3962400"/>
            <wp:effectExtent l="0" t="0" r="0" b="0"/>
            <wp:wrapNone/>
            <wp:docPr id="3" name="图片 6480" descr="民东污泥处理项目鸟瞰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6480" descr="民东污泥处理项目鸟瞰图"/>
                    <pic:cNvPicPr>
                      <a:picLocks noChangeAspect="1"/>
                    </pic:cNvPicPr>
                  </pic:nvPicPr>
                  <pic:blipFill>
                    <a:blip r:embed="rId20"/>
                    <a:stretch>
                      <a:fillRect/>
                    </a:stretch>
                  </pic:blipFill>
                  <pic:spPr>
                    <a:xfrm>
                      <a:off x="0" y="0"/>
                      <a:ext cx="5753100" cy="3962400"/>
                    </a:xfrm>
                    <a:prstGeom prst="rect">
                      <a:avLst/>
                    </a:prstGeom>
                    <a:noFill/>
                    <a:ln>
                      <a:noFill/>
                    </a:ln>
                  </pic:spPr>
                </pic:pic>
              </a:graphicData>
            </a:graphic>
          </wp:anchor>
        </w:drawing>
      </w:r>
    </w:p>
    <w:p>
      <w:pPr>
        <w:spacing w:line="600" w:lineRule="exact"/>
        <w:ind w:firstLine="3" w:firstLineChars="1"/>
        <w:rPr>
          <w:rFonts w:eastAsia="黑体"/>
          <w:b/>
          <w:sz w:val="32"/>
        </w:rPr>
      </w:pPr>
    </w:p>
    <w:p>
      <w:pPr>
        <w:ind w:firstLine="3" w:firstLineChars="1"/>
        <w:rPr>
          <w:rFonts w:eastAsia="黑体"/>
          <w:b/>
          <w:sz w:val="32"/>
        </w:rPr>
      </w:pPr>
    </w:p>
    <w:p>
      <w:pPr>
        <w:ind w:firstLine="3" w:firstLineChars="1"/>
        <w:rPr>
          <w:rFonts w:eastAsia="黑体"/>
          <w:b/>
          <w:sz w:val="32"/>
        </w:rPr>
      </w:pPr>
    </w:p>
    <w:p>
      <w:pPr>
        <w:ind w:firstLine="3" w:firstLineChars="1"/>
        <w:rPr>
          <w:rFonts w:eastAsia="黑体"/>
          <w:b/>
          <w:sz w:val="32"/>
        </w:rPr>
      </w:pPr>
    </w:p>
    <w:p>
      <w:pPr>
        <w:ind w:firstLine="3" w:firstLineChars="1"/>
        <w:rPr>
          <w:rFonts w:eastAsia="黑体"/>
          <w:b/>
          <w:sz w:val="32"/>
        </w:rPr>
      </w:pPr>
    </w:p>
    <w:p>
      <w:pPr>
        <w:ind w:firstLine="3" w:firstLineChars="1"/>
        <w:rPr>
          <w:rFonts w:eastAsia="黑体"/>
          <w:b/>
          <w:sz w:val="32"/>
        </w:rPr>
      </w:pPr>
    </w:p>
    <w:p>
      <w:pPr>
        <w:ind w:firstLine="3" w:firstLineChars="1"/>
        <w:rPr>
          <w:rFonts w:eastAsia="黑体"/>
          <w:b/>
          <w:sz w:val="32"/>
        </w:rPr>
      </w:pPr>
    </w:p>
    <w:p>
      <w:pPr>
        <w:rPr>
          <w:rFonts w:eastAsia="黑体"/>
          <w:b/>
          <w:sz w:val="32"/>
        </w:rPr>
      </w:pPr>
    </w:p>
    <w:p>
      <w:pPr>
        <w:rPr>
          <w:rFonts w:eastAsia="黑体"/>
          <w:b/>
          <w:sz w:val="32"/>
        </w:rPr>
      </w:pPr>
    </w:p>
    <w:p>
      <w:pPr>
        <w:ind w:firstLine="3" w:firstLineChars="1"/>
        <w:rPr>
          <w:rFonts w:eastAsia="黑体"/>
          <w:b/>
          <w:sz w:val="32"/>
        </w:rPr>
      </w:pPr>
    </w:p>
    <w:p>
      <w:pPr>
        <w:spacing w:line="600" w:lineRule="exact"/>
        <w:ind w:firstLine="1735" w:firstLineChars="547"/>
        <w:jc w:val="left"/>
        <w:rPr>
          <w:rFonts w:eastAsia="黑体"/>
          <w:b/>
          <w:bCs/>
          <w:sz w:val="32"/>
        </w:rPr>
      </w:pPr>
    </w:p>
    <w:p>
      <w:pPr>
        <w:spacing w:line="600" w:lineRule="exact"/>
        <w:ind w:firstLine="1735" w:firstLineChars="547"/>
        <w:jc w:val="left"/>
        <w:rPr>
          <w:rFonts w:eastAsia="黑体"/>
          <w:b/>
          <w:bCs/>
          <w:sz w:val="32"/>
        </w:rPr>
      </w:pPr>
    </w:p>
    <w:p>
      <w:pPr>
        <w:spacing w:line="600" w:lineRule="exact"/>
        <w:ind w:firstLine="1735" w:firstLineChars="547"/>
        <w:jc w:val="left"/>
        <w:rPr>
          <w:rFonts w:hint="eastAsia" w:eastAsia="黑体"/>
          <w:b/>
          <w:sz w:val="32"/>
          <w:lang w:eastAsia="zh-CN"/>
        </w:rPr>
      </w:pPr>
      <w:r>
        <w:rPr>
          <w:rFonts w:eastAsia="黑体"/>
          <w:b/>
          <w:bCs/>
          <w:sz w:val="32"/>
        </w:rPr>
        <w:t>编制单位：</w:t>
      </w:r>
      <w:r>
        <w:rPr>
          <w:rFonts w:hint="eastAsia" w:eastAsia="黑体"/>
          <w:b/>
          <w:bCs/>
          <w:sz w:val="32"/>
          <w:lang w:eastAsia="zh-CN"/>
        </w:rPr>
        <w:t>中山市民东有机废物处理有限公司</w:t>
      </w:r>
    </w:p>
    <w:p>
      <w:pPr>
        <w:pStyle w:val="23"/>
        <w:spacing w:line="600" w:lineRule="exact"/>
        <w:ind w:left="0" w:leftChars="0"/>
        <w:jc w:val="center"/>
        <w:rPr>
          <w:rFonts w:ascii="Times New Roman" w:hAnsi="Times New Roman" w:eastAsia="黑体"/>
          <w:b/>
          <w:bCs w:val="0"/>
          <w:sz w:val="32"/>
        </w:rPr>
      </w:pPr>
      <w:r>
        <w:rPr>
          <w:rFonts w:hint="eastAsia" w:ascii="Times New Roman" w:eastAsia="黑体"/>
          <w:b/>
          <w:bCs w:val="0"/>
          <w:sz w:val="32"/>
        </w:rPr>
        <w:t>实施日期</w:t>
      </w:r>
      <w:r>
        <w:rPr>
          <w:rFonts w:ascii="Times New Roman" w:eastAsia="黑体"/>
          <w:b/>
          <w:bCs w:val="0"/>
          <w:sz w:val="32"/>
        </w:rPr>
        <w:t>：</w:t>
      </w:r>
      <w:r>
        <w:rPr>
          <w:rFonts w:ascii="Times New Roman" w:hAnsi="Times New Roman" w:eastAsia="黑体"/>
          <w:b/>
          <w:bCs w:val="0"/>
          <w:sz w:val="32"/>
        </w:rPr>
        <w:t>2019</w:t>
      </w:r>
      <w:r>
        <w:rPr>
          <w:rFonts w:ascii="Times New Roman" w:eastAsia="黑体"/>
          <w:b/>
          <w:bCs w:val="0"/>
          <w:sz w:val="32"/>
        </w:rPr>
        <w:t>年</w:t>
      </w:r>
      <w:r>
        <w:rPr>
          <w:rFonts w:hint="eastAsia" w:ascii="Times New Roman" w:hAnsi="Times New Roman" w:eastAsia="黑体"/>
          <w:b/>
          <w:bCs w:val="0"/>
          <w:sz w:val="32"/>
          <w:lang w:val="en-US" w:eastAsia="zh-CN"/>
        </w:rPr>
        <w:t>7</w:t>
      </w:r>
      <w:r>
        <w:rPr>
          <w:rFonts w:ascii="Times New Roman" w:eastAsia="黑体"/>
          <w:b/>
          <w:bCs w:val="0"/>
          <w:sz w:val="32"/>
        </w:rPr>
        <w:t>月</w:t>
      </w:r>
    </w:p>
    <w:p>
      <w:pPr>
        <w:pStyle w:val="136"/>
        <w:spacing w:line="360" w:lineRule="auto"/>
        <w:ind w:firstLine="560" w:firstLineChars="200"/>
        <w:jc w:val="both"/>
        <w:rPr>
          <w:rFonts w:hint="eastAsia" w:ascii="Times New Roman" w:hAnsi="Times New Roman" w:cs="Times New Roman"/>
          <w:color w:val="auto"/>
          <w:sz w:val="28"/>
          <w:szCs w:val="28"/>
          <w:lang w:eastAsia="zh-CN"/>
        </w:rPr>
      </w:pPr>
    </w:p>
    <w:p>
      <w:pPr>
        <w:pStyle w:val="136"/>
        <w:spacing w:line="360" w:lineRule="auto"/>
        <w:jc w:val="center"/>
        <w:rPr>
          <w:rFonts w:ascii="Times New Roman" w:hAnsi="Times New Roman" w:cs="Times New Roman"/>
          <w:b/>
          <w:bCs/>
          <w:color w:val="auto"/>
          <w:sz w:val="28"/>
          <w:szCs w:val="28"/>
        </w:rPr>
      </w:pPr>
      <w:r>
        <w:rPr>
          <w:rFonts w:hint="eastAsia" w:ascii="Times New Roman" w:hAnsi="Times New Roman" w:cs="Times New Roman"/>
          <w:b/>
          <w:bCs/>
          <w:color w:val="auto"/>
          <w:sz w:val="28"/>
          <w:szCs w:val="28"/>
          <w:lang w:eastAsia="zh-CN"/>
        </w:rPr>
        <w:t>中山市民东有机废物处理有限公司</w:t>
      </w:r>
      <w:r>
        <w:rPr>
          <w:rFonts w:ascii="Times New Roman" w:hAnsi="Times New Roman" w:cs="Times New Roman"/>
          <w:b/>
          <w:bCs/>
          <w:color w:val="auto"/>
          <w:sz w:val="28"/>
          <w:szCs w:val="28"/>
        </w:rPr>
        <w:t>突发环境事件</w:t>
      </w:r>
    </w:p>
    <w:p>
      <w:pPr>
        <w:pStyle w:val="136"/>
        <w:spacing w:line="360" w:lineRule="auto"/>
        <w:jc w:val="center"/>
        <w:rPr>
          <w:rFonts w:ascii="Times New Roman" w:hAnsi="Times New Roman" w:cs="Times New Roman"/>
          <w:b/>
          <w:bCs/>
          <w:color w:val="auto"/>
          <w:sz w:val="32"/>
          <w:szCs w:val="32"/>
        </w:rPr>
      </w:pPr>
      <w:r>
        <w:rPr>
          <w:rFonts w:ascii="Times New Roman" w:hAnsi="Times New Roman" w:cs="Times New Roman"/>
          <w:b/>
          <w:bCs/>
          <w:color w:val="auto"/>
          <w:sz w:val="28"/>
          <w:szCs w:val="28"/>
        </w:rPr>
        <w:t>应急预案编制组成员名单：</w:t>
      </w:r>
    </w:p>
    <w:tbl>
      <w:tblPr>
        <w:tblStyle w:val="42"/>
        <w:tblW w:w="8140"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25"/>
        <w:gridCol w:w="2968"/>
        <w:gridCol w:w="284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20" w:hRule="atLeast"/>
          <w:jc w:val="center"/>
        </w:trPr>
        <w:tc>
          <w:tcPr>
            <w:tcW w:w="2325" w:type="dxa"/>
            <w:vAlign w:val="center"/>
          </w:tcPr>
          <w:p>
            <w:pPr>
              <w:pStyle w:val="136"/>
              <w:jc w:val="center"/>
              <w:rPr>
                <w:rFonts w:ascii="Times New Roman" w:hAnsi="Times New Roman" w:eastAsia="宋体" w:cs="Times New Roman"/>
                <w:b/>
                <w:bCs/>
                <w:color w:val="auto"/>
              </w:rPr>
            </w:pPr>
            <w:r>
              <w:rPr>
                <w:rFonts w:ascii="Times New Roman" w:hAnsi="Times New Roman" w:eastAsia="宋体" w:cs="Times New Roman"/>
                <w:b/>
                <w:bCs/>
                <w:color w:val="auto"/>
              </w:rPr>
              <w:t>姓名</w:t>
            </w:r>
          </w:p>
        </w:tc>
        <w:tc>
          <w:tcPr>
            <w:tcW w:w="2968" w:type="dxa"/>
            <w:vAlign w:val="center"/>
          </w:tcPr>
          <w:p>
            <w:pPr>
              <w:pStyle w:val="136"/>
              <w:jc w:val="center"/>
              <w:rPr>
                <w:rFonts w:ascii="Times New Roman" w:hAnsi="Times New Roman" w:eastAsia="宋体" w:cs="Times New Roman"/>
                <w:b/>
                <w:bCs/>
                <w:color w:val="auto"/>
              </w:rPr>
            </w:pPr>
            <w:r>
              <w:rPr>
                <w:rFonts w:ascii="Times New Roman" w:hAnsi="Times New Roman" w:eastAsia="宋体" w:cs="Times New Roman"/>
                <w:b/>
                <w:bCs/>
                <w:color w:val="auto"/>
              </w:rPr>
              <w:t>职务或职称</w:t>
            </w:r>
          </w:p>
        </w:tc>
        <w:tc>
          <w:tcPr>
            <w:tcW w:w="2847" w:type="dxa"/>
            <w:vAlign w:val="center"/>
          </w:tcPr>
          <w:p>
            <w:pPr>
              <w:pStyle w:val="136"/>
              <w:jc w:val="center"/>
              <w:rPr>
                <w:rFonts w:ascii="Times New Roman" w:hAnsi="Times New Roman" w:eastAsia="宋体" w:cs="Times New Roman"/>
                <w:b/>
                <w:bCs/>
                <w:color w:val="auto"/>
              </w:rPr>
            </w:pPr>
            <w:r>
              <w:rPr>
                <w:rFonts w:ascii="Times New Roman" w:hAnsi="Times New Roman" w:eastAsia="宋体" w:cs="Times New Roman"/>
                <w:b/>
                <w:bCs/>
                <w:color w:val="auto"/>
              </w:rPr>
              <w:t>签名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43" w:hRule="atLeast"/>
          <w:jc w:val="center"/>
        </w:trPr>
        <w:tc>
          <w:tcPr>
            <w:tcW w:w="2325" w:type="dxa"/>
            <w:vAlign w:val="center"/>
          </w:tcPr>
          <w:p>
            <w:pPr>
              <w:pStyle w:val="136"/>
              <w:jc w:val="center"/>
              <w:rPr>
                <w:rFonts w:hint="eastAsia" w:ascii="Times New Roman" w:hAnsi="Times New Roman" w:eastAsia="宋体" w:cs="Times New Roman"/>
                <w:b/>
                <w:bCs/>
                <w:color w:val="auto"/>
                <w:sz w:val="28"/>
                <w:szCs w:val="28"/>
              </w:rPr>
            </w:pPr>
            <w:r>
              <w:rPr>
                <w:rFonts w:hint="eastAsia" w:ascii="Times New Roman" w:hAnsi="Times New Roman" w:eastAsia="宋体" w:cs="Times New Roman"/>
                <w:b/>
                <w:bCs/>
                <w:color w:val="auto"/>
                <w:sz w:val="28"/>
                <w:szCs w:val="28"/>
              </w:rPr>
              <w:t>黄南平</w:t>
            </w:r>
          </w:p>
        </w:tc>
        <w:tc>
          <w:tcPr>
            <w:tcW w:w="2968" w:type="dxa"/>
            <w:vAlign w:val="center"/>
          </w:tcPr>
          <w:p>
            <w:pPr>
              <w:pStyle w:val="136"/>
              <w:jc w:val="center"/>
              <w:rPr>
                <w:rFonts w:hint="eastAsia" w:ascii="Times New Roman" w:hAnsi="Times New Roman" w:eastAsia="宋体" w:cs="Times New Roman"/>
                <w:b/>
                <w:bCs/>
                <w:color w:val="auto"/>
                <w:sz w:val="28"/>
                <w:szCs w:val="28"/>
              </w:rPr>
            </w:pPr>
          </w:p>
        </w:tc>
        <w:tc>
          <w:tcPr>
            <w:tcW w:w="2847" w:type="dxa"/>
            <w:vAlign w:val="center"/>
          </w:tcPr>
          <w:p>
            <w:pPr>
              <w:pStyle w:val="136"/>
              <w:jc w:val="center"/>
              <w:rPr>
                <w:rFonts w:hint="eastAsia" w:ascii="Times New Roman" w:hAnsi="Times New Roman" w:eastAsia="宋体" w:cs="Times New Roman"/>
                <w:b/>
                <w:bCs/>
                <w:color w:val="auto"/>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43" w:hRule="atLeast"/>
          <w:jc w:val="center"/>
        </w:trPr>
        <w:tc>
          <w:tcPr>
            <w:tcW w:w="2325" w:type="dxa"/>
            <w:vAlign w:val="center"/>
          </w:tcPr>
          <w:p>
            <w:pPr>
              <w:pStyle w:val="136"/>
              <w:jc w:val="center"/>
              <w:rPr>
                <w:rFonts w:hint="eastAsia" w:ascii="Times New Roman" w:hAnsi="Times New Roman" w:eastAsia="宋体" w:cs="Times New Roman"/>
                <w:b/>
                <w:bCs/>
                <w:color w:val="auto"/>
                <w:sz w:val="28"/>
                <w:szCs w:val="28"/>
                <w:lang w:eastAsia="zh-CN"/>
              </w:rPr>
            </w:pPr>
            <w:bookmarkStart w:id="485" w:name="_GoBack"/>
            <w:r>
              <w:rPr>
                <w:rFonts w:hint="eastAsia" w:ascii="Times New Roman" w:hAnsi="Times New Roman" w:eastAsia="宋体" w:cs="Times New Roman"/>
                <w:b/>
                <w:bCs/>
                <w:color w:val="auto"/>
                <w:sz w:val="28"/>
                <w:szCs w:val="28"/>
                <w:lang w:eastAsia="zh-CN"/>
              </w:rPr>
              <w:t>吕庆洪</w:t>
            </w:r>
            <w:bookmarkEnd w:id="485"/>
          </w:p>
        </w:tc>
        <w:tc>
          <w:tcPr>
            <w:tcW w:w="2968" w:type="dxa"/>
            <w:vAlign w:val="center"/>
          </w:tcPr>
          <w:p>
            <w:pPr>
              <w:pStyle w:val="136"/>
              <w:jc w:val="center"/>
              <w:rPr>
                <w:rFonts w:hint="eastAsia" w:ascii="Times New Roman" w:hAnsi="Times New Roman" w:eastAsia="宋体" w:cs="Times New Roman"/>
                <w:b/>
                <w:bCs/>
                <w:color w:val="auto"/>
                <w:sz w:val="28"/>
                <w:szCs w:val="28"/>
              </w:rPr>
            </w:pPr>
          </w:p>
        </w:tc>
        <w:tc>
          <w:tcPr>
            <w:tcW w:w="2847" w:type="dxa"/>
            <w:vAlign w:val="center"/>
          </w:tcPr>
          <w:p>
            <w:pPr>
              <w:pStyle w:val="136"/>
              <w:jc w:val="center"/>
              <w:rPr>
                <w:rFonts w:hint="eastAsia" w:ascii="Times New Roman" w:hAnsi="Times New Roman" w:eastAsia="宋体" w:cs="Times New Roman"/>
                <w:b/>
                <w:bCs/>
                <w:color w:val="auto"/>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65" w:hRule="atLeast"/>
          <w:jc w:val="center"/>
        </w:trPr>
        <w:tc>
          <w:tcPr>
            <w:tcW w:w="2325" w:type="dxa"/>
            <w:vAlign w:val="center"/>
          </w:tcPr>
          <w:p>
            <w:pPr>
              <w:pStyle w:val="136"/>
              <w:jc w:val="center"/>
              <w:rPr>
                <w:rFonts w:hint="eastAsia" w:ascii="Times New Roman" w:hAnsi="Times New Roman" w:eastAsia="宋体" w:cs="Times New Roman"/>
                <w:b/>
                <w:bCs/>
                <w:color w:val="auto"/>
                <w:sz w:val="28"/>
                <w:szCs w:val="28"/>
              </w:rPr>
            </w:pPr>
            <w:r>
              <w:rPr>
                <w:rFonts w:hint="eastAsia" w:ascii="Times New Roman" w:hAnsi="Times New Roman" w:eastAsia="宋体" w:cs="Times New Roman"/>
                <w:b/>
                <w:bCs/>
                <w:color w:val="auto"/>
                <w:sz w:val="28"/>
                <w:szCs w:val="28"/>
              </w:rPr>
              <w:t>魏超</w:t>
            </w:r>
          </w:p>
        </w:tc>
        <w:tc>
          <w:tcPr>
            <w:tcW w:w="2968" w:type="dxa"/>
            <w:vAlign w:val="center"/>
          </w:tcPr>
          <w:p>
            <w:pPr>
              <w:pStyle w:val="136"/>
              <w:jc w:val="center"/>
              <w:rPr>
                <w:rFonts w:hint="eastAsia" w:ascii="Times New Roman" w:hAnsi="Times New Roman" w:eastAsia="宋体" w:cs="Times New Roman"/>
                <w:b/>
                <w:bCs/>
                <w:color w:val="auto"/>
                <w:sz w:val="28"/>
                <w:szCs w:val="28"/>
              </w:rPr>
            </w:pPr>
          </w:p>
        </w:tc>
        <w:tc>
          <w:tcPr>
            <w:tcW w:w="2847" w:type="dxa"/>
            <w:vAlign w:val="center"/>
          </w:tcPr>
          <w:p>
            <w:pPr>
              <w:pStyle w:val="136"/>
              <w:jc w:val="center"/>
              <w:rPr>
                <w:rFonts w:hint="eastAsia" w:ascii="Times New Roman" w:hAnsi="Times New Roman" w:eastAsia="宋体" w:cs="Times New Roman"/>
                <w:b/>
                <w:bCs/>
                <w:color w:val="auto"/>
                <w:sz w:val="28"/>
                <w:szCs w:val="28"/>
              </w:rPr>
            </w:pPr>
          </w:p>
        </w:tc>
      </w:tr>
    </w:tbl>
    <w:p>
      <w:pPr>
        <w:spacing w:line="360" w:lineRule="auto"/>
        <w:ind w:right="640"/>
        <w:jc w:val="right"/>
        <w:rPr>
          <w:b/>
          <w:bCs/>
          <w:sz w:val="32"/>
          <w:szCs w:val="32"/>
        </w:rPr>
      </w:pPr>
      <w:r>
        <w:rPr>
          <w:b/>
          <w:bCs/>
          <w:sz w:val="32"/>
          <w:szCs w:val="32"/>
        </w:rPr>
        <w:t xml:space="preserve">    </w:t>
      </w:r>
    </w:p>
    <w:p>
      <w:pPr>
        <w:wordWrap w:val="0"/>
        <w:spacing w:line="360" w:lineRule="auto"/>
        <w:ind w:right="1272" w:firstLine="317" w:firstLineChars="100"/>
        <w:jc w:val="right"/>
        <w:rPr>
          <w:rFonts w:hint="default" w:eastAsia="宋体"/>
          <w:b/>
          <w:bCs/>
          <w:sz w:val="32"/>
          <w:szCs w:val="32"/>
          <w:lang w:val="en-US" w:eastAsia="zh-CN"/>
        </w:rPr>
      </w:pPr>
      <w:r>
        <w:rPr>
          <w:b/>
          <w:bCs/>
          <w:sz w:val="32"/>
          <w:szCs w:val="32"/>
        </w:rPr>
        <w:t>负责人</w:t>
      </w:r>
      <w:r>
        <w:rPr>
          <w:rFonts w:hint="eastAsia"/>
          <w:b/>
          <w:bCs/>
          <w:sz w:val="32"/>
          <w:szCs w:val="32"/>
          <w:lang w:eastAsia="zh-CN"/>
        </w:rPr>
        <w:t>（签名）</w:t>
      </w:r>
      <w:r>
        <w:rPr>
          <w:b/>
          <w:bCs/>
          <w:sz w:val="32"/>
          <w:szCs w:val="32"/>
        </w:rPr>
        <w:t>：</w:t>
      </w:r>
      <w:r>
        <w:rPr>
          <w:rFonts w:hint="eastAsia"/>
          <w:b/>
          <w:bCs/>
          <w:sz w:val="32"/>
          <w:szCs w:val="32"/>
          <w:lang w:val="en-US" w:eastAsia="zh-CN"/>
        </w:rPr>
        <w:t xml:space="preserve">            </w:t>
      </w:r>
    </w:p>
    <w:p>
      <w:pPr>
        <w:rPr>
          <w:b/>
          <w:bCs/>
          <w:sz w:val="32"/>
        </w:rPr>
      </w:pPr>
    </w:p>
    <w:p>
      <w:pPr>
        <w:spacing w:line="360" w:lineRule="auto"/>
        <w:ind w:firstLine="635" w:firstLineChars="200"/>
        <w:jc w:val="left"/>
        <w:rPr>
          <w:b/>
          <w:bCs/>
          <w:sz w:val="32"/>
          <w:szCs w:val="32"/>
        </w:rPr>
      </w:pPr>
      <w:r>
        <w:rPr>
          <w:b/>
          <w:bCs/>
          <w:sz w:val="32"/>
          <w:szCs w:val="32"/>
        </w:rPr>
        <w:t>我单位承诺：《</w:t>
      </w:r>
      <w:r>
        <w:rPr>
          <w:rFonts w:hint="eastAsia"/>
          <w:b/>
          <w:bCs/>
          <w:sz w:val="32"/>
          <w:szCs w:val="32"/>
          <w:lang w:eastAsia="zh-CN"/>
        </w:rPr>
        <w:t>中山市民东有机废物处理有限公司</w:t>
      </w:r>
      <w:r>
        <w:rPr>
          <w:b/>
          <w:bCs/>
          <w:sz w:val="32"/>
          <w:szCs w:val="32"/>
        </w:rPr>
        <w:t>突发环境事件应急预案》及其所有附件材料真实有效，无弄虚作假行为，并对材料的真实性承担法律责任，特此承诺。</w:t>
      </w:r>
    </w:p>
    <w:p>
      <w:pPr>
        <w:spacing w:line="360" w:lineRule="auto"/>
        <w:ind w:firstLine="635" w:firstLineChars="200"/>
        <w:jc w:val="left"/>
        <w:rPr>
          <w:b/>
          <w:bCs/>
          <w:sz w:val="32"/>
          <w:szCs w:val="32"/>
        </w:rPr>
      </w:pPr>
    </w:p>
    <w:p>
      <w:pPr>
        <w:pStyle w:val="23"/>
        <w:spacing w:before="312" w:beforeLines="100" w:line="360" w:lineRule="auto"/>
        <w:ind w:left="0" w:leftChars="0"/>
        <w:rPr>
          <w:b/>
          <w:bCs/>
          <w:sz w:val="32"/>
          <w:szCs w:val="32"/>
        </w:rPr>
      </w:pPr>
      <w:r>
        <w:rPr>
          <w:rFonts w:hint="eastAsia" w:ascii="Times New Roman" w:hAnsi="Times New Roman"/>
          <w:b/>
          <w:bCs/>
          <w:sz w:val="44"/>
          <w:szCs w:val="44"/>
        </w:rPr>
        <w:t xml:space="preserve">              </w:t>
      </w:r>
      <w:r>
        <w:rPr>
          <w:rFonts w:hint="eastAsia"/>
          <w:b/>
          <w:bCs/>
          <w:sz w:val="32"/>
          <w:szCs w:val="32"/>
          <w:lang w:eastAsia="zh-CN"/>
        </w:rPr>
        <w:t>中山市民东有机废物处理有限公司</w:t>
      </w:r>
      <w:r>
        <w:rPr>
          <w:b/>
          <w:bCs/>
          <w:sz w:val="32"/>
          <w:szCs w:val="32"/>
        </w:rPr>
        <w:t>（盖章）</w:t>
      </w:r>
    </w:p>
    <w:p>
      <w:pPr>
        <w:wordWrap w:val="0"/>
        <w:jc w:val="right"/>
        <w:rPr>
          <w:rFonts w:hint="default" w:eastAsia="宋体"/>
          <w:lang w:val="en-US" w:eastAsia="zh-CN"/>
        </w:rPr>
      </w:pPr>
      <w:r>
        <w:rPr>
          <w:rFonts w:hint="eastAsia"/>
          <w:b/>
          <w:bCs/>
          <w:sz w:val="32"/>
          <w:szCs w:val="32"/>
          <w:lang w:eastAsia="zh-CN"/>
        </w:rPr>
        <w:t>日</w:t>
      </w:r>
      <w:r>
        <w:rPr>
          <w:rFonts w:hint="eastAsia"/>
          <w:b/>
          <w:bCs/>
          <w:sz w:val="32"/>
          <w:szCs w:val="32"/>
          <w:lang w:val="en-US" w:eastAsia="zh-CN"/>
        </w:rPr>
        <w:t xml:space="preserve"> </w:t>
      </w:r>
      <w:r>
        <w:rPr>
          <w:rFonts w:hint="eastAsia"/>
          <w:b/>
          <w:bCs/>
          <w:sz w:val="32"/>
          <w:szCs w:val="32"/>
          <w:lang w:eastAsia="zh-CN"/>
        </w:rPr>
        <w:t>期：</w:t>
      </w:r>
      <w:r>
        <w:rPr>
          <w:rFonts w:hint="eastAsia"/>
          <w:b/>
          <w:bCs/>
          <w:sz w:val="32"/>
          <w:szCs w:val="32"/>
          <w:lang w:val="en-US" w:eastAsia="zh-CN"/>
        </w:rPr>
        <w:t xml:space="preserve">        年        月        日 </w:t>
      </w:r>
    </w:p>
    <w:p>
      <w:pPr>
        <w:rPr>
          <w:rFonts w:hint="eastAsia"/>
        </w:rPr>
      </w:pPr>
    </w:p>
    <w:p>
      <w:pPr>
        <w:rPr>
          <w:rFonts w:hint="eastAsia"/>
        </w:rPr>
      </w:pPr>
    </w:p>
    <w:p>
      <w:pPr>
        <w:rPr>
          <w:rFonts w:hint="eastAsia"/>
        </w:rPr>
      </w:pPr>
    </w:p>
    <w:p>
      <w:pPr>
        <w:rPr>
          <w:rFonts w:hint="eastAsia"/>
        </w:rPr>
      </w:pPr>
    </w:p>
    <w:p>
      <w:pPr>
        <w:pStyle w:val="23"/>
        <w:spacing w:before="312" w:beforeLines="100" w:line="360" w:lineRule="auto"/>
        <w:ind w:left="69" w:leftChars="0" w:firstLine="73"/>
        <w:jc w:val="center"/>
        <w:rPr>
          <w:rFonts w:ascii="Times New Roman"/>
          <w:b/>
          <w:bCs w:val="0"/>
          <w:sz w:val="44"/>
          <w:szCs w:val="44"/>
        </w:rPr>
      </w:pPr>
    </w:p>
    <w:p>
      <w:pPr>
        <w:pStyle w:val="23"/>
        <w:spacing w:before="312" w:beforeLines="100" w:line="360" w:lineRule="auto"/>
        <w:ind w:left="69" w:leftChars="0" w:firstLine="73"/>
        <w:jc w:val="center"/>
        <w:rPr>
          <w:rFonts w:ascii="Times New Roman" w:hAnsi="Times New Roman"/>
          <w:b/>
          <w:bCs w:val="0"/>
          <w:sz w:val="44"/>
          <w:szCs w:val="44"/>
        </w:rPr>
      </w:pPr>
      <w:r>
        <w:rPr>
          <w:rFonts w:ascii="Times New Roman"/>
          <w:b/>
          <w:bCs w:val="0"/>
          <w:sz w:val="44"/>
          <w:szCs w:val="44"/>
        </w:rPr>
        <w:t>发布令</w:t>
      </w:r>
    </w:p>
    <w:p>
      <w:pPr>
        <w:spacing w:line="360" w:lineRule="auto"/>
        <w:ind w:firstLine="3" w:firstLineChars="1"/>
        <w:rPr>
          <w:rFonts w:eastAsia="黑体"/>
          <w:b/>
        </w:rPr>
      </w:pPr>
    </w:p>
    <w:p>
      <w:pPr>
        <w:spacing w:line="360" w:lineRule="auto"/>
        <w:ind w:firstLine="3" w:firstLineChars="1"/>
        <w:rPr>
          <w:rFonts w:eastAsia="黑体"/>
          <w:b/>
        </w:rPr>
      </w:pPr>
    </w:p>
    <w:p>
      <w:pPr>
        <w:ind w:firstLine="632" w:firstLineChars="200"/>
        <w:rPr>
          <w:sz w:val="32"/>
          <w:szCs w:val="32"/>
        </w:rPr>
      </w:pPr>
      <w:r>
        <w:rPr>
          <w:sz w:val="32"/>
          <w:szCs w:val="32"/>
        </w:rPr>
        <w:t>为贯彻</w:t>
      </w:r>
      <w:r>
        <w:rPr>
          <w:bCs/>
          <w:sz w:val="32"/>
          <w:szCs w:val="32"/>
        </w:rPr>
        <w:t>《中华人民共和国突发事件应对法》、《中华人民共和国环境保护法》、《突发环境事件应急预案管理暂行办法》、《广东省突发事件应对条例》及其他环境保护法律法规的有关要求，保护</w:t>
      </w:r>
      <w:r>
        <w:rPr>
          <w:rFonts w:hint="eastAsia"/>
          <w:bCs/>
          <w:sz w:val="32"/>
          <w:szCs w:val="32"/>
          <w:lang w:eastAsia="zh-CN"/>
        </w:rPr>
        <w:t>公司</w:t>
      </w:r>
      <w:r>
        <w:rPr>
          <w:bCs/>
          <w:sz w:val="32"/>
          <w:szCs w:val="32"/>
        </w:rPr>
        <w:t>员工的生命安全，减少公司财产损失，使事故发生后能快速、有效、有序地实施应急救援，结合公司实际运行情况及组织结构的调整，公司</w:t>
      </w:r>
      <w:r>
        <w:rPr>
          <w:rFonts w:hint="eastAsia"/>
          <w:bCs/>
          <w:sz w:val="32"/>
          <w:szCs w:val="32"/>
          <w:lang w:eastAsia="zh-CN"/>
        </w:rPr>
        <w:t>修订</w:t>
      </w:r>
      <w:r>
        <w:rPr>
          <w:bCs/>
          <w:sz w:val="32"/>
          <w:szCs w:val="32"/>
        </w:rPr>
        <w:t>了《</w:t>
      </w:r>
      <w:r>
        <w:rPr>
          <w:rFonts w:hint="eastAsia"/>
          <w:bCs/>
          <w:sz w:val="32"/>
          <w:szCs w:val="32"/>
          <w:lang w:eastAsia="zh-CN"/>
        </w:rPr>
        <w:t>中山市民东有机废物处理有限公司</w:t>
      </w:r>
      <w:r>
        <w:rPr>
          <w:bCs/>
          <w:sz w:val="32"/>
          <w:szCs w:val="32"/>
        </w:rPr>
        <w:t>突发环境事件应急预案》，用于规范公司应急救援过程及管理，指导</w:t>
      </w:r>
      <w:r>
        <w:rPr>
          <w:sz w:val="32"/>
          <w:szCs w:val="32"/>
        </w:rPr>
        <w:t>现场救援行动。</w:t>
      </w:r>
    </w:p>
    <w:p>
      <w:pPr>
        <w:ind w:firstLine="632" w:firstLineChars="200"/>
        <w:rPr>
          <w:sz w:val="32"/>
          <w:szCs w:val="32"/>
        </w:rPr>
      </w:pPr>
      <w:r>
        <w:rPr>
          <w:sz w:val="32"/>
          <w:szCs w:val="32"/>
        </w:rPr>
        <w:t>本突发环境事件应急预案经专家评估通过，现予公布，自公布之日起执行。</w:t>
      </w:r>
    </w:p>
    <w:p>
      <w:pPr>
        <w:ind w:firstLine="632" w:firstLineChars="200"/>
        <w:rPr>
          <w:sz w:val="32"/>
          <w:szCs w:val="32"/>
        </w:rPr>
      </w:pPr>
    </w:p>
    <w:p>
      <w:pPr>
        <w:rPr>
          <w:b/>
          <w:sz w:val="32"/>
          <w:szCs w:val="32"/>
        </w:rPr>
      </w:pPr>
    </w:p>
    <w:p>
      <w:pPr>
        <w:wordWrap w:val="0"/>
        <w:jc w:val="right"/>
        <w:rPr>
          <w:rFonts w:hint="eastAsia" w:eastAsia="宋体"/>
          <w:bCs/>
          <w:sz w:val="32"/>
          <w:szCs w:val="32"/>
          <w:lang w:eastAsia="zh-CN"/>
        </w:rPr>
      </w:pPr>
      <w:r>
        <w:rPr>
          <w:rFonts w:hint="eastAsia"/>
          <w:bCs/>
          <w:sz w:val="32"/>
          <w:szCs w:val="32"/>
        </w:rPr>
        <w:t xml:space="preserve">      </w:t>
      </w:r>
      <w:r>
        <w:rPr>
          <w:rFonts w:hint="eastAsia"/>
          <w:bCs/>
          <w:sz w:val="32"/>
          <w:szCs w:val="32"/>
          <w:lang w:eastAsia="zh-CN"/>
        </w:rPr>
        <w:t>中山市民东有机废物处理有限公司（盖章）</w:t>
      </w:r>
    </w:p>
    <w:p>
      <w:pPr>
        <w:wordWrap w:val="0"/>
        <w:ind w:right="640" w:firstLine="3020" w:firstLineChars="956"/>
        <w:jc w:val="center"/>
        <w:rPr>
          <w:rFonts w:eastAsia="黑体"/>
          <w:b/>
          <w:sz w:val="32"/>
          <w:szCs w:val="32"/>
        </w:rPr>
      </w:pPr>
      <w:r>
        <w:rPr>
          <w:sz w:val="32"/>
          <w:szCs w:val="32"/>
        </w:rPr>
        <w:t>负责人</w:t>
      </w:r>
      <w:r>
        <w:rPr>
          <w:rFonts w:hint="eastAsia"/>
          <w:sz w:val="32"/>
          <w:szCs w:val="32"/>
          <w:lang w:eastAsia="zh-CN"/>
        </w:rPr>
        <w:t>（签名）</w:t>
      </w:r>
      <w:r>
        <w:rPr>
          <w:sz w:val="32"/>
          <w:szCs w:val="32"/>
        </w:rPr>
        <w:t xml:space="preserve">：                    </w:t>
      </w:r>
      <w:r>
        <w:rPr>
          <w:rFonts w:hint="eastAsia"/>
          <w:sz w:val="32"/>
          <w:szCs w:val="32"/>
        </w:rPr>
        <w:t xml:space="preserve">    </w:t>
      </w:r>
      <w:r>
        <w:rPr>
          <w:rFonts w:hint="eastAsia"/>
          <w:sz w:val="32"/>
          <w:szCs w:val="32"/>
          <w:lang w:val="en-US" w:eastAsia="zh-CN"/>
        </w:rPr>
        <w:t xml:space="preserve">    </w:t>
      </w:r>
      <w:r>
        <w:rPr>
          <w:sz w:val="32"/>
          <w:szCs w:val="32"/>
        </w:rPr>
        <w:t xml:space="preserve">日期：                  </w:t>
      </w:r>
    </w:p>
    <w:p/>
    <w:p/>
    <w:p>
      <w:pPr>
        <w:spacing w:line="360" w:lineRule="auto"/>
        <w:jc w:val="center"/>
        <w:rPr>
          <w:rFonts w:hint="eastAsia" w:ascii="宋体" w:hAnsi="宋体" w:eastAsia="宋体"/>
          <w:b/>
          <w:bCs/>
          <w:color w:val="000000"/>
          <w:spacing w:val="0"/>
          <w:kern w:val="2"/>
          <w:szCs w:val="28"/>
          <w:lang w:eastAsia="zh-CN"/>
        </w:rPr>
      </w:pPr>
      <w:r>
        <w:rPr>
          <w:rFonts w:hint="eastAsia" w:ascii="宋体" w:hAnsi="宋体"/>
          <w:b/>
          <w:bCs/>
          <w:color w:val="000000"/>
          <w:spacing w:val="0"/>
          <w:kern w:val="2"/>
          <w:szCs w:val="28"/>
          <w:lang w:eastAsia="zh-CN"/>
        </w:rPr>
        <w:t>中山市民东有机废物处理有限公司</w:t>
      </w:r>
    </w:p>
    <w:p>
      <w:pPr>
        <w:spacing w:line="360" w:lineRule="auto"/>
        <w:jc w:val="center"/>
        <w:rPr>
          <w:rFonts w:ascii="宋体" w:hAnsi="宋体"/>
          <w:b/>
          <w:bCs/>
          <w:color w:val="000000"/>
          <w:spacing w:val="0"/>
          <w:kern w:val="2"/>
          <w:szCs w:val="28"/>
        </w:rPr>
      </w:pPr>
      <w:r>
        <w:rPr>
          <w:rFonts w:hint="eastAsia" w:ascii="宋体" w:hAnsi="宋体"/>
          <w:b/>
          <w:bCs/>
          <w:color w:val="000000"/>
          <w:spacing w:val="0"/>
          <w:kern w:val="2"/>
          <w:szCs w:val="28"/>
        </w:rPr>
        <w:t>突发环境事件</w:t>
      </w:r>
      <w:r>
        <w:rPr>
          <w:rFonts w:hint="eastAsia" w:ascii="宋体" w:hAnsi="宋体"/>
          <w:b/>
          <w:bCs/>
          <w:color w:val="000000"/>
          <w:spacing w:val="0"/>
          <w:kern w:val="2"/>
          <w:szCs w:val="28"/>
          <w:lang w:eastAsia="zh-CN"/>
        </w:rPr>
        <w:t>应急预案</w:t>
      </w:r>
      <w:r>
        <w:rPr>
          <w:rFonts w:hint="eastAsia" w:ascii="宋体" w:hAnsi="宋体"/>
          <w:b/>
          <w:bCs/>
          <w:color w:val="000000"/>
          <w:spacing w:val="0"/>
          <w:kern w:val="2"/>
          <w:szCs w:val="28"/>
        </w:rPr>
        <w:t>编制说明</w:t>
      </w:r>
    </w:p>
    <w:p>
      <w:pPr>
        <w:spacing w:line="360" w:lineRule="auto"/>
        <w:ind w:firstLine="560" w:firstLineChars="200"/>
        <w:jc w:val="left"/>
        <w:rPr>
          <w:rFonts w:ascii="宋体" w:hAnsi="宋体"/>
          <w:color w:val="000000"/>
          <w:spacing w:val="0"/>
          <w:kern w:val="2"/>
          <w:szCs w:val="28"/>
        </w:rPr>
      </w:pPr>
      <w:r>
        <w:rPr>
          <w:rFonts w:hint="eastAsia" w:ascii="宋体" w:hAnsi="宋体"/>
          <w:color w:val="000000"/>
          <w:spacing w:val="0"/>
          <w:kern w:val="2"/>
          <w:szCs w:val="28"/>
        </w:rPr>
        <w:t>为贯彻《中华人民共和国环境保护法》、《国家突发环境事故应急预案》及其他相关法规的要求，为正确、有效和快速地处理突发环境污染事件，阻止和控制污染物向周边环境的无序排放，最大程度地减少环境污染造成的影响和损失，维护国家安全、社会稳定和职工生命财产安全、减少财产损失，预防和控制事故的发生。建立健全环境污染事故应急机制，提高</w:t>
      </w:r>
      <w:r>
        <w:rPr>
          <w:rFonts w:hint="eastAsia" w:ascii="宋体" w:hAnsi="宋体"/>
          <w:color w:val="000000"/>
          <w:spacing w:val="0"/>
          <w:kern w:val="2"/>
          <w:szCs w:val="28"/>
          <w:lang w:eastAsia="zh-CN"/>
        </w:rPr>
        <w:t>企业</w:t>
      </w:r>
      <w:r>
        <w:rPr>
          <w:rFonts w:hint="eastAsia" w:ascii="宋体" w:hAnsi="宋体"/>
          <w:color w:val="000000"/>
          <w:spacing w:val="0"/>
          <w:kern w:val="2"/>
          <w:szCs w:val="28"/>
        </w:rPr>
        <w:t>应对涉及公共危机的突发环境污染事故的能力，可以使事故发生后能够迅速、有效、有序的实施应急救援维护社会稳定，保障公众生命健康和财产安全，保护环境，促进社会全面、协调、可持续发展。</w:t>
      </w:r>
    </w:p>
    <w:p>
      <w:pPr>
        <w:spacing w:line="360" w:lineRule="auto"/>
        <w:ind w:firstLine="560" w:firstLineChars="200"/>
        <w:jc w:val="left"/>
        <w:rPr>
          <w:rFonts w:ascii="宋体" w:hAnsi="宋体"/>
          <w:color w:val="000000"/>
          <w:spacing w:val="0"/>
          <w:kern w:val="2"/>
          <w:szCs w:val="28"/>
        </w:rPr>
      </w:pPr>
      <w:r>
        <w:rPr>
          <w:rFonts w:hint="eastAsia" w:ascii="宋体" w:hAnsi="宋体"/>
          <w:color w:val="000000"/>
          <w:spacing w:val="0"/>
          <w:kern w:val="2"/>
          <w:szCs w:val="28"/>
        </w:rPr>
        <w:t>依据《中华人民共和国环境保护法》、《中华人民共和国突发事件应对法》、《中华人民共和国安全生产法》、《国家突发公共事件总体应急预案》和《国家突发环境事故应急预案》及相关的法律、行政法规，制定本预案。本预案是本公司在生产过程中对突发事件实施应急救援工作的规范性文件，用于规范、指导本公司发生突发性污染事故的应急救援行动。</w:t>
      </w:r>
    </w:p>
    <w:p>
      <w:pPr>
        <w:spacing w:line="360" w:lineRule="auto"/>
        <w:ind w:firstLine="560" w:firstLineChars="200"/>
        <w:jc w:val="left"/>
        <w:rPr>
          <w:rFonts w:ascii="宋体" w:hAnsi="宋体"/>
          <w:color w:val="000000"/>
          <w:spacing w:val="0"/>
          <w:kern w:val="2"/>
          <w:szCs w:val="28"/>
        </w:rPr>
      </w:pPr>
      <w:r>
        <w:rPr>
          <w:rFonts w:hint="eastAsia" w:ascii="宋体" w:hAnsi="宋体"/>
          <w:color w:val="000000"/>
          <w:spacing w:val="0"/>
          <w:kern w:val="2"/>
          <w:szCs w:val="28"/>
          <w:lang w:eastAsia="zh-CN"/>
        </w:rPr>
        <w:t>企业</w:t>
      </w:r>
      <w:r>
        <w:rPr>
          <w:rFonts w:hint="eastAsia" w:ascii="宋体" w:hAnsi="宋体"/>
          <w:color w:val="000000"/>
          <w:spacing w:val="0"/>
          <w:kern w:val="2"/>
          <w:szCs w:val="28"/>
        </w:rPr>
        <w:t>是环境风险防范的责任主体，因此，</w:t>
      </w:r>
      <w:r>
        <w:rPr>
          <w:rFonts w:hint="eastAsia" w:ascii="宋体" w:hAnsi="宋体"/>
          <w:bCs/>
          <w:color w:val="000000"/>
          <w:spacing w:val="0"/>
          <w:kern w:val="2"/>
          <w:szCs w:val="28"/>
          <w:lang w:eastAsia="zh-CN"/>
        </w:rPr>
        <w:t>中山市民东有机废物处理有限公司</w:t>
      </w:r>
      <w:r>
        <w:rPr>
          <w:rFonts w:hint="eastAsia" w:ascii="宋体" w:hAnsi="宋体"/>
          <w:color w:val="000000"/>
          <w:spacing w:val="0"/>
          <w:kern w:val="2"/>
          <w:szCs w:val="28"/>
        </w:rPr>
        <w:t>编制了《</w:t>
      </w:r>
      <w:r>
        <w:rPr>
          <w:rFonts w:hint="eastAsia" w:ascii="宋体" w:hAnsi="宋体"/>
          <w:bCs/>
          <w:color w:val="000000"/>
          <w:spacing w:val="0"/>
          <w:kern w:val="2"/>
          <w:szCs w:val="28"/>
          <w:lang w:eastAsia="zh-CN"/>
        </w:rPr>
        <w:t>中山市民东有机废物处理有限公司</w:t>
      </w:r>
      <w:r>
        <w:rPr>
          <w:rFonts w:hint="eastAsia" w:ascii="宋体" w:hAnsi="宋体"/>
          <w:color w:val="000000"/>
          <w:spacing w:val="0"/>
          <w:kern w:val="2"/>
          <w:szCs w:val="28"/>
        </w:rPr>
        <w:t>突发环境事件应急预案》。</w:t>
      </w:r>
    </w:p>
    <w:p>
      <w:pPr>
        <w:spacing w:line="360" w:lineRule="auto"/>
        <w:ind w:firstLine="560" w:firstLineChars="200"/>
        <w:jc w:val="left"/>
        <w:rPr>
          <w:rFonts w:ascii="宋体" w:hAnsi="宋体"/>
          <w:color w:val="000000"/>
          <w:spacing w:val="0"/>
          <w:kern w:val="2"/>
          <w:szCs w:val="28"/>
        </w:rPr>
      </w:pPr>
      <w:r>
        <w:rPr>
          <w:rFonts w:hint="eastAsia" w:ascii="宋体" w:hAnsi="宋体"/>
          <w:color w:val="000000"/>
          <w:spacing w:val="0"/>
          <w:kern w:val="2"/>
          <w:szCs w:val="28"/>
        </w:rPr>
        <w:t>《</w:t>
      </w:r>
      <w:r>
        <w:rPr>
          <w:rFonts w:hint="eastAsia" w:ascii="宋体" w:hAnsi="宋体"/>
          <w:bCs/>
          <w:color w:val="000000"/>
          <w:spacing w:val="0"/>
          <w:kern w:val="2"/>
          <w:szCs w:val="28"/>
          <w:lang w:eastAsia="zh-CN"/>
        </w:rPr>
        <w:t>中山市民东有机废物处理有限公司</w:t>
      </w:r>
      <w:r>
        <w:rPr>
          <w:rFonts w:hint="eastAsia" w:ascii="宋体" w:hAnsi="宋体"/>
          <w:color w:val="000000"/>
          <w:spacing w:val="0"/>
          <w:kern w:val="2"/>
          <w:szCs w:val="28"/>
        </w:rPr>
        <w:t>突发环境事件</w:t>
      </w:r>
      <w:r>
        <w:rPr>
          <w:rFonts w:hint="eastAsia" w:ascii="宋体" w:hAnsi="宋体"/>
          <w:color w:val="000000"/>
          <w:spacing w:val="0"/>
          <w:kern w:val="2"/>
          <w:szCs w:val="28"/>
          <w:lang w:eastAsia="zh-CN"/>
        </w:rPr>
        <w:t>应急预案</w:t>
      </w:r>
      <w:r>
        <w:rPr>
          <w:rFonts w:hint="eastAsia" w:ascii="宋体" w:hAnsi="宋体"/>
          <w:color w:val="000000"/>
          <w:spacing w:val="0"/>
          <w:kern w:val="2"/>
          <w:szCs w:val="28"/>
        </w:rPr>
        <w:t>》由</w:t>
      </w:r>
      <w:r>
        <w:rPr>
          <w:rFonts w:hint="eastAsia" w:ascii="宋体" w:hAnsi="宋体"/>
          <w:bCs/>
          <w:color w:val="000000"/>
          <w:spacing w:val="0"/>
          <w:kern w:val="2"/>
          <w:szCs w:val="28"/>
          <w:lang w:eastAsia="zh-CN"/>
        </w:rPr>
        <w:t>中山市民东有机废物处理有限公司</w:t>
      </w:r>
      <w:r>
        <w:rPr>
          <w:rFonts w:hint="eastAsia" w:ascii="宋体" w:hAnsi="宋体"/>
          <w:color w:val="000000"/>
          <w:spacing w:val="0"/>
          <w:kern w:val="2"/>
          <w:szCs w:val="28"/>
          <w:highlight w:val="none"/>
          <w:lang w:eastAsia="zh-CN"/>
        </w:rPr>
        <w:t>安全部</w:t>
      </w:r>
      <w:r>
        <w:rPr>
          <w:rFonts w:hint="eastAsia" w:ascii="宋体" w:hAnsi="宋体"/>
          <w:color w:val="000000"/>
          <w:spacing w:val="0"/>
          <w:kern w:val="2"/>
          <w:szCs w:val="28"/>
        </w:rPr>
        <w:t>提出</w:t>
      </w:r>
      <w:r>
        <w:rPr>
          <w:rFonts w:hint="eastAsia" w:ascii="宋体" w:hAnsi="宋体"/>
          <w:color w:val="000000"/>
          <w:spacing w:val="0"/>
          <w:kern w:val="2"/>
          <w:szCs w:val="28"/>
          <w:lang w:eastAsia="zh-CN"/>
        </w:rPr>
        <w:t>及</w:t>
      </w:r>
      <w:r>
        <w:rPr>
          <w:rFonts w:hint="eastAsia" w:ascii="宋体" w:hAnsi="宋体"/>
          <w:color w:val="000000"/>
          <w:spacing w:val="0"/>
          <w:kern w:val="2"/>
          <w:szCs w:val="28"/>
        </w:rPr>
        <w:t>组织起草</w:t>
      </w:r>
      <w:r>
        <w:rPr>
          <w:rFonts w:hint="eastAsia" w:ascii="宋体" w:hAnsi="宋体"/>
          <w:color w:val="000000"/>
          <w:spacing w:val="0"/>
          <w:kern w:val="2"/>
          <w:szCs w:val="28"/>
          <w:lang w:eastAsia="zh-CN"/>
        </w:rPr>
        <w:t>，</w:t>
      </w:r>
      <w:r>
        <w:rPr>
          <w:rFonts w:hint="eastAsia" w:ascii="宋体" w:hAnsi="宋体"/>
          <w:color w:val="000000"/>
          <w:spacing w:val="0"/>
          <w:kern w:val="2"/>
          <w:szCs w:val="28"/>
        </w:rPr>
        <w:t>并</w:t>
      </w:r>
      <w:r>
        <w:rPr>
          <w:rFonts w:hint="eastAsia" w:ascii="宋体" w:hAnsi="宋体"/>
          <w:color w:val="000000"/>
          <w:spacing w:val="0"/>
          <w:kern w:val="2"/>
          <w:szCs w:val="28"/>
          <w:lang w:eastAsia="zh-CN"/>
        </w:rPr>
        <w:t>实施</w:t>
      </w:r>
      <w:r>
        <w:rPr>
          <w:rFonts w:hint="eastAsia" w:ascii="宋体" w:hAnsi="宋体"/>
          <w:color w:val="000000"/>
          <w:spacing w:val="0"/>
          <w:kern w:val="2"/>
          <w:szCs w:val="28"/>
        </w:rPr>
        <w:t>管理。</w:t>
      </w:r>
    </w:p>
    <w:p>
      <w:pPr>
        <w:spacing w:line="360" w:lineRule="auto"/>
        <w:ind w:firstLine="560" w:firstLineChars="200"/>
        <w:jc w:val="left"/>
        <w:rPr>
          <w:rFonts w:hint="eastAsia" w:ascii="宋体" w:hAnsi="宋体"/>
          <w:color w:val="000000"/>
          <w:szCs w:val="28"/>
        </w:rPr>
      </w:pPr>
      <w:r>
        <w:rPr>
          <w:rFonts w:hint="eastAsia" w:ascii="宋体" w:hAnsi="宋体"/>
          <w:color w:val="000000"/>
          <w:spacing w:val="0"/>
          <w:kern w:val="2"/>
          <w:szCs w:val="28"/>
        </w:rPr>
        <w:t>201</w:t>
      </w:r>
      <w:r>
        <w:rPr>
          <w:rFonts w:hint="eastAsia" w:ascii="宋体" w:hAnsi="宋体"/>
          <w:color w:val="000000"/>
          <w:spacing w:val="0"/>
          <w:kern w:val="2"/>
          <w:szCs w:val="28"/>
          <w:lang w:val="en-US" w:eastAsia="zh-CN"/>
        </w:rPr>
        <w:t>4</w:t>
      </w:r>
      <w:r>
        <w:rPr>
          <w:rFonts w:hint="eastAsia" w:ascii="宋体" w:hAnsi="宋体"/>
          <w:color w:val="000000"/>
          <w:spacing w:val="0"/>
          <w:kern w:val="2"/>
          <w:szCs w:val="28"/>
        </w:rPr>
        <w:t>年</w:t>
      </w:r>
      <w:r>
        <w:rPr>
          <w:rFonts w:hint="eastAsia" w:ascii="宋体" w:hAnsi="宋体"/>
          <w:color w:val="000000"/>
          <w:spacing w:val="0"/>
          <w:kern w:val="2"/>
          <w:szCs w:val="28"/>
          <w:lang w:val="en-US" w:eastAsia="zh-CN"/>
        </w:rPr>
        <w:t>10月</w:t>
      </w:r>
      <w:r>
        <w:rPr>
          <w:rFonts w:hint="eastAsia" w:ascii="宋体" w:hAnsi="宋体"/>
          <w:bCs/>
          <w:color w:val="000000"/>
          <w:spacing w:val="0"/>
          <w:kern w:val="2"/>
          <w:szCs w:val="28"/>
          <w:lang w:eastAsia="zh-CN"/>
        </w:rPr>
        <w:t>中山市民东有机废物处理有限公司</w:t>
      </w:r>
      <w:r>
        <w:rPr>
          <w:rFonts w:hint="eastAsia" w:ascii="宋体" w:hAnsi="宋体"/>
          <w:color w:val="000000"/>
          <w:szCs w:val="28"/>
        </w:rPr>
        <w:t>根据《突发环境事件应急预案管理暂行办法》要求，结合公司实际情况，</w:t>
      </w:r>
      <w:r>
        <w:rPr>
          <w:rFonts w:hint="eastAsia" w:ascii="宋体" w:hAnsi="宋体"/>
          <w:color w:val="000000"/>
          <w:szCs w:val="28"/>
          <w:lang w:eastAsia="zh-CN"/>
        </w:rPr>
        <w:t>编制</w:t>
      </w:r>
      <w:r>
        <w:rPr>
          <w:rFonts w:hint="eastAsia" w:ascii="宋体" w:hAnsi="宋体"/>
          <w:color w:val="000000"/>
          <w:szCs w:val="28"/>
        </w:rPr>
        <w:t>了《</w:t>
      </w:r>
      <w:r>
        <w:rPr>
          <w:rFonts w:hint="eastAsia" w:ascii="宋体" w:hAnsi="宋体"/>
          <w:bCs/>
          <w:color w:val="000000"/>
          <w:spacing w:val="0"/>
          <w:kern w:val="2"/>
          <w:szCs w:val="28"/>
          <w:lang w:eastAsia="zh-CN"/>
        </w:rPr>
        <w:t>中山市民东有机废物处理有限公司</w:t>
      </w:r>
      <w:r>
        <w:rPr>
          <w:rFonts w:hint="eastAsia" w:ascii="宋体" w:hAnsi="宋体"/>
          <w:color w:val="000000"/>
          <w:szCs w:val="28"/>
        </w:rPr>
        <w:t>突发环境事件应急预案》</w:t>
      </w:r>
      <w:r>
        <w:rPr>
          <w:rFonts w:hint="eastAsia" w:ascii="宋体" w:hAnsi="宋体"/>
          <w:color w:val="000000"/>
          <w:szCs w:val="28"/>
          <w:lang w:val="en-US" w:eastAsia="zh-CN"/>
        </w:rPr>
        <w:t>,</w:t>
      </w:r>
      <w:r>
        <w:rPr>
          <w:rFonts w:hint="eastAsia" w:ascii="宋体" w:hAnsi="宋体"/>
          <w:color w:val="000000"/>
          <w:szCs w:val="28"/>
        </w:rPr>
        <w:t>并报环保部门备案</w:t>
      </w:r>
      <w:r>
        <w:rPr>
          <w:rFonts w:hint="eastAsia" w:ascii="宋体" w:hAnsi="宋体"/>
          <w:color w:val="000000"/>
          <w:szCs w:val="28"/>
          <w:lang w:eastAsia="zh-CN"/>
        </w:rPr>
        <w:t>，</w:t>
      </w:r>
      <w:r>
        <w:rPr>
          <w:rFonts w:hint="eastAsia" w:ascii="宋体" w:hAnsi="宋体"/>
          <w:color w:val="000000"/>
          <w:szCs w:val="28"/>
          <w:lang w:val="en-US" w:eastAsia="zh-CN"/>
        </w:rPr>
        <w:t>取得</w:t>
      </w:r>
      <w:r>
        <w:rPr>
          <w:rFonts w:hint="eastAsia" w:ascii="宋体" w:hAnsi="宋体"/>
          <w:color w:val="000000"/>
          <w:szCs w:val="28"/>
        </w:rPr>
        <w:t>《</w:t>
      </w:r>
      <w:r>
        <w:rPr>
          <w:rFonts w:hint="eastAsia" w:ascii="宋体" w:hAnsi="宋体"/>
          <w:bCs/>
          <w:color w:val="000000"/>
          <w:spacing w:val="0"/>
          <w:kern w:val="2"/>
          <w:szCs w:val="28"/>
          <w:lang w:eastAsia="zh-CN"/>
        </w:rPr>
        <w:t>中山市民东有机废物处理有限公司</w:t>
      </w:r>
      <w:r>
        <w:rPr>
          <w:rFonts w:hint="eastAsia" w:ascii="宋体" w:hAnsi="宋体"/>
          <w:color w:val="000000"/>
          <w:szCs w:val="28"/>
        </w:rPr>
        <w:t>突发环境事件应急预案》</w:t>
      </w:r>
      <w:r>
        <w:rPr>
          <w:rFonts w:hint="eastAsia" w:ascii="宋体" w:hAnsi="宋体"/>
          <w:color w:val="000000"/>
          <w:szCs w:val="28"/>
          <w:lang w:eastAsia="zh-CN"/>
        </w:rPr>
        <w:t>备案表</w:t>
      </w:r>
      <w:r>
        <w:rPr>
          <w:rFonts w:hint="eastAsia" w:ascii="宋体" w:hAnsi="宋体"/>
          <w:color w:val="000000"/>
          <w:szCs w:val="28"/>
        </w:rPr>
        <w:t>。公司</w:t>
      </w:r>
      <w:r>
        <w:rPr>
          <w:rFonts w:ascii="宋体" w:hAnsi="宋体"/>
          <w:color w:val="000000"/>
          <w:szCs w:val="28"/>
        </w:rPr>
        <w:t>按照预案要求，成立应急救援机制，配备相应应急救援物资，组织应急演练。</w:t>
      </w:r>
      <w:r>
        <w:rPr>
          <w:rFonts w:hint="eastAsia" w:ascii="宋体" w:hAnsi="宋体"/>
          <w:color w:val="000000"/>
          <w:szCs w:val="28"/>
        </w:rPr>
        <w:t>自编制至</w:t>
      </w:r>
      <w:r>
        <w:rPr>
          <w:rFonts w:hint="eastAsia" w:ascii="宋体" w:hAnsi="宋体"/>
          <w:color w:val="000000"/>
          <w:szCs w:val="28"/>
          <w:lang w:eastAsia="zh-CN"/>
        </w:rPr>
        <w:t>本次</w:t>
      </w:r>
      <w:r>
        <w:rPr>
          <w:rFonts w:hint="eastAsia" w:ascii="宋体" w:hAnsi="宋体"/>
          <w:color w:val="000000"/>
          <w:szCs w:val="28"/>
        </w:rPr>
        <w:t>修订期间，</w:t>
      </w:r>
      <w:r>
        <w:rPr>
          <w:rFonts w:ascii="宋体" w:hAnsi="宋体"/>
          <w:color w:val="000000"/>
          <w:szCs w:val="28"/>
        </w:rPr>
        <w:t>公司</w:t>
      </w:r>
      <w:r>
        <w:rPr>
          <w:rFonts w:hint="eastAsia" w:ascii="宋体" w:hAnsi="宋体"/>
          <w:color w:val="000000"/>
          <w:szCs w:val="28"/>
        </w:rPr>
        <w:t>未发生突发环境事件。</w:t>
      </w:r>
    </w:p>
    <w:p>
      <w:pPr>
        <w:spacing w:line="360" w:lineRule="auto"/>
        <w:ind w:firstLine="552" w:firstLineChars="200"/>
        <w:jc w:val="left"/>
        <w:rPr>
          <w:rFonts w:ascii="宋体" w:hAnsi="宋体"/>
          <w:color w:val="000000"/>
          <w:spacing w:val="0"/>
          <w:kern w:val="2"/>
          <w:szCs w:val="28"/>
        </w:rPr>
      </w:pPr>
      <w:r>
        <w:rPr>
          <w:rFonts w:hint="eastAsia" w:ascii="宋体" w:hAnsi="宋体"/>
          <w:color w:val="000000"/>
          <w:szCs w:val="28"/>
        </w:rPr>
        <w:t>根据《中山市企业事业单位突发环境事件应急预案管理办法（修订版）》有关要求</w:t>
      </w:r>
      <w:r>
        <w:rPr>
          <w:rFonts w:hint="eastAsia" w:ascii="宋体" w:hAnsi="宋体"/>
          <w:color w:val="000000"/>
          <w:szCs w:val="28"/>
          <w:lang w:eastAsia="zh-CN"/>
        </w:rPr>
        <w:t>：</w:t>
      </w:r>
      <w:r>
        <w:rPr>
          <w:rFonts w:hint="eastAsia" w:ascii="宋体" w:hAnsi="宋体"/>
          <w:color w:val="000000"/>
          <w:szCs w:val="28"/>
        </w:rPr>
        <w:t>“企业应结合环境应急预案实施情况以及情势变化，至少每三年对环境应急预案进行一次回顾性修订”。因此，</w:t>
      </w:r>
      <w:r>
        <w:rPr>
          <w:rFonts w:hint="eastAsia" w:ascii="宋体" w:hAnsi="宋体"/>
          <w:bCs/>
          <w:color w:val="000000"/>
          <w:spacing w:val="0"/>
          <w:kern w:val="2"/>
          <w:szCs w:val="28"/>
          <w:lang w:eastAsia="zh-CN"/>
        </w:rPr>
        <w:t>中山市民东有机废物处理有限公司</w:t>
      </w:r>
      <w:r>
        <w:rPr>
          <w:rFonts w:hint="eastAsia" w:ascii="宋体" w:hAnsi="宋体"/>
          <w:color w:val="000000"/>
          <w:szCs w:val="28"/>
        </w:rPr>
        <w:t>于</w:t>
      </w:r>
      <w:r>
        <w:rPr>
          <w:rFonts w:hint="eastAsia" w:ascii="宋体" w:hAnsi="宋体"/>
          <w:color w:val="000000"/>
          <w:szCs w:val="28"/>
          <w:lang w:val="en-US" w:eastAsia="zh-CN"/>
        </w:rPr>
        <w:t>2019年5月15日至2019年7月5日，进行风险评估、应急物资调查及应急预案的修订，</w:t>
      </w:r>
      <w:r>
        <w:rPr>
          <w:rFonts w:hint="eastAsia" w:ascii="宋体" w:hAnsi="宋体"/>
          <w:color w:val="000000"/>
          <w:szCs w:val="28"/>
        </w:rPr>
        <w:t>201</w:t>
      </w:r>
      <w:r>
        <w:rPr>
          <w:rFonts w:hint="eastAsia" w:ascii="宋体" w:hAnsi="宋体"/>
          <w:color w:val="000000"/>
          <w:szCs w:val="28"/>
          <w:lang w:val="en-US" w:eastAsia="zh-CN"/>
        </w:rPr>
        <w:t>9</w:t>
      </w:r>
      <w:r>
        <w:rPr>
          <w:rFonts w:hint="eastAsia" w:ascii="宋体" w:hAnsi="宋体"/>
          <w:color w:val="000000"/>
          <w:szCs w:val="28"/>
        </w:rPr>
        <w:t>年</w:t>
      </w:r>
      <w:r>
        <w:rPr>
          <w:rFonts w:hint="eastAsia" w:ascii="宋体" w:hAnsi="宋体"/>
          <w:color w:val="000000"/>
          <w:szCs w:val="28"/>
          <w:lang w:val="en-US" w:eastAsia="zh-CN"/>
        </w:rPr>
        <w:t>7</w:t>
      </w:r>
      <w:r>
        <w:rPr>
          <w:rFonts w:hint="eastAsia" w:ascii="宋体" w:hAnsi="宋体"/>
          <w:color w:val="000000"/>
          <w:szCs w:val="28"/>
        </w:rPr>
        <w:t>月</w:t>
      </w:r>
      <w:r>
        <w:rPr>
          <w:rFonts w:hint="eastAsia" w:ascii="宋体" w:hAnsi="宋体"/>
          <w:color w:val="000000"/>
          <w:szCs w:val="28"/>
          <w:lang w:val="en-US" w:eastAsia="zh-CN"/>
        </w:rPr>
        <w:t>25日</w:t>
      </w:r>
      <w:r>
        <w:rPr>
          <w:rFonts w:hint="eastAsia" w:ascii="宋体" w:hAnsi="宋体"/>
          <w:color w:val="000000"/>
          <w:szCs w:val="28"/>
          <w:lang w:eastAsia="zh-CN"/>
        </w:rPr>
        <w:t>完成</w:t>
      </w:r>
      <w:r>
        <w:rPr>
          <w:rFonts w:hint="eastAsia" w:ascii="宋体" w:hAnsi="宋体"/>
          <w:color w:val="000000"/>
          <w:szCs w:val="28"/>
        </w:rPr>
        <w:t>对环境应急</w:t>
      </w:r>
      <w:r>
        <w:rPr>
          <w:rFonts w:hint="eastAsia" w:ascii="宋体" w:hAnsi="宋体"/>
          <w:color w:val="000000"/>
          <w:szCs w:val="28"/>
          <w:lang w:eastAsia="zh-CN"/>
        </w:rPr>
        <w:t>的</w:t>
      </w:r>
      <w:r>
        <w:rPr>
          <w:rFonts w:hint="eastAsia" w:ascii="宋体" w:hAnsi="宋体"/>
          <w:color w:val="000000"/>
          <w:szCs w:val="28"/>
        </w:rPr>
        <w:t>修订，并按文件规定报环保部门备案。</w:t>
      </w:r>
    </w:p>
    <w:p>
      <w:pPr>
        <w:spacing w:line="360" w:lineRule="auto"/>
        <w:ind w:firstLine="562" w:firstLineChars="200"/>
        <w:jc w:val="left"/>
        <w:rPr>
          <w:rFonts w:ascii="宋体" w:hAnsi="宋体"/>
          <w:b/>
          <w:bCs/>
          <w:color w:val="000000"/>
          <w:spacing w:val="0"/>
          <w:kern w:val="2"/>
          <w:szCs w:val="28"/>
          <w:highlight w:val="none"/>
        </w:rPr>
      </w:pPr>
      <w:r>
        <w:rPr>
          <w:rFonts w:hint="eastAsia" w:ascii="宋体" w:hAnsi="宋体"/>
          <w:b/>
          <w:bCs/>
          <w:color w:val="000000"/>
          <w:spacing w:val="0"/>
          <w:kern w:val="2"/>
          <w:szCs w:val="28"/>
          <w:highlight w:val="none"/>
        </w:rPr>
        <w:t>本预案起草人：</w:t>
      </w:r>
    </w:p>
    <w:p>
      <w:pPr>
        <w:spacing w:line="360" w:lineRule="auto"/>
        <w:ind w:firstLine="562" w:firstLineChars="200"/>
        <w:jc w:val="left"/>
        <w:rPr>
          <w:rFonts w:ascii="宋体" w:hAnsi="宋体"/>
          <w:b/>
          <w:bCs/>
          <w:color w:val="000000"/>
          <w:spacing w:val="0"/>
          <w:kern w:val="2"/>
          <w:szCs w:val="28"/>
          <w:highlight w:val="none"/>
        </w:rPr>
      </w:pPr>
      <w:r>
        <w:rPr>
          <w:rFonts w:hint="eastAsia" w:ascii="宋体" w:hAnsi="宋体"/>
          <w:b/>
          <w:bCs/>
          <w:color w:val="000000"/>
          <w:spacing w:val="0"/>
          <w:kern w:val="2"/>
          <w:szCs w:val="28"/>
          <w:highlight w:val="none"/>
        </w:rPr>
        <w:t>本预案审核人：</w:t>
      </w:r>
    </w:p>
    <w:p>
      <w:pPr>
        <w:ind w:firstLine="562" w:firstLineChars="200"/>
        <w:rPr>
          <w:b/>
          <w:bCs/>
          <w:highlight w:val="yellow"/>
        </w:rPr>
      </w:pPr>
      <w:r>
        <w:rPr>
          <w:rFonts w:hint="eastAsia" w:ascii="宋体" w:hAnsi="宋体"/>
          <w:b/>
          <w:bCs/>
          <w:color w:val="000000"/>
          <w:spacing w:val="0"/>
          <w:kern w:val="2"/>
          <w:szCs w:val="28"/>
          <w:highlight w:val="none"/>
        </w:rPr>
        <w:t>本预案批准人：</w:t>
      </w:r>
    </w:p>
    <w:p>
      <w:pPr>
        <w:rPr>
          <w:b/>
          <w:bCs/>
        </w:rPr>
        <w:sectPr>
          <w:headerReference r:id="rId4" w:type="first"/>
          <w:headerReference r:id="rId3" w:type="default"/>
          <w:footerReference r:id="rId5" w:type="default"/>
          <w:type w:val="nextColumn"/>
          <w:pgSz w:w="11906" w:h="16838"/>
          <w:pgMar w:top="1588" w:right="1418" w:bottom="1418" w:left="1418" w:header="992" w:footer="992" w:gutter="0"/>
          <w:pgBorders>
            <w:top w:val="none" w:sz="0" w:space="0"/>
            <w:left w:val="none" w:sz="0" w:space="0"/>
            <w:bottom w:val="none" w:sz="0" w:space="0"/>
            <w:right w:val="none" w:sz="0" w:space="0"/>
          </w:pgBorders>
          <w:pgNumType w:fmt="decimal"/>
          <w:cols w:space="720" w:num="1"/>
          <w:docGrid w:type="lines" w:linePitch="312" w:charSpace="0"/>
        </w:sectPr>
      </w:pPr>
    </w:p>
    <w:p>
      <w:pPr>
        <w:spacing w:line="440" w:lineRule="exact"/>
        <w:jc w:val="center"/>
        <w:rPr>
          <w:b/>
          <w:bCs/>
          <w:sz w:val="32"/>
          <w:szCs w:val="32"/>
        </w:rPr>
      </w:pPr>
      <w:r>
        <w:rPr>
          <w:b/>
          <w:bCs/>
          <w:sz w:val="32"/>
          <w:szCs w:val="32"/>
        </w:rPr>
        <w:t>目  录</w:t>
      </w:r>
    </w:p>
    <w:p>
      <w:pPr>
        <w:spacing w:line="360" w:lineRule="auto"/>
        <w:ind w:left="622" w:leftChars="225" w:hanging="1" w:hangingChars="12"/>
        <w:rPr>
          <w:sz w:val="2"/>
          <w:szCs w:val="2"/>
        </w:rPr>
      </w:pPr>
      <w:r>
        <w:rPr>
          <w:sz w:val="2"/>
          <w:szCs w:val="2"/>
        </w:rPr>
        <w:t xml:space="preserve"> </w:t>
      </w:r>
    </w:p>
    <w:p>
      <w:pPr>
        <w:pStyle w:val="29"/>
        <w:tabs>
          <w:tab w:val="right" w:leader="dot" w:pos="9070"/>
          <w:tab w:val="clear" w:pos="9060"/>
        </w:tabs>
      </w:pPr>
      <w:r>
        <w:rPr>
          <w:rFonts w:ascii="Times New Roman" w:hAnsi="Times New Roman"/>
          <w:sz w:val="24"/>
        </w:rPr>
        <w:fldChar w:fldCharType="begin"/>
      </w:r>
      <w:r>
        <w:rPr>
          <w:rFonts w:ascii="Times New Roman" w:hAnsi="Times New Roman"/>
          <w:sz w:val="24"/>
        </w:rPr>
        <w:instrText xml:space="preserve">TOC \o "1-2" \h \u </w:instrText>
      </w:r>
      <w:r>
        <w:rPr>
          <w:rFonts w:ascii="Times New Roman" w:hAnsi="Times New Roman"/>
          <w:sz w:val="24"/>
        </w:rPr>
        <w:fldChar w:fldCharType="separate"/>
      </w:r>
      <w:r>
        <w:rPr>
          <w:rFonts w:ascii="Times New Roman" w:hAnsi="Times New Roman"/>
        </w:rPr>
        <w:fldChar w:fldCharType="begin"/>
      </w:r>
      <w:r>
        <w:rPr>
          <w:rFonts w:ascii="Times New Roman" w:hAnsi="Times New Roman"/>
        </w:rPr>
        <w:instrText xml:space="preserve"> HYPERLINK \l _Toc12142 </w:instrText>
      </w:r>
      <w:r>
        <w:rPr>
          <w:rFonts w:ascii="Times New Roman" w:hAnsi="Times New Roman"/>
        </w:rPr>
        <w:fldChar w:fldCharType="separate"/>
      </w:r>
      <w:r>
        <w:t>1 总则</w:t>
      </w:r>
      <w:r>
        <w:tab/>
      </w:r>
      <w:r>
        <w:fldChar w:fldCharType="begin"/>
      </w:r>
      <w:r>
        <w:instrText xml:space="preserve"> PAGEREF _Toc12142 </w:instrText>
      </w:r>
      <w:r>
        <w:fldChar w:fldCharType="separate"/>
      </w:r>
      <w:r>
        <w:t>1</w:t>
      </w:r>
      <w:r>
        <w:fldChar w:fldCharType="end"/>
      </w:r>
      <w:r>
        <w:rPr>
          <w:rFonts w:ascii="Times New Roman" w:hAnsi="Times New Roman"/>
        </w:rPr>
        <w:fldChar w:fldCharType="end"/>
      </w:r>
    </w:p>
    <w:p>
      <w:pPr>
        <w:pStyle w:val="35"/>
        <w:tabs>
          <w:tab w:val="right" w:leader="dot" w:pos="9070"/>
        </w:tabs>
      </w:pPr>
      <w:r>
        <w:fldChar w:fldCharType="begin"/>
      </w:r>
      <w:r>
        <w:instrText xml:space="preserve"> HYPERLINK \l _Toc4948 </w:instrText>
      </w:r>
      <w:r>
        <w:fldChar w:fldCharType="separate"/>
      </w:r>
      <w:r>
        <w:t>1.1 目的与指导思想</w:t>
      </w:r>
      <w:r>
        <w:tab/>
      </w:r>
      <w:r>
        <w:fldChar w:fldCharType="begin"/>
      </w:r>
      <w:r>
        <w:instrText xml:space="preserve"> PAGEREF _Toc4948 </w:instrText>
      </w:r>
      <w:r>
        <w:fldChar w:fldCharType="separate"/>
      </w:r>
      <w:r>
        <w:t>1</w:t>
      </w:r>
      <w:r>
        <w:fldChar w:fldCharType="end"/>
      </w:r>
      <w:r>
        <w:fldChar w:fldCharType="end"/>
      </w:r>
    </w:p>
    <w:p>
      <w:pPr>
        <w:pStyle w:val="35"/>
        <w:tabs>
          <w:tab w:val="right" w:leader="dot" w:pos="9070"/>
        </w:tabs>
      </w:pPr>
      <w:r>
        <w:fldChar w:fldCharType="begin"/>
      </w:r>
      <w:r>
        <w:instrText xml:space="preserve"> HYPERLINK \l _Toc31989 </w:instrText>
      </w:r>
      <w:r>
        <w:fldChar w:fldCharType="separate"/>
      </w:r>
      <w:r>
        <w:rPr>
          <w:rFonts w:hint="eastAsia"/>
        </w:rPr>
        <w:t>1.2 编制过程说明</w:t>
      </w:r>
      <w:r>
        <w:tab/>
      </w:r>
      <w:r>
        <w:fldChar w:fldCharType="begin"/>
      </w:r>
      <w:r>
        <w:instrText xml:space="preserve"> PAGEREF _Toc31989 </w:instrText>
      </w:r>
      <w:r>
        <w:fldChar w:fldCharType="separate"/>
      </w:r>
      <w:r>
        <w:t>1</w:t>
      </w:r>
      <w:r>
        <w:fldChar w:fldCharType="end"/>
      </w:r>
      <w:r>
        <w:fldChar w:fldCharType="end"/>
      </w:r>
    </w:p>
    <w:p>
      <w:pPr>
        <w:pStyle w:val="35"/>
        <w:tabs>
          <w:tab w:val="right" w:leader="dot" w:pos="9070"/>
        </w:tabs>
      </w:pPr>
      <w:r>
        <w:fldChar w:fldCharType="begin"/>
      </w:r>
      <w:r>
        <w:instrText xml:space="preserve"> HYPERLINK \l _Toc30534 </w:instrText>
      </w:r>
      <w:r>
        <w:fldChar w:fldCharType="separate"/>
      </w:r>
      <w:r>
        <w:t>1.</w:t>
      </w:r>
      <w:r>
        <w:rPr>
          <w:rFonts w:hint="eastAsia"/>
        </w:rPr>
        <w:t>3</w:t>
      </w:r>
      <w:r>
        <w:t xml:space="preserve"> 职责</w:t>
      </w:r>
      <w:r>
        <w:tab/>
      </w:r>
      <w:r>
        <w:fldChar w:fldCharType="begin"/>
      </w:r>
      <w:r>
        <w:instrText xml:space="preserve"> PAGEREF _Toc30534 </w:instrText>
      </w:r>
      <w:r>
        <w:fldChar w:fldCharType="separate"/>
      </w:r>
      <w:r>
        <w:t>2</w:t>
      </w:r>
      <w:r>
        <w:fldChar w:fldCharType="end"/>
      </w:r>
      <w:r>
        <w:fldChar w:fldCharType="end"/>
      </w:r>
    </w:p>
    <w:p>
      <w:pPr>
        <w:pStyle w:val="35"/>
        <w:tabs>
          <w:tab w:val="right" w:leader="dot" w:pos="9070"/>
        </w:tabs>
      </w:pPr>
      <w:r>
        <w:fldChar w:fldCharType="begin"/>
      </w:r>
      <w:r>
        <w:instrText xml:space="preserve"> HYPERLINK \l _Toc15657 </w:instrText>
      </w:r>
      <w:r>
        <w:fldChar w:fldCharType="separate"/>
      </w:r>
      <w:r>
        <w:t>1.</w:t>
      </w:r>
      <w:r>
        <w:rPr>
          <w:rFonts w:hint="eastAsia"/>
          <w:lang w:val="en-US" w:eastAsia="zh-CN"/>
        </w:rPr>
        <w:t>4</w:t>
      </w:r>
      <w:r>
        <w:t xml:space="preserve"> 编制依据</w:t>
      </w:r>
      <w:r>
        <w:tab/>
      </w:r>
      <w:r>
        <w:fldChar w:fldCharType="begin"/>
      </w:r>
      <w:r>
        <w:instrText xml:space="preserve"> PAGEREF _Toc15657 </w:instrText>
      </w:r>
      <w:r>
        <w:fldChar w:fldCharType="separate"/>
      </w:r>
      <w:r>
        <w:t>3</w:t>
      </w:r>
      <w:r>
        <w:fldChar w:fldCharType="end"/>
      </w:r>
      <w:r>
        <w:fldChar w:fldCharType="end"/>
      </w:r>
    </w:p>
    <w:p>
      <w:pPr>
        <w:pStyle w:val="35"/>
        <w:tabs>
          <w:tab w:val="right" w:leader="dot" w:pos="9070"/>
        </w:tabs>
      </w:pPr>
      <w:r>
        <w:fldChar w:fldCharType="begin"/>
      </w:r>
      <w:r>
        <w:instrText xml:space="preserve"> HYPERLINK \l _Toc32178 </w:instrText>
      </w:r>
      <w:r>
        <w:fldChar w:fldCharType="separate"/>
      </w:r>
      <w:r>
        <w:t>1.</w:t>
      </w:r>
      <w:r>
        <w:rPr>
          <w:rFonts w:hint="eastAsia"/>
          <w:lang w:val="en-US" w:eastAsia="zh-CN"/>
        </w:rPr>
        <w:t>5</w:t>
      </w:r>
      <w:r>
        <w:t xml:space="preserve"> 适用范围</w:t>
      </w:r>
      <w:r>
        <w:tab/>
      </w:r>
      <w:r>
        <w:fldChar w:fldCharType="begin"/>
      </w:r>
      <w:r>
        <w:instrText xml:space="preserve"> PAGEREF _Toc32178 </w:instrText>
      </w:r>
      <w:r>
        <w:fldChar w:fldCharType="separate"/>
      </w:r>
      <w:r>
        <w:t>6</w:t>
      </w:r>
      <w:r>
        <w:fldChar w:fldCharType="end"/>
      </w:r>
      <w:r>
        <w:fldChar w:fldCharType="end"/>
      </w:r>
    </w:p>
    <w:p>
      <w:pPr>
        <w:pStyle w:val="35"/>
        <w:tabs>
          <w:tab w:val="right" w:leader="dot" w:pos="9070"/>
        </w:tabs>
      </w:pPr>
      <w:r>
        <w:fldChar w:fldCharType="begin"/>
      </w:r>
      <w:r>
        <w:instrText xml:space="preserve"> HYPERLINK \l _Toc13165 </w:instrText>
      </w:r>
      <w:r>
        <w:fldChar w:fldCharType="separate"/>
      </w:r>
      <w:r>
        <w:t>1.</w:t>
      </w:r>
      <w:r>
        <w:rPr>
          <w:rFonts w:hint="eastAsia"/>
          <w:lang w:val="en-US" w:eastAsia="zh-CN"/>
        </w:rPr>
        <w:t>6</w:t>
      </w:r>
      <w:r>
        <w:t xml:space="preserve"> 突发环境事件应急的工作原则</w:t>
      </w:r>
      <w:r>
        <w:tab/>
      </w:r>
      <w:r>
        <w:fldChar w:fldCharType="begin"/>
      </w:r>
      <w:r>
        <w:instrText xml:space="preserve"> PAGEREF _Toc13165 </w:instrText>
      </w:r>
      <w:r>
        <w:fldChar w:fldCharType="separate"/>
      </w:r>
      <w:r>
        <w:t>6</w:t>
      </w:r>
      <w:r>
        <w:fldChar w:fldCharType="end"/>
      </w:r>
      <w:r>
        <w:fldChar w:fldCharType="end"/>
      </w:r>
    </w:p>
    <w:p>
      <w:pPr>
        <w:pStyle w:val="35"/>
        <w:tabs>
          <w:tab w:val="right" w:leader="dot" w:pos="9070"/>
        </w:tabs>
      </w:pPr>
      <w:r>
        <w:fldChar w:fldCharType="begin"/>
      </w:r>
      <w:r>
        <w:instrText xml:space="preserve"> HYPERLINK \l _Toc25188 </w:instrText>
      </w:r>
      <w:r>
        <w:fldChar w:fldCharType="separate"/>
      </w:r>
      <w:r>
        <w:t>1.</w:t>
      </w:r>
      <w:r>
        <w:rPr>
          <w:rFonts w:hint="eastAsia"/>
          <w:lang w:val="en-US" w:eastAsia="zh-CN"/>
        </w:rPr>
        <w:t>7</w:t>
      </w:r>
      <w:r>
        <w:t xml:space="preserve"> 环境污染事件分级</w:t>
      </w:r>
      <w:r>
        <w:tab/>
      </w:r>
      <w:r>
        <w:fldChar w:fldCharType="begin"/>
      </w:r>
      <w:r>
        <w:instrText xml:space="preserve"> PAGEREF _Toc25188 </w:instrText>
      </w:r>
      <w:r>
        <w:fldChar w:fldCharType="separate"/>
      </w:r>
      <w:r>
        <w:t>7</w:t>
      </w:r>
      <w:r>
        <w:fldChar w:fldCharType="end"/>
      </w:r>
      <w:r>
        <w:fldChar w:fldCharType="end"/>
      </w:r>
    </w:p>
    <w:p>
      <w:pPr>
        <w:pStyle w:val="35"/>
        <w:tabs>
          <w:tab w:val="right" w:leader="dot" w:pos="9070"/>
        </w:tabs>
      </w:pPr>
      <w:r>
        <w:fldChar w:fldCharType="begin"/>
      </w:r>
      <w:r>
        <w:instrText xml:space="preserve"> HYPERLINK \l _Toc630 </w:instrText>
      </w:r>
      <w:r>
        <w:fldChar w:fldCharType="separate"/>
      </w:r>
      <w:r>
        <w:t>1.</w:t>
      </w:r>
      <w:r>
        <w:rPr>
          <w:rFonts w:hint="eastAsia"/>
          <w:lang w:val="en-US" w:eastAsia="zh-CN"/>
        </w:rPr>
        <w:t>8</w:t>
      </w:r>
      <w:r>
        <w:t>应急预案关系说明</w:t>
      </w:r>
      <w:r>
        <w:tab/>
      </w:r>
      <w:r>
        <w:fldChar w:fldCharType="begin"/>
      </w:r>
      <w:r>
        <w:instrText xml:space="preserve"> PAGEREF _Toc630 </w:instrText>
      </w:r>
      <w:r>
        <w:fldChar w:fldCharType="separate"/>
      </w:r>
      <w:r>
        <w:t>7</w:t>
      </w:r>
      <w:r>
        <w:fldChar w:fldCharType="end"/>
      </w:r>
      <w:r>
        <w:fldChar w:fldCharType="end"/>
      </w:r>
    </w:p>
    <w:p>
      <w:pPr>
        <w:pStyle w:val="29"/>
        <w:tabs>
          <w:tab w:val="right" w:leader="dot" w:pos="9070"/>
          <w:tab w:val="clear" w:pos="9060"/>
        </w:tabs>
      </w:pPr>
      <w:r>
        <w:fldChar w:fldCharType="begin"/>
      </w:r>
      <w:r>
        <w:instrText xml:space="preserve"> HYPERLINK \l _Toc780 </w:instrText>
      </w:r>
      <w:r>
        <w:fldChar w:fldCharType="separate"/>
      </w:r>
      <w:r>
        <w:t>2企业基本情况</w:t>
      </w:r>
      <w:r>
        <w:tab/>
      </w:r>
      <w:r>
        <w:fldChar w:fldCharType="begin"/>
      </w:r>
      <w:r>
        <w:instrText xml:space="preserve"> PAGEREF _Toc780 </w:instrText>
      </w:r>
      <w:r>
        <w:fldChar w:fldCharType="separate"/>
      </w:r>
      <w:r>
        <w:t>11</w:t>
      </w:r>
      <w:r>
        <w:fldChar w:fldCharType="end"/>
      </w:r>
      <w:r>
        <w:fldChar w:fldCharType="end"/>
      </w:r>
    </w:p>
    <w:p>
      <w:pPr>
        <w:pStyle w:val="35"/>
        <w:tabs>
          <w:tab w:val="right" w:leader="dot" w:pos="9070"/>
        </w:tabs>
      </w:pPr>
      <w:r>
        <w:fldChar w:fldCharType="begin"/>
      </w:r>
      <w:r>
        <w:instrText xml:space="preserve"> HYPERLINK \l _Toc26578 </w:instrText>
      </w:r>
      <w:r>
        <w:fldChar w:fldCharType="separate"/>
      </w:r>
      <w:r>
        <w:t>2.</w:t>
      </w:r>
      <w:r>
        <w:rPr>
          <w:rFonts w:hint="eastAsia"/>
          <w:lang w:val="en-US" w:eastAsia="zh-CN"/>
        </w:rPr>
        <w:t>1</w:t>
      </w:r>
      <w:r>
        <w:t>地理位置及周围环境状况</w:t>
      </w:r>
      <w:r>
        <w:tab/>
      </w:r>
      <w:r>
        <w:fldChar w:fldCharType="begin"/>
      </w:r>
      <w:r>
        <w:instrText xml:space="preserve"> PAGEREF _Toc26578 </w:instrText>
      </w:r>
      <w:r>
        <w:fldChar w:fldCharType="separate"/>
      </w:r>
      <w:r>
        <w:t>11</w:t>
      </w:r>
      <w:r>
        <w:fldChar w:fldCharType="end"/>
      </w:r>
      <w:r>
        <w:fldChar w:fldCharType="end"/>
      </w:r>
    </w:p>
    <w:p>
      <w:pPr>
        <w:pStyle w:val="35"/>
        <w:tabs>
          <w:tab w:val="right" w:leader="dot" w:pos="9070"/>
        </w:tabs>
      </w:pPr>
      <w:r>
        <w:fldChar w:fldCharType="begin"/>
      </w:r>
      <w:r>
        <w:instrText xml:space="preserve"> HYPERLINK \l _Toc11035 </w:instrText>
      </w:r>
      <w:r>
        <w:fldChar w:fldCharType="separate"/>
      </w:r>
      <w:r>
        <w:t>2.</w:t>
      </w:r>
      <w:r>
        <w:rPr>
          <w:rFonts w:hint="eastAsia"/>
          <w:lang w:val="en-US" w:eastAsia="zh-CN"/>
        </w:rPr>
        <w:t>2</w:t>
      </w:r>
      <w:r>
        <w:t xml:space="preserve"> 企业生产概况</w:t>
      </w:r>
      <w:r>
        <w:tab/>
      </w:r>
      <w:r>
        <w:fldChar w:fldCharType="begin"/>
      </w:r>
      <w:r>
        <w:instrText xml:space="preserve"> PAGEREF _Toc11035 </w:instrText>
      </w:r>
      <w:r>
        <w:fldChar w:fldCharType="separate"/>
      </w:r>
      <w:r>
        <w:t>20</w:t>
      </w:r>
      <w:r>
        <w:fldChar w:fldCharType="end"/>
      </w:r>
      <w:r>
        <w:fldChar w:fldCharType="end"/>
      </w:r>
    </w:p>
    <w:p>
      <w:pPr>
        <w:pStyle w:val="35"/>
        <w:tabs>
          <w:tab w:val="right" w:leader="dot" w:pos="9070"/>
        </w:tabs>
      </w:pPr>
      <w:r>
        <w:fldChar w:fldCharType="begin"/>
      </w:r>
      <w:r>
        <w:instrText xml:space="preserve"> HYPERLINK \l _Toc23780 </w:instrText>
      </w:r>
      <w:r>
        <w:fldChar w:fldCharType="separate"/>
      </w:r>
      <w:r>
        <w:t>2.</w:t>
      </w:r>
      <w:r>
        <w:rPr>
          <w:rFonts w:hint="eastAsia"/>
          <w:lang w:val="en-US" w:eastAsia="zh-CN"/>
        </w:rPr>
        <w:t>3</w:t>
      </w:r>
      <w:r>
        <w:t xml:space="preserve"> 产排污情况</w:t>
      </w:r>
      <w:r>
        <w:tab/>
      </w:r>
      <w:r>
        <w:fldChar w:fldCharType="begin"/>
      </w:r>
      <w:r>
        <w:instrText xml:space="preserve"> PAGEREF _Toc23780 </w:instrText>
      </w:r>
      <w:r>
        <w:fldChar w:fldCharType="separate"/>
      </w:r>
      <w:r>
        <w:t>33</w:t>
      </w:r>
      <w:r>
        <w:fldChar w:fldCharType="end"/>
      </w:r>
      <w:r>
        <w:fldChar w:fldCharType="end"/>
      </w:r>
    </w:p>
    <w:p>
      <w:pPr>
        <w:pStyle w:val="35"/>
        <w:tabs>
          <w:tab w:val="right" w:leader="dot" w:pos="9070"/>
        </w:tabs>
      </w:pPr>
      <w:r>
        <w:fldChar w:fldCharType="begin"/>
      </w:r>
      <w:r>
        <w:instrText xml:space="preserve"> HYPERLINK \l _Toc9037 </w:instrText>
      </w:r>
      <w:r>
        <w:fldChar w:fldCharType="separate"/>
      </w:r>
      <w:r>
        <w:t>2.</w:t>
      </w:r>
      <w:r>
        <w:rPr>
          <w:rFonts w:hint="eastAsia"/>
          <w:lang w:val="en-US" w:eastAsia="zh-CN"/>
        </w:rPr>
        <w:t>4</w:t>
      </w:r>
      <w:r>
        <w:t xml:space="preserve"> 执行环境标准</w:t>
      </w:r>
      <w:r>
        <w:tab/>
      </w:r>
      <w:r>
        <w:fldChar w:fldCharType="begin"/>
      </w:r>
      <w:r>
        <w:instrText xml:space="preserve"> PAGEREF _Toc9037 </w:instrText>
      </w:r>
      <w:r>
        <w:fldChar w:fldCharType="separate"/>
      </w:r>
      <w:r>
        <w:t>36</w:t>
      </w:r>
      <w:r>
        <w:fldChar w:fldCharType="end"/>
      </w:r>
      <w:r>
        <w:fldChar w:fldCharType="end"/>
      </w:r>
    </w:p>
    <w:p>
      <w:pPr>
        <w:pStyle w:val="35"/>
        <w:tabs>
          <w:tab w:val="right" w:leader="dot" w:pos="9070"/>
        </w:tabs>
      </w:pPr>
      <w:r>
        <w:fldChar w:fldCharType="begin"/>
      </w:r>
      <w:r>
        <w:instrText xml:space="preserve"> HYPERLINK \l _Toc4279 </w:instrText>
      </w:r>
      <w:r>
        <w:fldChar w:fldCharType="separate"/>
      </w:r>
      <w:r>
        <w:t>2.</w:t>
      </w:r>
      <w:r>
        <w:rPr>
          <w:rFonts w:hint="eastAsia"/>
          <w:lang w:val="en-US" w:eastAsia="zh-CN"/>
        </w:rPr>
        <w:t>5</w:t>
      </w:r>
      <w:r>
        <w:t xml:space="preserve"> 周边环境状况及环境保护目标</w:t>
      </w:r>
      <w:r>
        <w:tab/>
      </w:r>
      <w:r>
        <w:fldChar w:fldCharType="begin"/>
      </w:r>
      <w:r>
        <w:instrText xml:space="preserve"> PAGEREF _Toc4279 </w:instrText>
      </w:r>
      <w:r>
        <w:fldChar w:fldCharType="separate"/>
      </w:r>
      <w:r>
        <w:t>37</w:t>
      </w:r>
      <w:r>
        <w:fldChar w:fldCharType="end"/>
      </w:r>
      <w:r>
        <w:fldChar w:fldCharType="end"/>
      </w:r>
    </w:p>
    <w:p>
      <w:pPr>
        <w:pStyle w:val="29"/>
        <w:tabs>
          <w:tab w:val="right" w:leader="dot" w:pos="9070"/>
          <w:tab w:val="clear" w:pos="9060"/>
        </w:tabs>
      </w:pPr>
      <w:r>
        <w:fldChar w:fldCharType="begin"/>
      </w:r>
      <w:r>
        <w:instrText xml:space="preserve"> HYPERLINK \l _Toc19134 </w:instrText>
      </w:r>
      <w:r>
        <w:fldChar w:fldCharType="separate"/>
      </w:r>
      <w:r>
        <w:t>3环境风险分析</w:t>
      </w:r>
      <w:r>
        <w:tab/>
      </w:r>
      <w:r>
        <w:fldChar w:fldCharType="begin"/>
      </w:r>
      <w:r>
        <w:instrText xml:space="preserve"> PAGEREF _Toc19134 </w:instrText>
      </w:r>
      <w:r>
        <w:fldChar w:fldCharType="separate"/>
      </w:r>
      <w:r>
        <w:t>40</w:t>
      </w:r>
      <w:r>
        <w:fldChar w:fldCharType="end"/>
      </w:r>
      <w:r>
        <w:fldChar w:fldCharType="end"/>
      </w:r>
    </w:p>
    <w:p>
      <w:pPr>
        <w:pStyle w:val="35"/>
        <w:tabs>
          <w:tab w:val="right" w:leader="dot" w:pos="9070"/>
        </w:tabs>
      </w:pPr>
      <w:r>
        <w:fldChar w:fldCharType="begin"/>
      </w:r>
      <w:r>
        <w:instrText xml:space="preserve"> HYPERLINK \l _Toc2374 </w:instrText>
      </w:r>
      <w:r>
        <w:fldChar w:fldCharType="separate"/>
      </w:r>
      <w:r>
        <w:t>3.1环境风险评价</w:t>
      </w:r>
      <w:r>
        <w:rPr>
          <w:rFonts w:hint="eastAsia"/>
        </w:rPr>
        <w:t>等级划分</w:t>
      </w:r>
      <w:r>
        <w:tab/>
      </w:r>
      <w:r>
        <w:fldChar w:fldCharType="begin"/>
      </w:r>
      <w:r>
        <w:instrText xml:space="preserve"> PAGEREF _Toc2374 </w:instrText>
      </w:r>
      <w:r>
        <w:fldChar w:fldCharType="separate"/>
      </w:r>
      <w:r>
        <w:t>40</w:t>
      </w:r>
      <w:r>
        <w:fldChar w:fldCharType="end"/>
      </w:r>
      <w:r>
        <w:fldChar w:fldCharType="end"/>
      </w:r>
    </w:p>
    <w:p>
      <w:pPr>
        <w:pStyle w:val="35"/>
        <w:tabs>
          <w:tab w:val="right" w:leader="dot" w:pos="9070"/>
        </w:tabs>
      </w:pPr>
      <w:r>
        <w:fldChar w:fldCharType="begin"/>
      </w:r>
      <w:r>
        <w:instrText xml:space="preserve"> HYPERLINK \l _Toc28038 </w:instrText>
      </w:r>
      <w:r>
        <w:fldChar w:fldCharType="separate"/>
      </w:r>
      <w:r>
        <w:t>3.</w:t>
      </w:r>
      <w:r>
        <w:rPr>
          <w:rFonts w:hint="eastAsia"/>
        </w:rPr>
        <w:t>2环境风险影响分析</w:t>
      </w:r>
      <w:r>
        <w:tab/>
      </w:r>
      <w:r>
        <w:fldChar w:fldCharType="begin"/>
      </w:r>
      <w:r>
        <w:instrText xml:space="preserve"> PAGEREF _Toc28038 </w:instrText>
      </w:r>
      <w:r>
        <w:fldChar w:fldCharType="separate"/>
      </w:r>
      <w:r>
        <w:t>40</w:t>
      </w:r>
      <w:r>
        <w:fldChar w:fldCharType="end"/>
      </w:r>
      <w:r>
        <w:fldChar w:fldCharType="end"/>
      </w:r>
    </w:p>
    <w:p>
      <w:pPr>
        <w:pStyle w:val="35"/>
        <w:tabs>
          <w:tab w:val="right" w:leader="dot" w:pos="9070"/>
        </w:tabs>
      </w:pPr>
      <w:r>
        <w:fldChar w:fldCharType="begin"/>
      </w:r>
      <w:r>
        <w:instrText xml:space="preserve"> HYPERLINK \l _Toc28721 </w:instrText>
      </w:r>
      <w:r>
        <w:fldChar w:fldCharType="separate"/>
      </w:r>
      <w:r>
        <w:t>3.</w:t>
      </w:r>
      <w:r>
        <w:rPr>
          <w:rFonts w:hint="eastAsia"/>
          <w:lang w:val="en-US" w:eastAsia="zh-CN"/>
        </w:rPr>
        <w:t>3</w:t>
      </w:r>
      <w:r>
        <w:rPr>
          <w:rFonts w:hint="eastAsia"/>
          <w:lang w:eastAsia="zh-CN"/>
        </w:rPr>
        <w:t>风险目标</w:t>
      </w:r>
      <w:r>
        <w:tab/>
      </w:r>
      <w:r>
        <w:fldChar w:fldCharType="begin"/>
      </w:r>
      <w:r>
        <w:instrText xml:space="preserve"> PAGEREF _Toc28721 </w:instrText>
      </w:r>
      <w:r>
        <w:fldChar w:fldCharType="separate"/>
      </w:r>
      <w:r>
        <w:t>48</w:t>
      </w:r>
      <w:r>
        <w:fldChar w:fldCharType="end"/>
      </w:r>
      <w:r>
        <w:fldChar w:fldCharType="end"/>
      </w:r>
    </w:p>
    <w:p>
      <w:pPr>
        <w:pStyle w:val="35"/>
        <w:tabs>
          <w:tab w:val="right" w:leader="dot" w:pos="9070"/>
        </w:tabs>
      </w:pPr>
      <w:r>
        <w:fldChar w:fldCharType="begin"/>
      </w:r>
      <w:r>
        <w:instrText xml:space="preserve"> HYPERLINK \l _Toc27934 </w:instrText>
      </w:r>
      <w:r>
        <w:fldChar w:fldCharType="separate"/>
      </w:r>
      <w:r>
        <w:t>3.</w:t>
      </w:r>
      <w:r>
        <w:rPr>
          <w:rFonts w:hint="eastAsia"/>
          <w:lang w:val="en-US" w:eastAsia="zh-CN"/>
        </w:rPr>
        <w:t>4最大可信事故</w:t>
      </w:r>
      <w:r>
        <w:tab/>
      </w:r>
      <w:r>
        <w:fldChar w:fldCharType="begin"/>
      </w:r>
      <w:r>
        <w:instrText xml:space="preserve"> PAGEREF _Toc27934 </w:instrText>
      </w:r>
      <w:r>
        <w:fldChar w:fldCharType="separate"/>
      </w:r>
      <w:r>
        <w:t>51</w:t>
      </w:r>
      <w:r>
        <w:fldChar w:fldCharType="end"/>
      </w:r>
      <w:r>
        <w:fldChar w:fldCharType="end"/>
      </w:r>
    </w:p>
    <w:p>
      <w:pPr>
        <w:pStyle w:val="29"/>
        <w:tabs>
          <w:tab w:val="right" w:leader="dot" w:pos="9070"/>
          <w:tab w:val="clear" w:pos="9060"/>
        </w:tabs>
      </w:pPr>
      <w:r>
        <w:fldChar w:fldCharType="begin"/>
      </w:r>
      <w:r>
        <w:instrText xml:space="preserve"> HYPERLINK \l _Toc28155 </w:instrText>
      </w:r>
      <w:r>
        <w:fldChar w:fldCharType="separate"/>
      </w:r>
      <w:r>
        <w:t>4应急能力评估</w:t>
      </w:r>
      <w:r>
        <w:tab/>
      </w:r>
      <w:r>
        <w:fldChar w:fldCharType="begin"/>
      </w:r>
      <w:r>
        <w:instrText xml:space="preserve"> PAGEREF _Toc28155 </w:instrText>
      </w:r>
      <w:r>
        <w:fldChar w:fldCharType="separate"/>
      </w:r>
      <w:r>
        <w:t>55</w:t>
      </w:r>
      <w:r>
        <w:fldChar w:fldCharType="end"/>
      </w:r>
      <w:r>
        <w:fldChar w:fldCharType="end"/>
      </w:r>
    </w:p>
    <w:p>
      <w:pPr>
        <w:pStyle w:val="35"/>
        <w:tabs>
          <w:tab w:val="right" w:leader="dot" w:pos="9070"/>
        </w:tabs>
      </w:pPr>
      <w:r>
        <w:fldChar w:fldCharType="begin"/>
      </w:r>
      <w:r>
        <w:instrText xml:space="preserve"> HYPERLINK \l _Toc12586 </w:instrText>
      </w:r>
      <w:r>
        <w:fldChar w:fldCharType="separate"/>
      </w:r>
      <w:r>
        <w:t>4.1消防设施</w:t>
      </w:r>
      <w:r>
        <w:tab/>
      </w:r>
      <w:r>
        <w:fldChar w:fldCharType="begin"/>
      </w:r>
      <w:r>
        <w:instrText xml:space="preserve"> PAGEREF _Toc12586 </w:instrText>
      </w:r>
      <w:r>
        <w:fldChar w:fldCharType="separate"/>
      </w:r>
      <w:r>
        <w:t>55</w:t>
      </w:r>
      <w:r>
        <w:fldChar w:fldCharType="end"/>
      </w:r>
      <w:r>
        <w:fldChar w:fldCharType="end"/>
      </w:r>
    </w:p>
    <w:p>
      <w:pPr>
        <w:pStyle w:val="35"/>
        <w:tabs>
          <w:tab w:val="right" w:leader="dot" w:pos="9070"/>
        </w:tabs>
      </w:pPr>
      <w:r>
        <w:fldChar w:fldCharType="begin"/>
      </w:r>
      <w:r>
        <w:instrText xml:space="preserve"> HYPERLINK \l _Toc20539 </w:instrText>
      </w:r>
      <w:r>
        <w:fldChar w:fldCharType="separate"/>
      </w:r>
      <w:r>
        <w:t>4.2应急物资</w:t>
      </w:r>
      <w:r>
        <w:tab/>
      </w:r>
      <w:r>
        <w:fldChar w:fldCharType="begin"/>
      </w:r>
      <w:r>
        <w:instrText xml:space="preserve"> PAGEREF _Toc20539 </w:instrText>
      </w:r>
      <w:r>
        <w:fldChar w:fldCharType="separate"/>
      </w:r>
      <w:r>
        <w:t>56</w:t>
      </w:r>
      <w:r>
        <w:fldChar w:fldCharType="end"/>
      </w:r>
      <w:r>
        <w:fldChar w:fldCharType="end"/>
      </w:r>
    </w:p>
    <w:p>
      <w:pPr>
        <w:pStyle w:val="35"/>
        <w:tabs>
          <w:tab w:val="right" w:leader="dot" w:pos="9070"/>
        </w:tabs>
      </w:pPr>
      <w:r>
        <w:fldChar w:fldCharType="begin"/>
      </w:r>
      <w:r>
        <w:instrText xml:space="preserve"> HYPERLINK \l _Toc19291 </w:instrText>
      </w:r>
      <w:r>
        <w:fldChar w:fldCharType="separate"/>
      </w:r>
      <w:r>
        <w:t>4.3应急设施</w:t>
      </w:r>
      <w:r>
        <w:tab/>
      </w:r>
      <w:r>
        <w:fldChar w:fldCharType="begin"/>
      </w:r>
      <w:r>
        <w:instrText xml:space="preserve"> PAGEREF _Toc19291 </w:instrText>
      </w:r>
      <w:r>
        <w:fldChar w:fldCharType="separate"/>
      </w:r>
      <w:r>
        <w:t>56</w:t>
      </w:r>
      <w:r>
        <w:fldChar w:fldCharType="end"/>
      </w:r>
      <w:r>
        <w:fldChar w:fldCharType="end"/>
      </w:r>
    </w:p>
    <w:p>
      <w:pPr>
        <w:pStyle w:val="35"/>
        <w:tabs>
          <w:tab w:val="right" w:leader="dot" w:pos="9070"/>
        </w:tabs>
      </w:pPr>
      <w:r>
        <w:fldChar w:fldCharType="begin"/>
      </w:r>
      <w:r>
        <w:instrText xml:space="preserve"> HYPERLINK \l _Toc23154 </w:instrText>
      </w:r>
      <w:r>
        <w:fldChar w:fldCharType="separate"/>
      </w:r>
      <w:r>
        <w:t>4.4 其他应急设施</w:t>
      </w:r>
      <w:r>
        <w:tab/>
      </w:r>
      <w:r>
        <w:fldChar w:fldCharType="begin"/>
      </w:r>
      <w:r>
        <w:instrText xml:space="preserve"> PAGEREF _Toc23154 </w:instrText>
      </w:r>
      <w:r>
        <w:fldChar w:fldCharType="separate"/>
      </w:r>
      <w:r>
        <w:t>59</w:t>
      </w:r>
      <w:r>
        <w:fldChar w:fldCharType="end"/>
      </w:r>
      <w:r>
        <w:fldChar w:fldCharType="end"/>
      </w:r>
    </w:p>
    <w:p>
      <w:pPr>
        <w:pStyle w:val="29"/>
        <w:tabs>
          <w:tab w:val="right" w:leader="dot" w:pos="9070"/>
          <w:tab w:val="clear" w:pos="9060"/>
        </w:tabs>
      </w:pPr>
      <w:r>
        <w:fldChar w:fldCharType="begin"/>
      </w:r>
      <w:r>
        <w:instrText xml:space="preserve"> HYPERLINK \l _Toc20349 </w:instrText>
      </w:r>
      <w:r>
        <w:fldChar w:fldCharType="separate"/>
      </w:r>
      <w:r>
        <w:t>5应急组织指挥体系与职责</w:t>
      </w:r>
      <w:r>
        <w:tab/>
      </w:r>
      <w:r>
        <w:fldChar w:fldCharType="begin"/>
      </w:r>
      <w:r>
        <w:instrText xml:space="preserve"> PAGEREF _Toc20349 </w:instrText>
      </w:r>
      <w:r>
        <w:fldChar w:fldCharType="separate"/>
      </w:r>
      <w:r>
        <w:t>60</w:t>
      </w:r>
      <w:r>
        <w:fldChar w:fldCharType="end"/>
      </w:r>
      <w:r>
        <w:fldChar w:fldCharType="end"/>
      </w:r>
    </w:p>
    <w:p>
      <w:pPr>
        <w:pStyle w:val="35"/>
        <w:tabs>
          <w:tab w:val="right" w:leader="dot" w:pos="9070"/>
        </w:tabs>
      </w:pPr>
      <w:r>
        <w:fldChar w:fldCharType="begin"/>
      </w:r>
      <w:r>
        <w:instrText xml:space="preserve"> HYPERLINK \l _Toc24153 </w:instrText>
      </w:r>
      <w:r>
        <w:fldChar w:fldCharType="separate"/>
      </w:r>
      <w:r>
        <w:t>5.1 领导机构</w:t>
      </w:r>
      <w:r>
        <w:tab/>
      </w:r>
      <w:r>
        <w:fldChar w:fldCharType="begin"/>
      </w:r>
      <w:r>
        <w:instrText xml:space="preserve"> PAGEREF _Toc24153 </w:instrText>
      </w:r>
      <w:r>
        <w:fldChar w:fldCharType="separate"/>
      </w:r>
      <w:r>
        <w:t>60</w:t>
      </w:r>
      <w:r>
        <w:fldChar w:fldCharType="end"/>
      </w:r>
      <w:r>
        <w:fldChar w:fldCharType="end"/>
      </w:r>
    </w:p>
    <w:p>
      <w:pPr>
        <w:pStyle w:val="35"/>
        <w:tabs>
          <w:tab w:val="right" w:leader="dot" w:pos="9070"/>
        </w:tabs>
      </w:pPr>
      <w:r>
        <w:fldChar w:fldCharType="begin"/>
      </w:r>
      <w:r>
        <w:instrText xml:space="preserve"> HYPERLINK \l _Toc10489 </w:instrText>
      </w:r>
      <w:r>
        <w:fldChar w:fldCharType="separate"/>
      </w:r>
      <w:r>
        <w:t>5.2工作机构</w:t>
      </w:r>
      <w:r>
        <w:tab/>
      </w:r>
      <w:r>
        <w:fldChar w:fldCharType="begin"/>
      </w:r>
      <w:r>
        <w:instrText xml:space="preserve"> PAGEREF _Toc10489 </w:instrText>
      </w:r>
      <w:r>
        <w:fldChar w:fldCharType="separate"/>
      </w:r>
      <w:r>
        <w:t>60</w:t>
      </w:r>
      <w:r>
        <w:fldChar w:fldCharType="end"/>
      </w:r>
      <w:r>
        <w:fldChar w:fldCharType="end"/>
      </w:r>
    </w:p>
    <w:p>
      <w:pPr>
        <w:pStyle w:val="29"/>
        <w:tabs>
          <w:tab w:val="right" w:leader="dot" w:pos="9070"/>
          <w:tab w:val="clear" w:pos="9060"/>
        </w:tabs>
      </w:pPr>
      <w:r>
        <w:fldChar w:fldCharType="begin"/>
      </w:r>
      <w:r>
        <w:instrText xml:space="preserve"> HYPERLINK \l _Toc24556 </w:instrText>
      </w:r>
      <w:r>
        <w:fldChar w:fldCharType="separate"/>
      </w:r>
      <w:r>
        <w:t>6预防与预警</w:t>
      </w:r>
      <w:r>
        <w:tab/>
      </w:r>
      <w:r>
        <w:fldChar w:fldCharType="begin"/>
      </w:r>
      <w:r>
        <w:instrText xml:space="preserve"> PAGEREF _Toc24556 </w:instrText>
      </w:r>
      <w:r>
        <w:fldChar w:fldCharType="separate"/>
      </w:r>
      <w:r>
        <w:t>67</w:t>
      </w:r>
      <w:r>
        <w:fldChar w:fldCharType="end"/>
      </w:r>
      <w:r>
        <w:fldChar w:fldCharType="end"/>
      </w:r>
    </w:p>
    <w:p>
      <w:pPr>
        <w:pStyle w:val="35"/>
        <w:tabs>
          <w:tab w:val="right" w:leader="dot" w:pos="9070"/>
        </w:tabs>
      </w:pPr>
      <w:r>
        <w:fldChar w:fldCharType="begin"/>
      </w:r>
      <w:r>
        <w:instrText xml:space="preserve"> HYPERLINK \l _Toc16714 </w:instrText>
      </w:r>
      <w:r>
        <w:fldChar w:fldCharType="separate"/>
      </w:r>
      <w:r>
        <w:t>6.1</w:t>
      </w:r>
      <w:r>
        <w:rPr>
          <w:rFonts w:hint="eastAsia"/>
        </w:rPr>
        <w:t>预防措施</w:t>
      </w:r>
      <w:r>
        <w:tab/>
      </w:r>
      <w:r>
        <w:fldChar w:fldCharType="begin"/>
      </w:r>
      <w:r>
        <w:instrText xml:space="preserve"> PAGEREF _Toc16714 </w:instrText>
      </w:r>
      <w:r>
        <w:fldChar w:fldCharType="separate"/>
      </w:r>
      <w:r>
        <w:t>67</w:t>
      </w:r>
      <w:r>
        <w:fldChar w:fldCharType="end"/>
      </w:r>
      <w:r>
        <w:fldChar w:fldCharType="end"/>
      </w:r>
    </w:p>
    <w:p>
      <w:pPr>
        <w:pStyle w:val="35"/>
        <w:tabs>
          <w:tab w:val="right" w:leader="dot" w:pos="9070"/>
        </w:tabs>
      </w:pPr>
      <w:r>
        <w:fldChar w:fldCharType="begin"/>
      </w:r>
      <w:r>
        <w:instrText xml:space="preserve"> HYPERLINK \l _Toc27260 </w:instrText>
      </w:r>
      <w:r>
        <w:fldChar w:fldCharType="separate"/>
      </w:r>
      <w:r>
        <w:t>6.2</w:t>
      </w:r>
      <w:r>
        <w:rPr>
          <w:rFonts w:hint="eastAsia"/>
        </w:rPr>
        <w:t>预警</w:t>
      </w:r>
      <w:r>
        <w:tab/>
      </w:r>
      <w:r>
        <w:fldChar w:fldCharType="begin"/>
      </w:r>
      <w:r>
        <w:instrText xml:space="preserve"> PAGEREF _Toc27260 </w:instrText>
      </w:r>
      <w:r>
        <w:fldChar w:fldCharType="separate"/>
      </w:r>
      <w:r>
        <w:t>73</w:t>
      </w:r>
      <w:r>
        <w:fldChar w:fldCharType="end"/>
      </w:r>
      <w:r>
        <w:fldChar w:fldCharType="end"/>
      </w:r>
    </w:p>
    <w:p>
      <w:pPr>
        <w:pStyle w:val="35"/>
        <w:tabs>
          <w:tab w:val="right" w:leader="dot" w:pos="9070"/>
        </w:tabs>
      </w:pPr>
      <w:r>
        <w:fldChar w:fldCharType="begin"/>
      </w:r>
      <w:r>
        <w:instrText xml:space="preserve"> HYPERLINK \l _Toc10038 </w:instrText>
      </w:r>
      <w:r>
        <w:fldChar w:fldCharType="separate"/>
      </w:r>
      <w:r>
        <w:t>6.</w:t>
      </w:r>
      <w:r>
        <w:rPr>
          <w:rFonts w:hint="eastAsia"/>
          <w:lang w:val="en-US" w:eastAsia="zh-CN"/>
        </w:rPr>
        <w:t>3</w:t>
      </w:r>
      <w:r>
        <w:t xml:space="preserve"> 报警、通讯联络方式</w:t>
      </w:r>
      <w:r>
        <w:tab/>
      </w:r>
      <w:r>
        <w:fldChar w:fldCharType="begin"/>
      </w:r>
      <w:r>
        <w:instrText xml:space="preserve"> PAGEREF _Toc10038 </w:instrText>
      </w:r>
      <w:r>
        <w:fldChar w:fldCharType="separate"/>
      </w:r>
      <w:r>
        <w:t>76</w:t>
      </w:r>
      <w:r>
        <w:fldChar w:fldCharType="end"/>
      </w:r>
      <w:r>
        <w:fldChar w:fldCharType="end"/>
      </w:r>
    </w:p>
    <w:p>
      <w:pPr>
        <w:pStyle w:val="29"/>
        <w:tabs>
          <w:tab w:val="right" w:leader="dot" w:pos="9070"/>
          <w:tab w:val="clear" w:pos="9060"/>
        </w:tabs>
      </w:pPr>
      <w:r>
        <w:fldChar w:fldCharType="begin"/>
      </w:r>
      <w:r>
        <w:instrText xml:space="preserve"> HYPERLINK \l _Toc10116 </w:instrText>
      </w:r>
      <w:r>
        <w:fldChar w:fldCharType="separate"/>
      </w:r>
      <w:r>
        <w:t>7应急处置</w:t>
      </w:r>
      <w:r>
        <w:tab/>
      </w:r>
      <w:r>
        <w:fldChar w:fldCharType="begin"/>
      </w:r>
      <w:r>
        <w:instrText xml:space="preserve"> PAGEREF _Toc10116 </w:instrText>
      </w:r>
      <w:r>
        <w:fldChar w:fldCharType="separate"/>
      </w:r>
      <w:r>
        <w:t>79</w:t>
      </w:r>
      <w:r>
        <w:fldChar w:fldCharType="end"/>
      </w:r>
      <w:r>
        <w:fldChar w:fldCharType="end"/>
      </w:r>
    </w:p>
    <w:p>
      <w:pPr>
        <w:pStyle w:val="35"/>
        <w:tabs>
          <w:tab w:val="right" w:leader="dot" w:pos="9070"/>
        </w:tabs>
      </w:pPr>
      <w:r>
        <w:fldChar w:fldCharType="begin"/>
      </w:r>
      <w:r>
        <w:instrText xml:space="preserve"> HYPERLINK \l _Toc9428 </w:instrText>
      </w:r>
      <w:r>
        <w:fldChar w:fldCharType="separate"/>
      </w:r>
      <w:r>
        <w:t>7.1启动条件</w:t>
      </w:r>
      <w:r>
        <w:tab/>
      </w:r>
      <w:r>
        <w:fldChar w:fldCharType="begin"/>
      </w:r>
      <w:r>
        <w:instrText xml:space="preserve"> PAGEREF _Toc9428 </w:instrText>
      </w:r>
      <w:r>
        <w:fldChar w:fldCharType="separate"/>
      </w:r>
      <w:r>
        <w:t>79</w:t>
      </w:r>
      <w:r>
        <w:fldChar w:fldCharType="end"/>
      </w:r>
      <w:r>
        <w:fldChar w:fldCharType="end"/>
      </w:r>
    </w:p>
    <w:p>
      <w:pPr>
        <w:pStyle w:val="35"/>
        <w:tabs>
          <w:tab w:val="right" w:leader="dot" w:pos="9070"/>
        </w:tabs>
      </w:pPr>
      <w:r>
        <w:fldChar w:fldCharType="begin"/>
      </w:r>
      <w:r>
        <w:instrText xml:space="preserve"> HYPERLINK \l _Toc3366 </w:instrText>
      </w:r>
      <w:r>
        <w:fldChar w:fldCharType="separate"/>
      </w:r>
      <w:r>
        <w:t>7.2信息报告与处置</w:t>
      </w:r>
      <w:r>
        <w:tab/>
      </w:r>
      <w:r>
        <w:fldChar w:fldCharType="begin"/>
      </w:r>
      <w:r>
        <w:instrText xml:space="preserve"> PAGEREF _Toc3366 </w:instrText>
      </w:r>
      <w:r>
        <w:fldChar w:fldCharType="separate"/>
      </w:r>
      <w:r>
        <w:t>80</w:t>
      </w:r>
      <w:r>
        <w:fldChar w:fldCharType="end"/>
      </w:r>
      <w:r>
        <w:fldChar w:fldCharType="end"/>
      </w:r>
    </w:p>
    <w:p>
      <w:pPr>
        <w:pStyle w:val="35"/>
        <w:tabs>
          <w:tab w:val="right" w:leader="dot" w:pos="9070"/>
        </w:tabs>
      </w:pPr>
      <w:r>
        <w:fldChar w:fldCharType="begin"/>
      </w:r>
      <w:r>
        <w:instrText xml:space="preserve"> HYPERLINK \l _Toc25243 </w:instrText>
      </w:r>
      <w:r>
        <w:fldChar w:fldCharType="separate"/>
      </w:r>
      <w:r>
        <w:t>7.3应急响应与措施</w:t>
      </w:r>
      <w:r>
        <w:tab/>
      </w:r>
      <w:r>
        <w:fldChar w:fldCharType="begin"/>
      </w:r>
      <w:r>
        <w:instrText xml:space="preserve"> PAGEREF _Toc25243 </w:instrText>
      </w:r>
      <w:r>
        <w:fldChar w:fldCharType="separate"/>
      </w:r>
      <w:r>
        <w:t>83</w:t>
      </w:r>
      <w:r>
        <w:fldChar w:fldCharType="end"/>
      </w:r>
      <w:r>
        <w:fldChar w:fldCharType="end"/>
      </w:r>
    </w:p>
    <w:p>
      <w:pPr>
        <w:pStyle w:val="35"/>
        <w:tabs>
          <w:tab w:val="right" w:leader="dot" w:pos="9070"/>
        </w:tabs>
      </w:pPr>
      <w:r>
        <w:fldChar w:fldCharType="begin"/>
      </w:r>
      <w:r>
        <w:instrText xml:space="preserve"> HYPERLINK \l _Toc26989 </w:instrText>
      </w:r>
      <w:r>
        <w:fldChar w:fldCharType="separate"/>
      </w:r>
      <w:r>
        <w:t>7.4应急处置</w:t>
      </w:r>
      <w:r>
        <w:tab/>
      </w:r>
      <w:r>
        <w:fldChar w:fldCharType="begin"/>
      </w:r>
      <w:r>
        <w:instrText xml:space="preserve"> PAGEREF _Toc26989 </w:instrText>
      </w:r>
      <w:r>
        <w:fldChar w:fldCharType="separate"/>
      </w:r>
      <w:r>
        <w:t>86</w:t>
      </w:r>
      <w:r>
        <w:fldChar w:fldCharType="end"/>
      </w:r>
      <w:r>
        <w:fldChar w:fldCharType="end"/>
      </w:r>
    </w:p>
    <w:p>
      <w:pPr>
        <w:pStyle w:val="35"/>
        <w:tabs>
          <w:tab w:val="right" w:leader="dot" w:pos="9070"/>
        </w:tabs>
      </w:pPr>
      <w:r>
        <w:fldChar w:fldCharType="begin"/>
      </w:r>
      <w:r>
        <w:instrText xml:space="preserve"> HYPERLINK \l _Toc26640 </w:instrText>
      </w:r>
      <w:r>
        <w:fldChar w:fldCharType="separate"/>
      </w:r>
      <w:r>
        <w:t>7.5人员紧急疏散与撤离</w:t>
      </w:r>
      <w:r>
        <w:tab/>
      </w:r>
      <w:r>
        <w:fldChar w:fldCharType="begin"/>
      </w:r>
      <w:r>
        <w:instrText xml:space="preserve"> PAGEREF _Toc26640 </w:instrText>
      </w:r>
      <w:r>
        <w:fldChar w:fldCharType="separate"/>
      </w:r>
      <w:r>
        <w:t>93</w:t>
      </w:r>
      <w:r>
        <w:fldChar w:fldCharType="end"/>
      </w:r>
      <w:r>
        <w:fldChar w:fldCharType="end"/>
      </w:r>
    </w:p>
    <w:p>
      <w:pPr>
        <w:pStyle w:val="35"/>
        <w:tabs>
          <w:tab w:val="right" w:leader="dot" w:pos="9070"/>
        </w:tabs>
      </w:pPr>
      <w:r>
        <w:fldChar w:fldCharType="begin"/>
      </w:r>
      <w:r>
        <w:instrText xml:space="preserve"> HYPERLINK \l _Toc30926 </w:instrText>
      </w:r>
      <w:r>
        <w:fldChar w:fldCharType="separate"/>
      </w:r>
      <w:r>
        <w:t>7.6应急联动</w:t>
      </w:r>
      <w:r>
        <w:tab/>
      </w:r>
      <w:r>
        <w:fldChar w:fldCharType="begin"/>
      </w:r>
      <w:r>
        <w:instrText xml:space="preserve"> PAGEREF _Toc30926 </w:instrText>
      </w:r>
      <w:r>
        <w:fldChar w:fldCharType="separate"/>
      </w:r>
      <w:r>
        <w:t>94</w:t>
      </w:r>
      <w:r>
        <w:fldChar w:fldCharType="end"/>
      </w:r>
      <w:r>
        <w:fldChar w:fldCharType="end"/>
      </w:r>
    </w:p>
    <w:p>
      <w:pPr>
        <w:pStyle w:val="35"/>
        <w:tabs>
          <w:tab w:val="right" w:leader="dot" w:pos="9070"/>
        </w:tabs>
      </w:pPr>
      <w:r>
        <w:fldChar w:fldCharType="begin"/>
      </w:r>
      <w:r>
        <w:instrText xml:space="preserve"> HYPERLINK \l _Toc3794 </w:instrText>
      </w:r>
      <w:r>
        <w:fldChar w:fldCharType="separate"/>
      </w:r>
      <w:r>
        <w:t>7.7应急监测</w:t>
      </w:r>
      <w:r>
        <w:tab/>
      </w:r>
      <w:r>
        <w:fldChar w:fldCharType="begin"/>
      </w:r>
      <w:r>
        <w:instrText xml:space="preserve"> PAGEREF _Toc3794 </w:instrText>
      </w:r>
      <w:r>
        <w:fldChar w:fldCharType="separate"/>
      </w:r>
      <w:r>
        <w:t>94</w:t>
      </w:r>
      <w:r>
        <w:fldChar w:fldCharType="end"/>
      </w:r>
      <w:r>
        <w:fldChar w:fldCharType="end"/>
      </w:r>
    </w:p>
    <w:p>
      <w:pPr>
        <w:pStyle w:val="35"/>
        <w:tabs>
          <w:tab w:val="right" w:leader="dot" w:pos="9070"/>
        </w:tabs>
      </w:pPr>
      <w:r>
        <w:fldChar w:fldCharType="begin"/>
      </w:r>
      <w:r>
        <w:instrText xml:space="preserve"> HYPERLINK \l _Toc27004 </w:instrText>
      </w:r>
      <w:r>
        <w:fldChar w:fldCharType="separate"/>
      </w:r>
      <w:r>
        <w:t>7.8应急终止</w:t>
      </w:r>
      <w:r>
        <w:tab/>
      </w:r>
      <w:r>
        <w:fldChar w:fldCharType="begin"/>
      </w:r>
      <w:r>
        <w:instrText xml:space="preserve"> PAGEREF _Toc27004 </w:instrText>
      </w:r>
      <w:r>
        <w:fldChar w:fldCharType="separate"/>
      </w:r>
      <w:r>
        <w:t>96</w:t>
      </w:r>
      <w:r>
        <w:fldChar w:fldCharType="end"/>
      </w:r>
      <w:r>
        <w:fldChar w:fldCharType="end"/>
      </w:r>
    </w:p>
    <w:p>
      <w:pPr>
        <w:pStyle w:val="35"/>
        <w:tabs>
          <w:tab w:val="right" w:leader="dot" w:pos="9070"/>
        </w:tabs>
      </w:pPr>
      <w:r>
        <w:fldChar w:fldCharType="begin"/>
      </w:r>
      <w:r>
        <w:instrText xml:space="preserve"> HYPERLINK \l _Toc25361 </w:instrText>
      </w:r>
      <w:r>
        <w:fldChar w:fldCharType="separate"/>
      </w:r>
      <w:r>
        <w:t>7.9应急终止后的行动</w:t>
      </w:r>
      <w:r>
        <w:tab/>
      </w:r>
      <w:r>
        <w:fldChar w:fldCharType="begin"/>
      </w:r>
      <w:r>
        <w:instrText xml:space="preserve"> PAGEREF _Toc25361 </w:instrText>
      </w:r>
      <w:r>
        <w:fldChar w:fldCharType="separate"/>
      </w:r>
      <w:r>
        <w:t>96</w:t>
      </w:r>
      <w:r>
        <w:fldChar w:fldCharType="end"/>
      </w:r>
      <w:r>
        <w:fldChar w:fldCharType="end"/>
      </w:r>
    </w:p>
    <w:p>
      <w:pPr>
        <w:pStyle w:val="29"/>
        <w:tabs>
          <w:tab w:val="right" w:leader="dot" w:pos="9070"/>
          <w:tab w:val="clear" w:pos="9060"/>
        </w:tabs>
      </w:pPr>
      <w:r>
        <w:fldChar w:fldCharType="begin"/>
      </w:r>
      <w:r>
        <w:instrText xml:space="preserve"> HYPERLINK \l _Toc31366 </w:instrText>
      </w:r>
      <w:r>
        <w:fldChar w:fldCharType="separate"/>
      </w:r>
      <w:r>
        <w:t>8 后期处置</w:t>
      </w:r>
      <w:r>
        <w:tab/>
      </w:r>
      <w:r>
        <w:fldChar w:fldCharType="begin"/>
      </w:r>
      <w:r>
        <w:instrText xml:space="preserve"> PAGEREF _Toc31366 </w:instrText>
      </w:r>
      <w:r>
        <w:fldChar w:fldCharType="separate"/>
      </w:r>
      <w:r>
        <w:t>98</w:t>
      </w:r>
      <w:r>
        <w:fldChar w:fldCharType="end"/>
      </w:r>
      <w:r>
        <w:fldChar w:fldCharType="end"/>
      </w:r>
    </w:p>
    <w:p>
      <w:pPr>
        <w:pStyle w:val="35"/>
        <w:tabs>
          <w:tab w:val="right" w:leader="dot" w:pos="9070"/>
        </w:tabs>
      </w:pPr>
      <w:r>
        <w:fldChar w:fldCharType="begin"/>
      </w:r>
      <w:r>
        <w:instrText xml:space="preserve"> HYPERLINK \l _Toc1207 </w:instrText>
      </w:r>
      <w:r>
        <w:fldChar w:fldCharType="separate"/>
      </w:r>
      <w:r>
        <w:t>8.1善后处置</w:t>
      </w:r>
      <w:r>
        <w:tab/>
      </w:r>
      <w:r>
        <w:fldChar w:fldCharType="begin"/>
      </w:r>
      <w:r>
        <w:instrText xml:space="preserve"> PAGEREF _Toc1207 </w:instrText>
      </w:r>
      <w:r>
        <w:fldChar w:fldCharType="separate"/>
      </w:r>
      <w:r>
        <w:t>98</w:t>
      </w:r>
      <w:r>
        <w:fldChar w:fldCharType="end"/>
      </w:r>
      <w:r>
        <w:fldChar w:fldCharType="end"/>
      </w:r>
    </w:p>
    <w:p>
      <w:pPr>
        <w:pStyle w:val="35"/>
        <w:tabs>
          <w:tab w:val="right" w:leader="dot" w:pos="9070"/>
        </w:tabs>
      </w:pPr>
      <w:r>
        <w:fldChar w:fldCharType="begin"/>
      </w:r>
      <w:r>
        <w:instrText xml:space="preserve"> HYPERLINK \l _Toc7398 </w:instrText>
      </w:r>
      <w:r>
        <w:fldChar w:fldCharType="separate"/>
      </w:r>
      <w:r>
        <w:t>8.2 现场洗消</w:t>
      </w:r>
      <w:r>
        <w:tab/>
      </w:r>
      <w:r>
        <w:fldChar w:fldCharType="begin"/>
      </w:r>
      <w:r>
        <w:instrText xml:space="preserve"> PAGEREF _Toc7398 </w:instrText>
      </w:r>
      <w:r>
        <w:fldChar w:fldCharType="separate"/>
      </w:r>
      <w:r>
        <w:t>98</w:t>
      </w:r>
      <w:r>
        <w:fldChar w:fldCharType="end"/>
      </w:r>
      <w:r>
        <w:fldChar w:fldCharType="end"/>
      </w:r>
    </w:p>
    <w:p>
      <w:pPr>
        <w:pStyle w:val="35"/>
        <w:tabs>
          <w:tab w:val="right" w:leader="dot" w:pos="9070"/>
        </w:tabs>
      </w:pPr>
      <w:r>
        <w:fldChar w:fldCharType="begin"/>
      </w:r>
      <w:r>
        <w:instrText xml:space="preserve"> HYPERLINK \l _Toc30404 </w:instrText>
      </w:r>
      <w:r>
        <w:fldChar w:fldCharType="separate"/>
      </w:r>
      <w:r>
        <w:t>8.3调查与评估</w:t>
      </w:r>
      <w:r>
        <w:tab/>
      </w:r>
      <w:r>
        <w:fldChar w:fldCharType="begin"/>
      </w:r>
      <w:r>
        <w:instrText xml:space="preserve"> PAGEREF _Toc30404 </w:instrText>
      </w:r>
      <w:r>
        <w:fldChar w:fldCharType="separate"/>
      </w:r>
      <w:r>
        <w:t>98</w:t>
      </w:r>
      <w:r>
        <w:fldChar w:fldCharType="end"/>
      </w:r>
      <w:r>
        <w:fldChar w:fldCharType="end"/>
      </w:r>
    </w:p>
    <w:p>
      <w:pPr>
        <w:pStyle w:val="35"/>
        <w:tabs>
          <w:tab w:val="right" w:leader="dot" w:pos="9070"/>
        </w:tabs>
      </w:pPr>
      <w:r>
        <w:fldChar w:fldCharType="begin"/>
      </w:r>
      <w:r>
        <w:instrText xml:space="preserve"> HYPERLINK \l _Toc28123 </w:instrText>
      </w:r>
      <w:r>
        <w:fldChar w:fldCharType="separate"/>
      </w:r>
      <w:r>
        <w:t>8.4恢复重建</w:t>
      </w:r>
      <w:r>
        <w:tab/>
      </w:r>
      <w:r>
        <w:fldChar w:fldCharType="begin"/>
      </w:r>
      <w:r>
        <w:instrText xml:space="preserve"> PAGEREF _Toc28123 </w:instrText>
      </w:r>
      <w:r>
        <w:fldChar w:fldCharType="separate"/>
      </w:r>
      <w:r>
        <w:t>98</w:t>
      </w:r>
      <w:r>
        <w:fldChar w:fldCharType="end"/>
      </w:r>
      <w:r>
        <w:fldChar w:fldCharType="end"/>
      </w:r>
    </w:p>
    <w:p>
      <w:pPr>
        <w:pStyle w:val="29"/>
        <w:tabs>
          <w:tab w:val="right" w:leader="dot" w:pos="9070"/>
          <w:tab w:val="clear" w:pos="9060"/>
        </w:tabs>
      </w:pPr>
      <w:r>
        <w:fldChar w:fldCharType="begin"/>
      </w:r>
      <w:r>
        <w:instrText xml:space="preserve"> HYPERLINK \l _Toc30385 </w:instrText>
      </w:r>
      <w:r>
        <w:fldChar w:fldCharType="separate"/>
      </w:r>
      <w:r>
        <w:t>9应急救援保障</w:t>
      </w:r>
      <w:r>
        <w:tab/>
      </w:r>
      <w:r>
        <w:fldChar w:fldCharType="begin"/>
      </w:r>
      <w:r>
        <w:instrText xml:space="preserve"> PAGEREF _Toc30385 </w:instrText>
      </w:r>
      <w:r>
        <w:fldChar w:fldCharType="separate"/>
      </w:r>
      <w:r>
        <w:t>100</w:t>
      </w:r>
      <w:r>
        <w:fldChar w:fldCharType="end"/>
      </w:r>
      <w:r>
        <w:fldChar w:fldCharType="end"/>
      </w:r>
    </w:p>
    <w:p>
      <w:pPr>
        <w:pStyle w:val="35"/>
        <w:tabs>
          <w:tab w:val="right" w:leader="dot" w:pos="9070"/>
        </w:tabs>
      </w:pPr>
      <w:r>
        <w:fldChar w:fldCharType="begin"/>
      </w:r>
      <w:r>
        <w:instrText xml:space="preserve"> HYPERLINK \l _Toc23882 </w:instrText>
      </w:r>
      <w:r>
        <w:fldChar w:fldCharType="separate"/>
      </w:r>
      <w:r>
        <w:t>9.1经费及其他保障</w:t>
      </w:r>
      <w:r>
        <w:tab/>
      </w:r>
      <w:r>
        <w:fldChar w:fldCharType="begin"/>
      </w:r>
      <w:r>
        <w:instrText xml:space="preserve"> PAGEREF _Toc23882 </w:instrText>
      </w:r>
      <w:r>
        <w:fldChar w:fldCharType="separate"/>
      </w:r>
      <w:r>
        <w:t>100</w:t>
      </w:r>
      <w:r>
        <w:fldChar w:fldCharType="end"/>
      </w:r>
      <w:r>
        <w:fldChar w:fldCharType="end"/>
      </w:r>
    </w:p>
    <w:p>
      <w:pPr>
        <w:pStyle w:val="35"/>
        <w:tabs>
          <w:tab w:val="right" w:leader="dot" w:pos="9070"/>
        </w:tabs>
      </w:pPr>
      <w:r>
        <w:fldChar w:fldCharType="begin"/>
      </w:r>
      <w:r>
        <w:instrText xml:space="preserve"> HYPERLINK \l _Toc989 </w:instrText>
      </w:r>
      <w:r>
        <w:fldChar w:fldCharType="separate"/>
      </w:r>
      <w:r>
        <w:t>9.2应急物资装备保障</w:t>
      </w:r>
      <w:r>
        <w:tab/>
      </w:r>
      <w:r>
        <w:fldChar w:fldCharType="begin"/>
      </w:r>
      <w:r>
        <w:instrText xml:space="preserve"> PAGEREF _Toc989 </w:instrText>
      </w:r>
      <w:r>
        <w:fldChar w:fldCharType="separate"/>
      </w:r>
      <w:r>
        <w:t>100</w:t>
      </w:r>
      <w:r>
        <w:fldChar w:fldCharType="end"/>
      </w:r>
      <w:r>
        <w:fldChar w:fldCharType="end"/>
      </w:r>
    </w:p>
    <w:p>
      <w:pPr>
        <w:pStyle w:val="35"/>
        <w:tabs>
          <w:tab w:val="right" w:leader="dot" w:pos="9070"/>
        </w:tabs>
      </w:pPr>
      <w:r>
        <w:fldChar w:fldCharType="begin"/>
      </w:r>
      <w:r>
        <w:instrText xml:space="preserve"> HYPERLINK \l _Toc10237 </w:instrText>
      </w:r>
      <w:r>
        <w:fldChar w:fldCharType="separate"/>
      </w:r>
      <w:r>
        <w:t>9.3应急队伍保障</w:t>
      </w:r>
      <w:r>
        <w:tab/>
      </w:r>
      <w:r>
        <w:fldChar w:fldCharType="begin"/>
      </w:r>
      <w:r>
        <w:instrText xml:space="preserve"> PAGEREF _Toc10237 </w:instrText>
      </w:r>
      <w:r>
        <w:fldChar w:fldCharType="separate"/>
      </w:r>
      <w:r>
        <w:t>100</w:t>
      </w:r>
      <w:r>
        <w:fldChar w:fldCharType="end"/>
      </w:r>
      <w:r>
        <w:fldChar w:fldCharType="end"/>
      </w:r>
    </w:p>
    <w:p>
      <w:pPr>
        <w:pStyle w:val="35"/>
        <w:tabs>
          <w:tab w:val="right" w:leader="dot" w:pos="9070"/>
        </w:tabs>
      </w:pPr>
      <w:r>
        <w:fldChar w:fldCharType="begin"/>
      </w:r>
      <w:r>
        <w:instrText xml:space="preserve"> HYPERLINK \l _Toc16195 </w:instrText>
      </w:r>
      <w:r>
        <w:fldChar w:fldCharType="separate"/>
      </w:r>
      <w:r>
        <w:t>9.4通讯与信息保障措施</w:t>
      </w:r>
      <w:r>
        <w:tab/>
      </w:r>
      <w:r>
        <w:fldChar w:fldCharType="begin"/>
      </w:r>
      <w:r>
        <w:instrText xml:space="preserve"> PAGEREF _Toc16195 </w:instrText>
      </w:r>
      <w:r>
        <w:fldChar w:fldCharType="separate"/>
      </w:r>
      <w:r>
        <w:t>100</w:t>
      </w:r>
      <w:r>
        <w:fldChar w:fldCharType="end"/>
      </w:r>
      <w:r>
        <w:fldChar w:fldCharType="end"/>
      </w:r>
    </w:p>
    <w:p>
      <w:pPr>
        <w:pStyle w:val="35"/>
        <w:tabs>
          <w:tab w:val="right" w:leader="dot" w:pos="9070"/>
        </w:tabs>
      </w:pPr>
      <w:r>
        <w:fldChar w:fldCharType="begin"/>
      </w:r>
      <w:r>
        <w:instrText xml:space="preserve"> HYPERLINK \l _Toc19698 </w:instrText>
      </w:r>
      <w:r>
        <w:fldChar w:fldCharType="separate"/>
      </w:r>
      <w:r>
        <w:t>9.5医疗急救保障</w:t>
      </w:r>
      <w:r>
        <w:tab/>
      </w:r>
      <w:r>
        <w:fldChar w:fldCharType="begin"/>
      </w:r>
      <w:r>
        <w:instrText xml:space="preserve"> PAGEREF _Toc19698 </w:instrText>
      </w:r>
      <w:r>
        <w:fldChar w:fldCharType="separate"/>
      </w:r>
      <w:r>
        <w:t>101</w:t>
      </w:r>
      <w:r>
        <w:fldChar w:fldCharType="end"/>
      </w:r>
      <w:r>
        <w:fldChar w:fldCharType="end"/>
      </w:r>
    </w:p>
    <w:p>
      <w:pPr>
        <w:pStyle w:val="29"/>
        <w:tabs>
          <w:tab w:val="right" w:leader="dot" w:pos="9070"/>
          <w:tab w:val="clear" w:pos="9060"/>
        </w:tabs>
      </w:pPr>
      <w:r>
        <w:fldChar w:fldCharType="begin"/>
      </w:r>
      <w:r>
        <w:instrText xml:space="preserve"> HYPERLINK \l _Toc19985 </w:instrText>
      </w:r>
      <w:r>
        <w:fldChar w:fldCharType="separate"/>
      </w:r>
      <w:r>
        <w:t>10监督管理</w:t>
      </w:r>
      <w:r>
        <w:tab/>
      </w:r>
      <w:r>
        <w:fldChar w:fldCharType="begin"/>
      </w:r>
      <w:r>
        <w:instrText xml:space="preserve"> PAGEREF _Toc19985 </w:instrText>
      </w:r>
      <w:r>
        <w:fldChar w:fldCharType="separate"/>
      </w:r>
      <w:r>
        <w:t>102</w:t>
      </w:r>
      <w:r>
        <w:fldChar w:fldCharType="end"/>
      </w:r>
      <w:r>
        <w:fldChar w:fldCharType="end"/>
      </w:r>
    </w:p>
    <w:p>
      <w:pPr>
        <w:pStyle w:val="35"/>
        <w:tabs>
          <w:tab w:val="right" w:leader="dot" w:pos="9070"/>
        </w:tabs>
      </w:pPr>
      <w:r>
        <w:fldChar w:fldCharType="begin"/>
      </w:r>
      <w:r>
        <w:instrText xml:space="preserve"> HYPERLINK \l _Toc7712 </w:instrText>
      </w:r>
      <w:r>
        <w:fldChar w:fldCharType="separate"/>
      </w:r>
      <w:r>
        <w:t>10.1培训</w:t>
      </w:r>
      <w:r>
        <w:tab/>
      </w:r>
      <w:r>
        <w:fldChar w:fldCharType="begin"/>
      </w:r>
      <w:r>
        <w:instrText xml:space="preserve"> PAGEREF _Toc7712 </w:instrText>
      </w:r>
      <w:r>
        <w:fldChar w:fldCharType="separate"/>
      </w:r>
      <w:r>
        <w:t>102</w:t>
      </w:r>
      <w:r>
        <w:fldChar w:fldCharType="end"/>
      </w:r>
      <w:r>
        <w:fldChar w:fldCharType="end"/>
      </w:r>
    </w:p>
    <w:p>
      <w:pPr>
        <w:pStyle w:val="35"/>
        <w:tabs>
          <w:tab w:val="right" w:leader="dot" w:pos="9070"/>
        </w:tabs>
      </w:pPr>
      <w:r>
        <w:fldChar w:fldCharType="begin"/>
      </w:r>
      <w:r>
        <w:instrText xml:space="preserve"> HYPERLINK \l _Toc32222 </w:instrText>
      </w:r>
      <w:r>
        <w:fldChar w:fldCharType="separate"/>
      </w:r>
      <w:r>
        <w:t>10.2应急预案演练</w:t>
      </w:r>
      <w:r>
        <w:tab/>
      </w:r>
      <w:r>
        <w:fldChar w:fldCharType="begin"/>
      </w:r>
      <w:r>
        <w:instrText xml:space="preserve"> PAGEREF _Toc32222 </w:instrText>
      </w:r>
      <w:r>
        <w:fldChar w:fldCharType="separate"/>
      </w:r>
      <w:r>
        <w:t>103</w:t>
      </w:r>
      <w:r>
        <w:fldChar w:fldCharType="end"/>
      </w:r>
      <w:r>
        <w:fldChar w:fldCharType="end"/>
      </w:r>
    </w:p>
    <w:p>
      <w:pPr>
        <w:pStyle w:val="35"/>
        <w:tabs>
          <w:tab w:val="right" w:leader="dot" w:pos="9070"/>
        </w:tabs>
      </w:pPr>
      <w:r>
        <w:fldChar w:fldCharType="begin"/>
      </w:r>
      <w:r>
        <w:instrText xml:space="preserve"> HYPERLINK \l _Toc20566 </w:instrText>
      </w:r>
      <w:r>
        <w:fldChar w:fldCharType="separate"/>
      </w:r>
      <w:r>
        <w:t>10.3责任与</w:t>
      </w:r>
      <w:r>
        <w:rPr>
          <w:rFonts w:hint="eastAsia"/>
        </w:rPr>
        <w:t>奖</w:t>
      </w:r>
      <w:r>
        <w:t>惩</w:t>
      </w:r>
      <w:r>
        <w:tab/>
      </w:r>
      <w:r>
        <w:fldChar w:fldCharType="begin"/>
      </w:r>
      <w:r>
        <w:instrText xml:space="preserve"> PAGEREF _Toc20566 </w:instrText>
      </w:r>
      <w:r>
        <w:fldChar w:fldCharType="separate"/>
      </w:r>
      <w:r>
        <w:t>106</w:t>
      </w:r>
      <w:r>
        <w:fldChar w:fldCharType="end"/>
      </w:r>
      <w:r>
        <w:fldChar w:fldCharType="end"/>
      </w:r>
    </w:p>
    <w:p>
      <w:pPr>
        <w:pStyle w:val="29"/>
        <w:tabs>
          <w:tab w:val="right" w:leader="dot" w:pos="9070"/>
          <w:tab w:val="clear" w:pos="9060"/>
        </w:tabs>
      </w:pPr>
      <w:r>
        <w:fldChar w:fldCharType="begin"/>
      </w:r>
      <w:r>
        <w:instrText xml:space="preserve"> HYPERLINK \l _Toc8070 </w:instrText>
      </w:r>
      <w:r>
        <w:fldChar w:fldCharType="separate"/>
      </w:r>
      <w:r>
        <w:t>11 附则</w:t>
      </w:r>
      <w:r>
        <w:tab/>
      </w:r>
      <w:r>
        <w:fldChar w:fldCharType="begin"/>
      </w:r>
      <w:r>
        <w:instrText xml:space="preserve"> PAGEREF _Toc8070 </w:instrText>
      </w:r>
      <w:r>
        <w:fldChar w:fldCharType="separate"/>
      </w:r>
      <w:r>
        <w:t>107</w:t>
      </w:r>
      <w:r>
        <w:fldChar w:fldCharType="end"/>
      </w:r>
      <w:r>
        <w:fldChar w:fldCharType="end"/>
      </w:r>
    </w:p>
    <w:p>
      <w:pPr>
        <w:pStyle w:val="35"/>
        <w:tabs>
          <w:tab w:val="right" w:leader="dot" w:pos="9070"/>
        </w:tabs>
      </w:pPr>
      <w:r>
        <w:fldChar w:fldCharType="begin"/>
      </w:r>
      <w:r>
        <w:instrText xml:space="preserve"> HYPERLINK \l _Toc19233 </w:instrText>
      </w:r>
      <w:r>
        <w:fldChar w:fldCharType="separate"/>
      </w:r>
      <w:r>
        <w:t>11.1预案的评审、备案、发布和更新</w:t>
      </w:r>
      <w:r>
        <w:tab/>
      </w:r>
      <w:r>
        <w:fldChar w:fldCharType="begin"/>
      </w:r>
      <w:r>
        <w:instrText xml:space="preserve"> PAGEREF _Toc19233 </w:instrText>
      </w:r>
      <w:r>
        <w:fldChar w:fldCharType="separate"/>
      </w:r>
      <w:r>
        <w:t>107</w:t>
      </w:r>
      <w:r>
        <w:fldChar w:fldCharType="end"/>
      </w:r>
      <w:r>
        <w:fldChar w:fldCharType="end"/>
      </w:r>
    </w:p>
    <w:p>
      <w:pPr>
        <w:pStyle w:val="35"/>
        <w:tabs>
          <w:tab w:val="right" w:leader="dot" w:pos="9070"/>
        </w:tabs>
      </w:pPr>
      <w:r>
        <w:fldChar w:fldCharType="begin"/>
      </w:r>
      <w:r>
        <w:instrText xml:space="preserve"> HYPERLINK \l _Toc30202 </w:instrText>
      </w:r>
      <w:r>
        <w:fldChar w:fldCharType="separate"/>
      </w:r>
      <w:r>
        <w:t>11.2术语与定义</w:t>
      </w:r>
      <w:r>
        <w:tab/>
      </w:r>
      <w:r>
        <w:fldChar w:fldCharType="begin"/>
      </w:r>
      <w:r>
        <w:instrText xml:space="preserve"> PAGEREF _Toc30202 </w:instrText>
      </w:r>
      <w:r>
        <w:fldChar w:fldCharType="separate"/>
      </w:r>
      <w:r>
        <w:t>108</w:t>
      </w:r>
      <w:r>
        <w:fldChar w:fldCharType="end"/>
      </w:r>
      <w:r>
        <w:fldChar w:fldCharType="end"/>
      </w:r>
    </w:p>
    <w:p>
      <w:pPr>
        <w:pStyle w:val="29"/>
        <w:tabs>
          <w:tab w:val="right" w:leader="dot" w:pos="9070"/>
          <w:tab w:val="clear" w:pos="9060"/>
        </w:tabs>
      </w:pPr>
      <w:r>
        <w:fldChar w:fldCharType="begin"/>
      </w:r>
      <w:r>
        <w:instrText xml:space="preserve"> HYPERLINK \l _Toc16609 </w:instrText>
      </w:r>
      <w:r>
        <w:fldChar w:fldCharType="separate"/>
      </w:r>
      <w:r>
        <w:t>12 附件</w:t>
      </w:r>
      <w:r>
        <w:tab/>
      </w:r>
      <w:r>
        <w:fldChar w:fldCharType="begin"/>
      </w:r>
      <w:r>
        <w:instrText xml:space="preserve"> PAGEREF _Toc16609 </w:instrText>
      </w:r>
      <w:r>
        <w:fldChar w:fldCharType="separate"/>
      </w:r>
      <w:r>
        <w:t>112</w:t>
      </w:r>
      <w:r>
        <w:fldChar w:fldCharType="end"/>
      </w:r>
      <w:r>
        <w:fldChar w:fldCharType="end"/>
      </w:r>
    </w:p>
    <w:p>
      <w:pPr>
        <w:pStyle w:val="35"/>
        <w:tabs>
          <w:tab w:val="right" w:leader="dot" w:pos="9070"/>
        </w:tabs>
      </w:pPr>
      <w:r>
        <w:fldChar w:fldCharType="begin"/>
      </w:r>
      <w:r>
        <w:instrText xml:space="preserve"> HYPERLINK \l _Toc16520 </w:instrText>
      </w:r>
      <w:r>
        <w:fldChar w:fldCharType="separate"/>
      </w:r>
      <w:r>
        <w:t>附件1应急响应流程图</w:t>
      </w:r>
      <w:r>
        <w:tab/>
      </w:r>
      <w:r>
        <w:fldChar w:fldCharType="begin"/>
      </w:r>
      <w:r>
        <w:instrText xml:space="preserve"> PAGEREF _Toc16520 </w:instrText>
      </w:r>
      <w:r>
        <w:fldChar w:fldCharType="separate"/>
      </w:r>
      <w:r>
        <w:t>112</w:t>
      </w:r>
      <w:r>
        <w:fldChar w:fldCharType="end"/>
      </w:r>
      <w:r>
        <w:fldChar w:fldCharType="end"/>
      </w:r>
    </w:p>
    <w:p>
      <w:pPr>
        <w:pStyle w:val="35"/>
        <w:tabs>
          <w:tab w:val="right" w:leader="dot" w:pos="9070"/>
        </w:tabs>
      </w:pPr>
      <w:r>
        <w:fldChar w:fldCharType="begin"/>
      </w:r>
      <w:r>
        <w:instrText xml:space="preserve"> HYPERLINK \l _Toc6253 </w:instrText>
      </w:r>
      <w:r>
        <w:fldChar w:fldCharType="separate"/>
      </w:r>
      <w:r>
        <w:t>附件2应急信息接收、处理、上报记录表</w:t>
      </w:r>
      <w:r>
        <w:tab/>
      </w:r>
      <w:r>
        <w:fldChar w:fldCharType="begin"/>
      </w:r>
      <w:r>
        <w:instrText xml:space="preserve"> PAGEREF _Toc6253 </w:instrText>
      </w:r>
      <w:r>
        <w:fldChar w:fldCharType="separate"/>
      </w:r>
      <w:r>
        <w:t>113</w:t>
      </w:r>
      <w:r>
        <w:fldChar w:fldCharType="end"/>
      </w:r>
      <w:r>
        <w:fldChar w:fldCharType="end"/>
      </w:r>
    </w:p>
    <w:p>
      <w:pPr>
        <w:pStyle w:val="35"/>
        <w:tabs>
          <w:tab w:val="right" w:leader="dot" w:pos="9070"/>
        </w:tabs>
      </w:pPr>
      <w:r>
        <w:fldChar w:fldCharType="begin"/>
      </w:r>
      <w:r>
        <w:instrText xml:space="preserve"> HYPERLINK \l _Toc25701 </w:instrText>
      </w:r>
      <w:r>
        <w:fldChar w:fldCharType="separate"/>
      </w:r>
      <w:r>
        <w:t>附件3应急事故通报表</w:t>
      </w:r>
      <w:r>
        <w:tab/>
      </w:r>
      <w:r>
        <w:fldChar w:fldCharType="begin"/>
      </w:r>
      <w:r>
        <w:instrText xml:space="preserve"> PAGEREF _Toc25701 </w:instrText>
      </w:r>
      <w:r>
        <w:fldChar w:fldCharType="separate"/>
      </w:r>
      <w:r>
        <w:t>114</w:t>
      </w:r>
      <w:r>
        <w:fldChar w:fldCharType="end"/>
      </w:r>
      <w:r>
        <w:fldChar w:fldCharType="end"/>
      </w:r>
    </w:p>
    <w:p>
      <w:pPr>
        <w:pStyle w:val="35"/>
        <w:tabs>
          <w:tab w:val="right" w:leader="dot" w:pos="9070"/>
        </w:tabs>
      </w:pPr>
      <w:r>
        <w:fldChar w:fldCharType="begin"/>
      </w:r>
      <w:r>
        <w:instrText xml:space="preserve"> HYPERLINK \l _Toc15608 </w:instrText>
      </w:r>
      <w:r>
        <w:fldChar w:fldCharType="separate"/>
      </w:r>
      <w:r>
        <w:t>附件4四周环境示意图</w:t>
      </w:r>
      <w:r>
        <w:tab/>
      </w:r>
      <w:r>
        <w:fldChar w:fldCharType="begin"/>
      </w:r>
      <w:r>
        <w:instrText xml:space="preserve"> PAGEREF _Toc15608 </w:instrText>
      </w:r>
      <w:r>
        <w:fldChar w:fldCharType="separate"/>
      </w:r>
      <w:r>
        <w:t>115</w:t>
      </w:r>
      <w:r>
        <w:fldChar w:fldCharType="end"/>
      </w:r>
      <w:r>
        <w:fldChar w:fldCharType="end"/>
      </w:r>
    </w:p>
    <w:p>
      <w:pPr>
        <w:pStyle w:val="35"/>
        <w:tabs>
          <w:tab w:val="right" w:leader="dot" w:pos="9070"/>
        </w:tabs>
      </w:pPr>
      <w:r>
        <w:fldChar w:fldCharType="begin"/>
      </w:r>
      <w:r>
        <w:instrText xml:space="preserve"> HYPERLINK \l _Toc6013 </w:instrText>
      </w:r>
      <w:r>
        <w:fldChar w:fldCharType="separate"/>
      </w:r>
      <w:r>
        <w:t>附件5环境风险源分布图</w:t>
      </w:r>
      <w:r>
        <w:tab/>
      </w:r>
      <w:r>
        <w:fldChar w:fldCharType="begin"/>
      </w:r>
      <w:r>
        <w:instrText xml:space="preserve"> PAGEREF _Toc6013 </w:instrText>
      </w:r>
      <w:r>
        <w:fldChar w:fldCharType="separate"/>
      </w:r>
      <w:r>
        <w:t>116</w:t>
      </w:r>
      <w:r>
        <w:fldChar w:fldCharType="end"/>
      </w:r>
      <w:r>
        <w:fldChar w:fldCharType="end"/>
      </w:r>
    </w:p>
    <w:p>
      <w:pPr>
        <w:pStyle w:val="35"/>
        <w:tabs>
          <w:tab w:val="right" w:leader="dot" w:pos="9070"/>
        </w:tabs>
      </w:pPr>
      <w:r>
        <w:fldChar w:fldCharType="begin"/>
      </w:r>
      <w:r>
        <w:instrText xml:space="preserve"> HYPERLINK \l _Toc19999 </w:instrText>
      </w:r>
      <w:r>
        <w:fldChar w:fldCharType="separate"/>
      </w:r>
      <w:r>
        <w:t>附件6雨水管网示意图</w:t>
      </w:r>
      <w:r>
        <w:tab/>
      </w:r>
      <w:r>
        <w:fldChar w:fldCharType="begin"/>
      </w:r>
      <w:r>
        <w:instrText xml:space="preserve"> PAGEREF _Toc19999 </w:instrText>
      </w:r>
      <w:r>
        <w:fldChar w:fldCharType="separate"/>
      </w:r>
      <w:r>
        <w:t>117</w:t>
      </w:r>
      <w:r>
        <w:fldChar w:fldCharType="end"/>
      </w:r>
      <w:r>
        <w:fldChar w:fldCharType="end"/>
      </w:r>
    </w:p>
    <w:p>
      <w:pPr>
        <w:pStyle w:val="35"/>
        <w:tabs>
          <w:tab w:val="right" w:leader="dot" w:pos="9070"/>
        </w:tabs>
      </w:pPr>
      <w:r>
        <w:fldChar w:fldCharType="begin"/>
      </w:r>
      <w:r>
        <w:instrText xml:space="preserve"> HYPERLINK \l _Toc16090 </w:instrText>
      </w:r>
      <w:r>
        <w:fldChar w:fldCharType="separate"/>
      </w:r>
      <w:r>
        <w:t>附件7应急物资示意图</w:t>
      </w:r>
      <w:r>
        <w:tab/>
      </w:r>
      <w:r>
        <w:fldChar w:fldCharType="begin"/>
      </w:r>
      <w:r>
        <w:instrText xml:space="preserve"> PAGEREF _Toc16090 </w:instrText>
      </w:r>
      <w:r>
        <w:fldChar w:fldCharType="separate"/>
      </w:r>
      <w:r>
        <w:t>118</w:t>
      </w:r>
      <w:r>
        <w:fldChar w:fldCharType="end"/>
      </w:r>
      <w:r>
        <w:fldChar w:fldCharType="end"/>
      </w:r>
    </w:p>
    <w:p>
      <w:pPr>
        <w:pStyle w:val="35"/>
        <w:tabs>
          <w:tab w:val="right" w:leader="dot" w:pos="9070"/>
        </w:tabs>
      </w:pPr>
      <w:r>
        <w:fldChar w:fldCharType="begin"/>
      </w:r>
      <w:r>
        <w:instrText xml:space="preserve"> HYPERLINK \l _Toc14649 </w:instrText>
      </w:r>
      <w:r>
        <w:fldChar w:fldCharType="separate"/>
      </w:r>
      <w:r>
        <w:t>附件</w:t>
      </w:r>
      <w:r>
        <w:rPr>
          <w:rFonts w:hint="eastAsia"/>
          <w:lang w:val="en-US" w:eastAsia="zh-CN"/>
        </w:rPr>
        <w:t>8</w:t>
      </w:r>
      <w:r>
        <w:t>应急救援指挥部组织架构图</w:t>
      </w:r>
      <w:r>
        <w:tab/>
      </w:r>
      <w:r>
        <w:fldChar w:fldCharType="begin"/>
      </w:r>
      <w:r>
        <w:instrText xml:space="preserve"> PAGEREF _Toc14649 </w:instrText>
      </w:r>
      <w:r>
        <w:fldChar w:fldCharType="separate"/>
      </w:r>
      <w:r>
        <w:t>120</w:t>
      </w:r>
      <w:r>
        <w:fldChar w:fldCharType="end"/>
      </w:r>
      <w:r>
        <w:fldChar w:fldCharType="end"/>
      </w:r>
    </w:p>
    <w:p>
      <w:pPr>
        <w:pStyle w:val="35"/>
        <w:tabs>
          <w:tab w:val="right" w:leader="dot" w:pos="9070"/>
        </w:tabs>
      </w:pPr>
      <w:r>
        <w:fldChar w:fldCharType="begin"/>
      </w:r>
      <w:r>
        <w:instrText xml:space="preserve"> HYPERLINK \l _Toc1307 </w:instrText>
      </w:r>
      <w:r>
        <w:fldChar w:fldCharType="separate"/>
      </w:r>
      <w:r>
        <w:t>附件</w:t>
      </w:r>
      <w:r>
        <w:rPr>
          <w:rFonts w:hint="eastAsia"/>
          <w:lang w:val="en-US" w:eastAsia="zh-CN"/>
        </w:rPr>
        <w:t>9</w:t>
      </w:r>
      <w:r>
        <w:t>值班联系电话</w:t>
      </w:r>
      <w:r>
        <w:tab/>
      </w:r>
      <w:r>
        <w:fldChar w:fldCharType="begin"/>
      </w:r>
      <w:r>
        <w:instrText xml:space="preserve"> PAGEREF _Toc1307 </w:instrText>
      </w:r>
      <w:r>
        <w:fldChar w:fldCharType="separate"/>
      </w:r>
      <w:r>
        <w:t>121</w:t>
      </w:r>
      <w:r>
        <w:fldChar w:fldCharType="end"/>
      </w:r>
      <w:r>
        <w:fldChar w:fldCharType="end"/>
      </w:r>
    </w:p>
    <w:p>
      <w:pPr>
        <w:pStyle w:val="35"/>
        <w:tabs>
          <w:tab w:val="right" w:leader="dot" w:pos="9070"/>
        </w:tabs>
      </w:pPr>
      <w:r>
        <w:fldChar w:fldCharType="begin"/>
      </w:r>
      <w:r>
        <w:instrText xml:space="preserve"> HYPERLINK \l _Toc20072 </w:instrText>
      </w:r>
      <w:r>
        <w:fldChar w:fldCharType="separate"/>
      </w:r>
      <w:r>
        <w:t>附件1</w:t>
      </w:r>
      <w:r>
        <w:rPr>
          <w:rFonts w:hint="eastAsia"/>
          <w:lang w:val="en-US" w:eastAsia="zh-CN"/>
        </w:rPr>
        <w:t>0</w:t>
      </w:r>
      <w:r>
        <w:t>主要车间负责人的联系电话</w:t>
      </w:r>
      <w:r>
        <w:tab/>
      </w:r>
      <w:r>
        <w:fldChar w:fldCharType="begin"/>
      </w:r>
      <w:r>
        <w:instrText xml:space="preserve"> PAGEREF _Toc20072 </w:instrText>
      </w:r>
      <w:r>
        <w:fldChar w:fldCharType="separate"/>
      </w:r>
      <w:r>
        <w:t>121</w:t>
      </w:r>
      <w:r>
        <w:fldChar w:fldCharType="end"/>
      </w:r>
      <w:r>
        <w:fldChar w:fldCharType="end"/>
      </w:r>
    </w:p>
    <w:p>
      <w:pPr>
        <w:pStyle w:val="35"/>
        <w:tabs>
          <w:tab w:val="right" w:leader="dot" w:pos="9070"/>
        </w:tabs>
      </w:pPr>
      <w:r>
        <w:fldChar w:fldCharType="begin"/>
      </w:r>
      <w:r>
        <w:instrText xml:space="preserve"> HYPERLINK \l _Toc4565 </w:instrText>
      </w:r>
      <w:r>
        <w:fldChar w:fldCharType="separate"/>
      </w:r>
      <w:r>
        <w:t>附件1</w:t>
      </w:r>
      <w:r>
        <w:rPr>
          <w:rFonts w:hint="eastAsia"/>
          <w:lang w:val="en-US" w:eastAsia="zh-CN"/>
        </w:rPr>
        <w:t>1</w:t>
      </w:r>
      <w:r>
        <w:t xml:space="preserve"> 组织应急救援有关人员通讯录</w:t>
      </w:r>
      <w:r>
        <w:tab/>
      </w:r>
      <w:r>
        <w:fldChar w:fldCharType="begin"/>
      </w:r>
      <w:r>
        <w:instrText xml:space="preserve"> PAGEREF _Toc4565 </w:instrText>
      </w:r>
      <w:r>
        <w:fldChar w:fldCharType="separate"/>
      </w:r>
      <w:r>
        <w:t>121</w:t>
      </w:r>
      <w:r>
        <w:fldChar w:fldCharType="end"/>
      </w:r>
      <w:r>
        <w:fldChar w:fldCharType="end"/>
      </w:r>
    </w:p>
    <w:p>
      <w:pPr>
        <w:pStyle w:val="35"/>
        <w:tabs>
          <w:tab w:val="right" w:leader="dot" w:pos="9070"/>
        </w:tabs>
      </w:pPr>
      <w:r>
        <w:fldChar w:fldCharType="begin"/>
      </w:r>
      <w:r>
        <w:instrText xml:space="preserve"> HYPERLINK \l _Toc14080 </w:instrText>
      </w:r>
      <w:r>
        <w:fldChar w:fldCharType="separate"/>
      </w:r>
      <w:r>
        <w:t>附件1</w:t>
      </w:r>
      <w:r>
        <w:rPr>
          <w:rFonts w:hint="eastAsia"/>
          <w:lang w:val="en-US" w:eastAsia="zh-CN"/>
        </w:rPr>
        <w:t>2</w:t>
      </w:r>
      <w:r>
        <w:t>外部救援单位联系电话</w:t>
      </w:r>
      <w:r>
        <w:tab/>
      </w:r>
      <w:r>
        <w:fldChar w:fldCharType="begin"/>
      </w:r>
      <w:r>
        <w:instrText xml:space="preserve"> PAGEREF _Toc14080 </w:instrText>
      </w:r>
      <w:r>
        <w:fldChar w:fldCharType="separate"/>
      </w:r>
      <w:r>
        <w:t>122</w:t>
      </w:r>
      <w:r>
        <w:fldChar w:fldCharType="end"/>
      </w:r>
      <w:r>
        <w:fldChar w:fldCharType="end"/>
      </w:r>
    </w:p>
    <w:p>
      <w:pPr>
        <w:pStyle w:val="35"/>
        <w:tabs>
          <w:tab w:val="right" w:leader="dot" w:pos="9070"/>
        </w:tabs>
      </w:pPr>
      <w:r>
        <w:fldChar w:fldCharType="begin"/>
      </w:r>
      <w:r>
        <w:instrText xml:space="preserve"> HYPERLINK \l _Toc20696 </w:instrText>
      </w:r>
      <w:r>
        <w:fldChar w:fldCharType="separate"/>
      </w:r>
      <w:r>
        <w:t>附件1</w:t>
      </w:r>
      <w:r>
        <w:rPr>
          <w:rFonts w:hint="eastAsia"/>
          <w:lang w:val="en-US" w:eastAsia="zh-CN"/>
        </w:rPr>
        <w:t>3</w:t>
      </w:r>
      <w:r>
        <w:rPr>
          <w:rFonts w:hint="eastAsia"/>
          <w:lang w:eastAsia="zh-CN"/>
        </w:rPr>
        <w:t>应急处置卡</w:t>
      </w:r>
      <w:r>
        <w:tab/>
      </w:r>
      <w:r>
        <w:fldChar w:fldCharType="begin"/>
      </w:r>
      <w:r>
        <w:instrText xml:space="preserve"> PAGEREF _Toc20696 </w:instrText>
      </w:r>
      <w:r>
        <w:fldChar w:fldCharType="separate"/>
      </w:r>
      <w:r>
        <w:t>124</w:t>
      </w:r>
      <w:r>
        <w:fldChar w:fldCharType="end"/>
      </w:r>
      <w:r>
        <w:fldChar w:fldCharType="end"/>
      </w:r>
    </w:p>
    <w:p>
      <w:pPr>
        <w:pStyle w:val="35"/>
        <w:tabs>
          <w:tab w:val="right" w:leader="dot" w:pos="9070"/>
        </w:tabs>
      </w:pPr>
      <w:r>
        <w:fldChar w:fldCharType="begin"/>
      </w:r>
      <w:r>
        <w:instrText xml:space="preserve"> HYPERLINK \l _Toc8244 </w:instrText>
      </w:r>
      <w:r>
        <w:fldChar w:fldCharType="separate"/>
      </w:r>
      <w:r>
        <w:t>附件1</w:t>
      </w:r>
      <w:r>
        <w:rPr>
          <w:rFonts w:hint="eastAsia"/>
          <w:lang w:val="en-US" w:eastAsia="zh-CN"/>
        </w:rPr>
        <w:t>4</w:t>
      </w:r>
      <w:r>
        <w:t>环评批复</w:t>
      </w:r>
      <w:r>
        <w:tab/>
      </w:r>
      <w:r>
        <w:fldChar w:fldCharType="begin"/>
      </w:r>
      <w:r>
        <w:instrText xml:space="preserve"> PAGEREF _Toc8244 </w:instrText>
      </w:r>
      <w:r>
        <w:fldChar w:fldCharType="separate"/>
      </w:r>
      <w:r>
        <w:t>131</w:t>
      </w:r>
      <w:r>
        <w:fldChar w:fldCharType="end"/>
      </w:r>
      <w:r>
        <w:fldChar w:fldCharType="end"/>
      </w:r>
    </w:p>
    <w:p>
      <w:pPr>
        <w:pStyle w:val="35"/>
        <w:tabs>
          <w:tab w:val="right" w:leader="dot" w:pos="9070"/>
        </w:tabs>
      </w:pPr>
      <w:r>
        <w:fldChar w:fldCharType="begin"/>
      </w:r>
      <w:r>
        <w:instrText xml:space="preserve"> HYPERLINK \l _Toc28838 </w:instrText>
      </w:r>
      <w:r>
        <w:fldChar w:fldCharType="separate"/>
      </w:r>
      <w:r>
        <w:t>附件1</w:t>
      </w:r>
      <w:r>
        <w:rPr>
          <w:rFonts w:hint="eastAsia"/>
          <w:lang w:val="en-US" w:eastAsia="zh-CN"/>
        </w:rPr>
        <w:t>5</w:t>
      </w:r>
      <w:r>
        <w:t>废物处置合同</w:t>
      </w:r>
      <w:r>
        <w:tab/>
      </w:r>
      <w:r>
        <w:fldChar w:fldCharType="begin"/>
      </w:r>
      <w:r>
        <w:instrText xml:space="preserve"> PAGEREF _Toc28838 </w:instrText>
      </w:r>
      <w:r>
        <w:fldChar w:fldCharType="separate"/>
      </w:r>
      <w:r>
        <w:t>135</w:t>
      </w:r>
      <w:r>
        <w:fldChar w:fldCharType="end"/>
      </w:r>
      <w:r>
        <w:fldChar w:fldCharType="end"/>
      </w:r>
    </w:p>
    <w:p>
      <w:pPr>
        <w:pStyle w:val="35"/>
        <w:tabs>
          <w:tab w:val="right" w:leader="dot" w:pos="9070"/>
        </w:tabs>
      </w:pPr>
      <w:r>
        <w:fldChar w:fldCharType="begin"/>
      </w:r>
      <w:r>
        <w:instrText xml:space="preserve"> HYPERLINK \l _Toc17456 </w:instrText>
      </w:r>
      <w:r>
        <w:fldChar w:fldCharType="separate"/>
      </w:r>
      <w:r>
        <w:rPr>
          <w:rFonts w:hint="eastAsia"/>
        </w:rPr>
        <w:t>附件1</w:t>
      </w:r>
      <w:r>
        <w:rPr>
          <w:rFonts w:hint="eastAsia"/>
          <w:lang w:val="en-US" w:eastAsia="zh-CN"/>
        </w:rPr>
        <w:t>6</w:t>
      </w:r>
      <w:r>
        <w:rPr>
          <w:rFonts w:hint="eastAsia"/>
          <w:lang w:eastAsia="zh-CN"/>
        </w:rPr>
        <w:t>沼液检测报告</w:t>
      </w:r>
      <w:r>
        <w:tab/>
      </w:r>
      <w:r>
        <w:fldChar w:fldCharType="begin"/>
      </w:r>
      <w:r>
        <w:instrText xml:space="preserve"> PAGEREF _Toc17456 </w:instrText>
      </w:r>
      <w:r>
        <w:fldChar w:fldCharType="separate"/>
      </w:r>
      <w:r>
        <w:t>150</w:t>
      </w:r>
      <w:r>
        <w:fldChar w:fldCharType="end"/>
      </w:r>
      <w:r>
        <w:fldChar w:fldCharType="end"/>
      </w:r>
    </w:p>
    <w:p>
      <w:pPr>
        <w:pStyle w:val="35"/>
        <w:tabs>
          <w:tab w:val="right" w:leader="dot" w:pos="9070"/>
        </w:tabs>
      </w:pPr>
      <w:r>
        <w:fldChar w:fldCharType="begin"/>
      </w:r>
      <w:r>
        <w:instrText xml:space="preserve"> HYPERLINK \l _Toc14754 </w:instrText>
      </w:r>
      <w:r>
        <w:fldChar w:fldCharType="separate"/>
      </w:r>
      <w:r>
        <w:rPr>
          <w:rFonts w:hint="eastAsia"/>
        </w:rPr>
        <w:t>附件1</w:t>
      </w:r>
      <w:r>
        <w:rPr>
          <w:rFonts w:hint="eastAsia"/>
          <w:lang w:val="en-US" w:eastAsia="zh-CN"/>
        </w:rPr>
        <w:t>7</w:t>
      </w:r>
      <w:r>
        <w:rPr>
          <w:rFonts w:hint="eastAsia"/>
        </w:rPr>
        <w:t>验收意见</w:t>
      </w:r>
      <w:r>
        <w:tab/>
      </w:r>
      <w:r>
        <w:fldChar w:fldCharType="begin"/>
      </w:r>
      <w:r>
        <w:instrText xml:space="preserve"> PAGEREF _Toc14754 </w:instrText>
      </w:r>
      <w:r>
        <w:fldChar w:fldCharType="separate"/>
      </w:r>
      <w:r>
        <w:t>155</w:t>
      </w:r>
      <w:r>
        <w:fldChar w:fldCharType="end"/>
      </w:r>
      <w:r>
        <w:fldChar w:fldCharType="end"/>
      </w:r>
    </w:p>
    <w:p>
      <w:pPr>
        <w:pStyle w:val="35"/>
        <w:tabs>
          <w:tab w:val="right" w:leader="dot" w:pos="9070"/>
        </w:tabs>
      </w:pPr>
      <w:r>
        <w:fldChar w:fldCharType="begin"/>
      </w:r>
      <w:r>
        <w:instrText xml:space="preserve"> HYPERLINK \l _Toc3338 </w:instrText>
      </w:r>
      <w:r>
        <w:fldChar w:fldCharType="separate"/>
      </w:r>
      <w:r>
        <w:rPr>
          <w:rFonts w:hint="eastAsia"/>
        </w:rPr>
        <w:t>附件1</w:t>
      </w:r>
      <w:r>
        <w:rPr>
          <w:rFonts w:hint="eastAsia"/>
          <w:lang w:val="en-US" w:eastAsia="zh-CN"/>
        </w:rPr>
        <w:t>8</w:t>
      </w:r>
      <w:r>
        <w:rPr>
          <w:rFonts w:hint="eastAsia"/>
          <w:lang w:eastAsia="zh-CN"/>
        </w:rPr>
        <w:t>应急专家评审会签到表</w:t>
      </w:r>
      <w:r>
        <w:tab/>
      </w:r>
      <w:r>
        <w:fldChar w:fldCharType="begin"/>
      </w:r>
      <w:r>
        <w:instrText xml:space="preserve"> PAGEREF _Toc3338 </w:instrText>
      </w:r>
      <w:r>
        <w:fldChar w:fldCharType="separate"/>
      </w:r>
      <w:r>
        <w:t>160</w:t>
      </w:r>
      <w:r>
        <w:fldChar w:fldCharType="end"/>
      </w:r>
      <w:r>
        <w:fldChar w:fldCharType="end"/>
      </w:r>
    </w:p>
    <w:p>
      <w:pPr>
        <w:pStyle w:val="35"/>
        <w:tabs>
          <w:tab w:val="right" w:leader="dot" w:pos="9070"/>
        </w:tabs>
      </w:pPr>
      <w:r>
        <w:fldChar w:fldCharType="begin"/>
      </w:r>
      <w:r>
        <w:instrText xml:space="preserve"> HYPERLINK \l _Toc11204 </w:instrText>
      </w:r>
      <w:r>
        <w:fldChar w:fldCharType="separate"/>
      </w:r>
      <w:r>
        <w:rPr>
          <w:rFonts w:hint="eastAsia"/>
        </w:rPr>
        <w:t>附件1</w:t>
      </w:r>
      <w:r>
        <w:rPr>
          <w:rFonts w:hint="eastAsia"/>
          <w:lang w:val="en-US" w:eastAsia="zh-CN"/>
        </w:rPr>
        <w:t>9</w:t>
      </w:r>
      <w:r>
        <w:rPr>
          <w:rFonts w:hint="eastAsia"/>
          <w:lang w:eastAsia="zh-CN"/>
        </w:rPr>
        <w:t>应急专家评审会专家意见</w:t>
      </w:r>
      <w:r>
        <w:tab/>
      </w:r>
      <w:r>
        <w:fldChar w:fldCharType="begin"/>
      </w:r>
      <w:r>
        <w:instrText xml:space="preserve"> PAGEREF _Toc11204 </w:instrText>
      </w:r>
      <w:r>
        <w:fldChar w:fldCharType="separate"/>
      </w:r>
      <w:r>
        <w:t>161</w:t>
      </w:r>
      <w:r>
        <w:fldChar w:fldCharType="end"/>
      </w:r>
      <w:r>
        <w:fldChar w:fldCharType="end"/>
      </w:r>
    </w:p>
    <w:p>
      <w:pPr>
        <w:pStyle w:val="35"/>
        <w:tabs>
          <w:tab w:val="right" w:leader="dot" w:pos="9070"/>
        </w:tabs>
      </w:pPr>
      <w:r>
        <w:fldChar w:fldCharType="begin"/>
      </w:r>
      <w:r>
        <w:instrText xml:space="preserve"> HYPERLINK \l _Toc10288 </w:instrText>
      </w:r>
      <w:r>
        <w:fldChar w:fldCharType="separate"/>
      </w:r>
      <w:r>
        <w:rPr>
          <w:rFonts w:hint="eastAsia"/>
        </w:rPr>
        <w:t>附件</w:t>
      </w:r>
      <w:r>
        <w:rPr>
          <w:rFonts w:hint="eastAsia"/>
          <w:lang w:val="en-US" w:eastAsia="zh-CN"/>
        </w:rPr>
        <w:t>20</w:t>
      </w:r>
      <w:r>
        <w:rPr>
          <w:rFonts w:hint="eastAsia"/>
          <w:lang w:eastAsia="zh-CN"/>
        </w:rPr>
        <w:t>应急专家评审会专家评分表</w:t>
      </w:r>
      <w:r>
        <w:tab/>
      </w:r>
      <w:r>
        <w:fldChar w:fldCharType="begin"/>
      </w:r>
      <w:r>
        <w:instrText xml:space="preserve"> PAGEREF _Toc10288 </w:instrText>
      </w:r>
      <w:r>
        <w:fldChar w:fldCharType="separate"/>
      </w:r>
      <w:r>
        <w:t>162</w:t>
      </w:r>
      <w:r>
        <w:fldChar w:fldCharType="end"/>
      </w:r>
      <w:r>
        <w:fldChar w:fldCharType="end"/>
      </w:r>
    </w:p>
    <w:p>
      <w:pPr>
        <w:pStyle w:val="35"/>
        <w:tabs>
          <w:tab w:val="right" w:leader="dot" w:pos="9070"/>
        </w:tabs>
      </w:pPr>
      <w:r>
        <w:fldChar w:fldCharType="begin"/>
      </w:r>
      <w:r>
        <w:instrText xml:space="preserve"> HYPERLINK \l _Toc32465 </w:instrText>
      </w:r>
      <w:r>
        <w:fldChar w:fldCharType="separate"/>
      </w:r>
      <w:r>
        <w:rPr>
          <w:rFonts w:hint="eastAsia"/>
        </w:rPr>
        <w:t>附件</w:t>
      </w:r>
      <w:r>
        <w:rPr>
          <w:rFonts w:hint="eastAsia"/>
          <w:lang w:val="en-US" w:eastAsia="zh-CN"/>
        </w:rPr>
        <w:t>21</w:t>
      </w:r>
      <w:r>
        <w:rPr>
          <w:rFonts w:hint="eastAsia"/>
          <w:lang w:eastAsia="zh-CN"/>
        </w:rPr>
        <w:t>现场整改图片</w:t>
      </w:r>
      <w:r>
        <w:tab/>
      </w:r>
      <w:r>
        <w:fldChar w:fldCharType="begin"/>
      </w:r>
      <w:r>
        <w:instrText xml:space="preserve"> PAGEREF _Toc32465 </w:instrText>
      </w:r>
      <w:r>
        <w:fldChar w:fldCharType="separate"/>
      </w:r>
      <w:r>
        <w:t>192</w:t>
      </w:r>
      <w:r>
        <w:fldChar w:fldCharType="end"/>
      </w:r>
      <w:r>
        <w:fldChar w:fldCharType="end"/>
      </w:r>
    </w:p>
    <w:p>
      <w:pPr>
        <w:pStyle w:val="35"/>
        <w:tabs>
          <w:tab w:val="right" w:leader="dot" w:pos="9070"/>
        </w:tabs>
      </w:pPr>
      <w:r>
        <w:fldChar w:fldCharType="begin"/>
      </w:r>
      <w:r>
        <w:instrText xml:space="preserve"> HYPERLINK \l _Toc22068 </w:instrText>
      </w:r>
      <w:r>
        <w:fldChar w:fldCharType="separate"/>
      </w:r>
      <w:r>
        <w:rPr>
          <w:rFonts w:hint="eastAsia"/>
        </w:rPr>
        <w:t>附件</w:t>
      </w:r>
      <w:r>
        <w:rPr>
          <w:rFonts w:hint="eastAsia"/>
          <w:lang w:val="en-US" w:eastAsia="zh-CN"/>
        </w:rPr>
        <w:t>22</w:t>
      </w:r>
      <w:r>
        <w:rPr>
          <w:rFonts w:hint="eastAsia"/>
          <w:lang w:eastAsia="zh-CN"/>
        </w:rPr>
        <w:t>专家复核意见</w:t>
      </w:r>
      <w:r>
        <w:tab/>
      </w:r>
      <w:r>
        <w:fldChar w:fldCharType="begin"/>
      </w:r>
      <w:r>
        <w:instrText xml:space="preserve"> PAGEREF _Toc22068 </w:instrText>
      </w:r>
      <w:r>
        <w:fldChar w:fldCharType="separate"/>
      </w:r>
      <w:r>
        <w:t>195</w:t>
      </w:r>
      <w:r>
        <w:fldChar w:fldCharType="end"/>
      </w:r>
      <w:r>
        <w:fldChar w:fldCharType="end"/>
      </w:r>
    </w:p>
    <w:p>
      <w:pPr>
        <w:spacing w:line="360" w:lineRule="auto"/>
        <w:ind w:left="654" w:leftChars="225" w:hanging="33" w:hangingChars="12"/>
        <w:rPr>
          <w:sz w:val="24"/>
        </w:rPr>
      </w:pPr>
      <w:r>
        <w:fldChar w:fldCharType="end"/>
      </w:r>
    </w:p>
    <w:p>
      <w:pPr>
        <w:spacing w:line="360" w:lineRule="auto"/>
        <w:ind w:left="649" w:leftChars="225" w:hanging="28" w:hangingChars="12"/>
        <w:rPr>
          <w:sz w:val="24"/>
        </w:rPr>
      </w:pPr>
    </w:p>
    <w:p>
      <w:pPr>
        <w:spacing w:line="360" w:lineRule="auto"/>
        <w:ind w:left="649" w:leftChars="225" w:hanging="28" w:hangingChars="12"/>
        <w:rPr>
          <w:sz w:val="24"/>
        </w:rPr>
      </w:pPr>
    </w:p>
    <w:p>
      <w:pPr>
        <w:spacing w:line="360" w:lineRule="auto"/>
        <w:ind w:left="649" w:leftChars="225" w:hanging="28" w:hangingChars="12"/>
        <w:rPr>
          <w:sz w:val="24"/>
        </w:rPr>
      </w:pPr>
    </w:p>
    <w:p>
      <w:pPr>
        <w:spacing w:line="360" w:lineRule="auto"/>
        <w:ind w:left="649" w:leftChars="225" w:hanging="28" w:hangingChars="12"/>
        <w:rPr>
          <w:sz w:val="24"/>
        </w:rPr>
      </w:pPr>
    </w:p>
    <w:p>
      <w:pPr>
        <w:spacing w:line="360" w:lineRule="auto"/>
        <w:ind w:left="649" w:leftChars="225" w:hanging="28" w:hangingChars="12"/>
        <w:rPr>
          <w:sz w:val="24"/>
        </w:rPr>
      </w:pPr>
    </w:p>
    <w:p>
      <w:pPr>
        <w:spacing w:line="360" w:lineRule="auto"/>
        <w:ind w:left="649" w:leftChars="225" w:hanging="28" w:hangingChars="12"/>
        <w:rPr>
          <w:sz w:val="24"/>
        </w:rPr>
      </w:pPr>
    </w:p>
    <w:p>
      <w:pPr>
        <w:pStyle w:val="2"/>
        <w:sectPr>
          <w:footerReference r:id="rId10" w:type="first"/>
          <w:headerReference r:id="rId6" w:type="default"/>
          <w:footerReference r:id="rId8" w:type="default"/>
          <w:headerReference r:id="rId7" w:type="even"/>
          <w:footerReference r:id="rId9" w:type="even"/>
          <w:pgSz w:w="11906" w:h="16838"/>
          <w:pgMar w:top="1418" w:right="1418" w:bottom="1418" w:left="1418" w:header="851" w:footer="992" w:gutter="0"/>
          <w:pgBorders>
            <w:top w:val="none" w:sz="0" w:space="0"/>
            <w:left w:val="none" w:sz="0" w:space="0"/>
            <w:bottom w:val="none" w:sz="0" w:space="0"/>
            <w:right w:val="none" w:sz="0" w:space="0"/>
          </w:pgBorders>
          <w:pgNumType w:fmt="decimal" w:start="1"/>
          <w:cols w:space="720" w:num="1"/>
          <w:titlePg/>
          <w:docGrid w:linePitch="312" w:charSpace="0"/>
        </w:sectPr>
      </w:pPr>
      <w:bookmarkStart w:id="0" w:name="_Toc27404"/>
      <w:bookmarkStart w:id="1" w:name="_Toc13947"/>
      <w:bookmarkStart w:id="2" w:name="_Toc3383"/>
    </w:p>
    <w:p>
      <w:pPr>
        <w:pStyle w:val="2"/>
      </w:pPr>
      <w:bookmarkStart w:id="3" w:name="_Toc12142"/>
      <w:r>
        <w:t>1 总则</w:t>
      </w:r>
      <w:bookmarkEnd w:id="0"/>
      <w:bookmarkEnd w:id="1"/>
      <w:bookmarkEnd w:id="2"/>
      <w:bookmarkEnd w:id="3"/>
    </w:p>
    <w:p>
      <w:pPr>
        <w:pStyle w:val="17"/>
        <w:rPr>
          <w:rFonts w:ascii="Times New Roman" w:hAnsi="Times New Roman"/>
        </w:rPr>
      </w:pPr>
      <w:r>
        <w:rPr>
          <w:rFonts w:ascii="Times New Roman" w:hAnsi="Times New Roman"/>
        </w:rPr>
        <w:t>依据国家《中华人民共和国突发事件应对法》、《中华人民共和国环境保护法》、《广东省突发事件应急预案管理办法》、《广东省突发事件应对条例》等有关法律法规、国家标准为依据，正确应对突发性环境污染、生态破坏等原因造成的局部或区域环境污染事故，确保事故发生时能快速有效的进行现场应急处理、处置、保护厂区及周边环境、居住区人民的生命、财产安全，防止突发性环境污染事故发生，本着“预防为主、自救为主、统一指挥、分工负责”的原则，制定适合本厂区的突发环境事件应急预案。</w:t>
      </w:r>
    </w:p>
    <w:p>
      <w:pPr>
        <w:pStyle w:val="17"/>
        <w:ind w:firstLine="560" w:firstLineChars="200"/>
        <w:rPr>
          <w:rFonts w:ascii="Times New Roman" w:hAnsi="Times New Roman"/>
        </w:rPr>
      </w:pPr>
      <w:r>
        <w:rPr>
          <w:rFonts w:ascii="Times New Roman" w:hAnsi="Times New Roman"/>
        </w:rPr>
        <w:t>本公司现在已经与地方政府负责突发事件应急反应的机构建立了紧密的合作，并且以后也将继续保持，以确保本预案与公司安全生产应急预案、各级政府的事故应急预案、行动和要求匹配。</w:t>
      </w:r>
    </w:p>
    <w:p>
      <w:pPr>
        <w:pStyle w:val="3"/>
      </w:pPr>
      <w:bookmarkStart w:id="4" w:name="_Toc383502189"/>
      <w:bookmarkStart w:id="5" w:name="_Toc390337411"/>
      <w:bookmarkStart w:id="6" w:name="_Toc26756"/>
      <w:bookmarkStart w:id="7" w:name="_Toc3177"/>
      <w:bookmarkStart w:id="8" w:name="_Toc4948"/>
      <w:bookmarkStart w:id="9" w:name="_Toc367778172"/>
      <w:bookmarkStart w:id="10" w:name="_Toc10886"/>
      <w:bookmarkStart w:id="11" w:name="_Toc381179289"/>
      <w:bookmarkStart w:id="12" w:name="_Toc377547338"/>
      <w:r>
        <w:t>1.1 目的与指导思想</w:t>
      </w:r>
      <w:bookmarkEnd w:id="4"/>
      <w:bookmarkEnd w:id="5"/>
      <w:bookmarkEnd w:id="6"/>
      <w:bookmarkEnd w:id="7"/>
      <w:bookmarkEnd w:id="8"/>
      <w:bookmarkEnd w:id="9"/>
      <w:bookmarkEnd w:id="10"/>
      <w:bookmarkEnd w:id="11"/>
      <w:bookmarkEnd w:id="12"/>
    </w:p>
    <w:p>
      <w:pPr>
        <w:pStyle w:val="17"/>
        <w:ind w:firstLine="560" w:firstLineChars="200"/>
        <w:rPr>
          <w:rFonts w:ascii="Times New Roman" w:hAnsi="Times New Roman"/>
        </w:rPr>
      </w:pPr>
      <w:r>
        <w:rPr>
          <w:rFonts w:ascii="Times New Roman" w:hAnsi="Times New Roman"/>
        </w:rPr>
        <w:t>本应急预案的目的是规范公司突发环境事件应急管理工作，提高突发环境事件应急处置反应速度和协调水平，最大限度地减少突发环境事件的环境破坏和影响程度，并提高公司自防自救能力，一旦发生事故能够及时实施</w:t>
      </w:r>
      <w:r>
        <w:rPr>
          <w:rFonts w:hint="eastAsia" w:ascii="Times New Roman" w:hAnsi="Times New Roman"/>
          <w:lang w:eastAsia="zh-CN"/>
        </w:rPr>
        <w:t>应急</w:t>
      </w:r>
      <w:r>
        <w:rPr>
          <w:rFonts w:ascii="Times New Roman" w:hAnsi="Times New Roman"/>
        </w:rPr>
        <w:t>救援。</w:t>
      </w:r>
    </w:p>
    <w:p>
      <w:pPr>
        <w:pStyle w:val="17"/>
        <w:ind w:firstLine="560" w:firstLineChars="200"/>
        <w:rPr>
          <w:rFonts w:ascii="Times New Roman" w:hAnsi="Times New Roman"/>
        </w:rPr>
      </w:pPr>
      <w:r>
        <w:rPr>
          <w:rFonts w:ascii="Times New Roman" w:hAnsi="Times New Roman"/>
        </w:rPr>
        <w:t>应急预案的指导思想：体现以人为本，一旦发生突发事故，能以最快的速度，最快的效能，有序地实施救援，最大限度地减少对环境、社会的影响。</w:t>
      </w:r>
    </w:p>
    <w:p>
      <w:pPr>
        <w:pStyle w:val="3"/>
      </w:pPr>
      <w:bookmarkStart w:id="13" w:name="_Toc532370361"/>
      <w:bookmarkStart w:id="14" w:name="_Toc31989"/>
      <w:bookmarkStart w:id="15" w:name="_Toc528749963"/>
      <w:r>
        <w:rPr>
          <w:rFonts w:hint="eastAsia"/>
        </w:rPr>
        <w:t>1.2 编制过程说明</w:t>
      </w:r>
      <w:bookmarkEnd w:id="13"/>
      <w:bookmarkEnd w:id="14"/>
      <w:bookmarkEnd w:id="15"/>
    </w:p>
    <w:p>
      <w:pPr>
        <w:pStyle w:val="17"/>
        <w:rPr>
          <w:rFonts w:ascii="Times New Roman" w:hAnsi="Times New Roman"/>
        </w:rPr>
      </w:pPr>
      <w:r>
        <w:rPr>
          <w:rFonts w:ascii="Times New Roman" w:hAnsi="Times New Roman"/>
        </w:rPr>
        <w:t>为贯彻《中华人民共和国环境保护法》、《国家突发环境事故应急预案》及其他相关</w:t>
      </w:r>
      <w:r>
        <w:rPr>
          <w:rFonts w:hint="eastAsia" w:ascii="Times New Roman" w:hAnsi="Times New Roman"/>
          <w:lang w:eastAsia="zh-CN"/>
        </w:rPr>
        <w:t>法律</w:t>
      </w:r>
      <w:r>
        <w:rPr>
          <w:rFonts w:ascii="Times New Roman" w:hAnsi="Times New Roman"/>
        </w:rPr>
        <w:t>法规的要求，为正确、有效和快速地处理突发环境污染事件，阻止和控制污染物向周边环境的无序排放，最大程度地减少环境污染造成的影响和损失，维护国家安全、社会稳定和职工生命财产安全、减少财产损失，预防和控制事故的发生。建立健全环境污染事故应急机制，提高企业应对涉及公共危机的突发环境污染事故的能力，可以使事故发生后能够迅速、有效、有序的实施应急救援维护社会稳定，保障公众生命健康和财产安全，保护环境，促进社会全面、协调、可持续发展。</w:t>
      </w:r>
    </w:p>
    <w:p>
      <w:pPr>
        <w:pStyle w:val="17"/>
        <w:rPr>
          <w:rFonts w:ascii="Times New Roman" w:hAnsi="Times New Roman"/>
        </w:rPr>
      </w:pPr>
      <w:r>
        <w:rPr>
          <w:rFonts w:ascii="Times New Roman" w:hAnsi="Times New Roman"/>
        </w:rPr>
        <w:t>依据《中华人民共和国环境保护法》、《中华人民共和国突发事件应对法》、《中华人民共和国安全生产法》、《国家突发公共事件总体应急预案》和《国家突发环境事故应急预案》及相关的法律、行政法规，制定本预案。本预案是本公司在生产过程中对突发事件实施应急救援工作的规范性文件，用于规范、指导本公司发生突发性污染事故的应急救援行动。</w:t>
      </w:r>
    </w:p>
    <w:p>
      <w:pPr>
        <w:pStyle w:val="17"/>
        <w:rPr>
          <w:rFonts w:ascii="Times New Roman" w:hAnsi="Times New Roman"/>
        </w:rPr>
      </w:pPr>
      <w:r>
        <w:rPr>
          <w:rFonts w:hint="eastAsia" w:ascii="Times New Roman" w:hAnsi="Times New Roman"/>
          <w:lang w:eastAsia="zh-CN"/>
        </w:rPr>
        <w:t>中山市民东有机废物处理有限公司</w:t>
      </w:r>
      <w:r>
        <w:rPr>
          <w:rFonts w:hint="eastAsia" w:ascii="Times New Roman" w:hAnsi="Times New Roman"/>
        </w:rPr>
        <w:t>自</w:t>
      </w:r>
      <w:r>
        <w:rPr>
          <w:rFonts w:hint="eastAsia" w:ascii="Times New Roman" w:hAnsi="Times New Roman"/>
          <w:lang w:eastAsia="zh-CN"/>
        </w:rPr>
        <w:t>编制</w:t>
      </w:r>
      <w:r>
        <w:rPr>
          <w:rFonts w:hint="eastAsia" w:ascii="Times New Roman" w:hAnsi="Times New Roman"/>
        </w:rPr>
        <w:t>并备案了《</w:t>
      </w:r>
      <w:r>
        <w:rPr>
          <w:rFonts w:hint="eastAsia" w:ascii="Times New Roman" w:hAnsi="Times New Roman"/>
          <w:lang w:eastAsia="zh-CN"/>
        </w:rPr>
        <w:t>中山市民东有机废物处理有限公司</w:t>
      </w:r>
      <w:r>
        <w:rPr>
          <w:rFonts w:hint="eastAsia" w:ascii="Times New Roman" w:hAnsi="Times New Roman"/>
        </w:rPr>
        <w:t>突发环境事件应急预案》</w:t>
      </w:r>
      <w:r>
        <w:rPr>
          <w:rFonts w:hint="eastAsia" w:ascii="Times New Roman" w:hAnsi="Times New Roman"/>
          <w:lang w:eastAsia="zh-CN"/>
        </w:rPr>
        <w:t>至今</w:t>
      </w:r>
      <w:r>
        <w:rPr>
          <w:rFonts w:hint="eastAsia" w:ascii="Times New Roman" w:hAnsi="Times New Roman"/>
        </w:rPr>
        <w:t>未发生过突发环境事件。经实施应急预案，企业环境风险防范管理得到提升。根据《</w:t>
      </w:r>
      <w:r>
        <w:rPr>
          <w:rFonts w:ascii="Times New Roman" w:hAnsi="Times New Roman"/>
        </w:rPr>
        <w:t>中山市企业事业单位突发环境事件应急预案管理办法（修订版）</w:t>
      </w:r>
      <w:r>
        <w:rPr>
          <w:rFonts w:hint="eastAsia" w:ascii="Times New Roman" w:hAnsi="Times New Roman"/>
        </w:rPr>
        <w:t>》及《企业突发环境事件风险分级方法》（HJ941-2018）文件要求，本次修订需更新编制依据、企业原辅材料、工艺设备等，重新划分企业突发环境事件风险等级，完善企业与周边的应急联动，进一步提升企业应对突发环境事件的能力。</w:t>
      </w:r>
    </w:p>
    <w:p>
      <w:pPr>
        <w:pStyle w:val="3"/>
      </w:pPr>
      <w:bookmarkStart w:id="16" w:name="_Toc26150"/>
      <w:bookmarkStart w:id="17" w:name="_Toc383502190"/>
      <w:bookmarkStart w:id="18" w:name="_Toc10269"/>
      <w:bookmarkStart w:id="19" w:name="_Toc381179290"/>
      <w:bookmarkStart w:id="20" w:name="_Toc390337412"/>
      <w:bookmarkStart w:id="21" w:name="_Toc377547339"/>
      <w:bookmarkStart w:id="22" w:name="_Toc30534"/>
      <w:bookmarkStart w:id="23" w:name="_Toc367778173"/>
      <w:bookmarkStart w:id="24" w:name="_Toc15998"/>
      <w:r>
        <w:t>1.</w:t>
      </w:r>
      <w:r>
        <w:rPr>
          <w:rFonts w:hint="eastAsia"/>
        </w:rPr>
        <w:t>3</w:t>
      </w:r>
      <w:r>
        <w:t xml:space="preserve"> 职责</w:t>
      </w:r>
      <w:bookmarkEnd w:id="16"/>
      <w:bookmarkEnd w:id="17"/>
      <w:bookmarkEnd w:id="18"/>
      <w:bookmarkEnd w:id="19"/>
      <w:bookmarkEnd w:id="20"/>
      <w:bookmarkEnd w:id="21"/>
      <w:bookmarkEnd w:id="22"/>
      <w:bookmarkEnd w:id="23"/>
      <w:bookmarkEnd w:id="24"/>
    </w:p>
    <w:p>
      <w:pPr>
        <w:pStyle w:val="17"/>
        <w:rPr>
          <w:rFonts w:ascii="Times New Roman" w:hAnsi="Times New Roman"/>
        </w:rPr>
      </w:pPr>
      <w:r>
        <w:rPr>
          <w:rFonts w:hint="eastAsia" w:ascii="Times New Roman" w:hAnsi="Times New Roman"/>
          <w:highlight w:val="none"/>
          <w:lang w:eastAsia="zh-CN"/>
        </w:rPr>
        <w:t>总经理</w:t>
      </w:r>
      <w:r>
        <w:rPr>
          <w:rFonts w:ascii="Times New Roman" w:hAnsi="Times New Roman"/>
        </w:rPr>
        <w:t>负责组织公司相应部门制定应急预案，广泛征求意见、专家评估通过后修订发布应急预案，建立和保持应急准备状态，保证预案和实施程序持续改进。</w:t>
      </w:r>
    </w:p>
    <w:p>
      <w:pPr>
        <w:pStyle w:val="17"/>
        <w:rPr>
          <w:rFonts w:ascii="Times New Roman" w:hAnsi="Times New Roman"/>
        </w:rPr>
      </w:pPr>
      <w:r>
        <w:rPr>
          <w:rFonts w:hint="eastAsia" w:ascii="Times New Roman" w:hAnsi="Times New Roman"/>
          <w:highlight w:val="none"/>
          <w:lang w:eastAsia="zh-CN"/>
        </w:rPr>
        <w:t>总经理</w:t>
      </w:r>
      <w:r>
        <w:rPr>
          <w:rFonts w:ascii="Times New Roman" w:hAnsi="Times New Roman"/>
          <w:highlight w:val="none"/>
        </w:rPr>
        <w:t>和</w:t>
      </w:r>
      <w:r>
        <w:rPr>
          <w:rFonts w:hint="eastAsia" w:ascii="Times New Roman" w:hAnsi="Times New Roman"/>
          <w:highlight w:val="none"/>
          <w:lang w:eastAsia="zh-CN"/>
        </w:rPr>
        <w:t>专职安全管理人员</w:t>
      </w:r>
      <w:r>
        <w:rPr>
          <w:rFonts w:ascii="Times New Roman" w:hAnsi="Times New Roman"/>
        </w:rPr>
        <w:t>负责应急人员培训等管理工作，以确保具有充足的应急反应能力，保证进行充分演习。</w:t>
      </w:r>
    </w:p>
    <w:p>
      <w:pPr>
        <w:pStyle w:val="17"/>
        <w:rPr>
          <w:rFonts w:ascii="Times New Roman" w:hAnsi="Times New Roman"/>
        </w:rPr>
      </w:pPr>
      <w:r>
        <w:rPr>
          <w:rFonts w:ascii="Times New Roman" w:hAnsi="Times New Roman"/>
        </w:rPr>
        <w:t>所有员工都有义务执行本预案中各自的职责。</w:t>
      </w:r>
    </w:p>
    <w:p>
      <w:pPr>
        <w:pStyle w:val="3"/>
      </w:pPr>
      <w:bookmarkStart w:id="25" w:name="_Toc32468"/>
      <w:bookmarkStart w:id="26" w:name="_Toc28473"/>
      <w:bookmarkStart w:id="27" w:name="_Toc383502191"/>
      <w:bookmarkStart w:id="28" w:name="_Toc367778174"/>
      <w:bookmarkStart w:id="29" w:name="_Toc15657"/>
      <w:bookmarkStart w:id="30" w:name="_Toc381179291"/>
      <w:bookmarkStart w:id="31" w:name="_Toc4826"/>
      <w:bookmarkStart w:id="32" w:name="_Toc390337413"/>
      <w:bookmarkStart w:id="33" w:name="_Toc377547340"/>
      <w:r>
        <w:t>1.</w:t>
      </w:r>
      <w:r>
        <w:rPr>
          <w:rFonts w:hint="eastAsia"/>
          <w:lang w:val="en-US" w:eastAsia="zh-CN"/>
        </w:rPr>
        <w:t>4</w:t>
      </w:r>
      <w:r>
        <w:t xml:space="preserve"> 编制依据</w:t>
      </w:r>
      <w:bookmarkEnd w:id="25"/>
      <w:bookmarkEnd w:id="26"/>
      <w:bookmarkEnd w:id="27"/>
      <w:bookmarkEnd w:id="28"/>
      <w:bookmarkEnd w:id="29"/>
      <w:bookmarkEnd w:id="30"/>
      <w:bookmarkEnd w:id="31"/>
      <w:bookmarkEnd w:id="32"/>
      <w:bookmarkEnd w:id="33"/>
    </w:p>
    <w:p>
      <w:pPr>
        <w:spacing w:before="120" w:beforeLines="50" w:line="360" w:lineRule="auto"/>
        <w:ind w:firstLine="552" w:firstLineChars="200"/>
        <w:rPr>
          <w:kern w:val="2"/>
          <w:szCs w:val="28"/>
        </w:rPr>
      </w:pPr>
      <w:r>
        <w:rPr>
          <w:kern w:val="2"/>
          <w:szCs w:val="28"/>
        </w:rPr>
        <w:t>（1）《中华人民共和国安全生产法》（201</w:t>
      </w:r>
      <w:r>
        <w:rPr>
          <w:rFonts w:hint="eastAsia"/>
          <w:kern w:val="2"/>
          <w:szCs w:val="28"/>
        </w:rPr>
        <w:t>7</w:t>
      </w:r>
      <w:r>
        <w:rPr>
          <w:kern w:val="2"/>
          <w:szCs w:val="28"/>
        </w:rPr>
        <w:t>年修订）；</w:t>
      </w:r>
    </w:p>
    <w:p>
      <w:pPr>
        <w:spacing w:before="120" w:beforeLines="50" w:line="360" w:lineRule="auto"/>
        <w:ind w:firstLine="552" w:firstLineChars="200"/>
        <w:rPr>
          <w:kern w:val="2"/>
          <w:szCs w:val="28"/>
        </w:rPr>
      </w:pPr>
      <w:r>
        <w:rPr>
          <w:kern w:val="2"/>
          <w:szCs w:val="28"/>
        </w:rPr>
        <w:t>（2）《中华人民共和国消防法》（</w:t>
      </w:r>
      <w:r>
        <w:rPr>
          <w:rFonts w:hint="eastAsia"/>
          <w:kern w:val="2"/>
          <w:szCs w:val="28"/>
          <w:lang w:val="en-US" w:eastAsia="zh-CN"/>
        </w:rPr>
        <w:t>2019年</w:t>
      </w:r>
      <w:r>
        <w:rPr>
          <w:kern w:val="2"/>
          <w:szCs w:val="28"/>
        </w:rPr>
        <w:t>修订）；</w:t>
      </w:r>
    </w:p>
    <w:p>
      <w:pPr>
        <w:spacing w:before="120" w:beforeLines="50" w:line="360" w:lineRule="auto"/>
        <w:ind w:firstLine="552" w:firstLineChars="200"/>
        <w:rPr>
          <w:kern w:val="2"/>
          <w:szCs w:val="28"/>
        </w:rPr>
      </w:pPr>
      <w:r>
        <w:rPr>
          <w:kern w:val="2"/>
          <w:szCs w:val="28"/>
        </w:rPr>
        <w:t>（3）《中华人民共和国职业病防治法》（</w:t>
      </w:r>
      <w:r>
        <w:rPr>
          <w:rFonts w:hint="eastAsia"/>
          <w:kern w:val="2"/>
          <w:szCs w:val="28"/>
        </w:rPr>
        <w:t>2018年12月29日</w:t>
      </w:r>
      <w:r>
        <w:rPr>
          <w:kern w:val="2"/>
          <w:szCs w:val="28"/>
        </w:rPr>
        <w:t>修订）；</w:t>
      </w:r>
    </w:p>
    <w:p>
      <w:pPr>
        <w:spacing w:before="120" w:beforeLines="50" w:line="360" w:lineRule="auto"/>
        <w:ind w:firstLine="552" w:firstLineChars="200"/>
        <w:rPr>
          <w:kern w:val="2"/>
          <w:szCs w:val="28"/>
        </w:rPr>
      </w:pPr>
      <w:r>
        <w:rPr>
          <w:kern w:val="2"/>
          <w:szCs w:val="28"/>
        </w:rPr>
        <w:t>（4）《关于特大安全事故行政责任追究的规定》（国务院令第302号，2001年4月21日实施）；</w:t>
      </w:r>
    </w:p>
    <w:p>
      <w:pPr>
        <w:spacing w:before="120" w:beforeLines="50" w:line="360" w:lineRule="auto"/>
        <w:ind w:firstLine="552" w:firstLineChars="200"/>
        <w:rPr>
          <w:kern w:val="2"/>
          <w:szCs w:val="28"/>
        </w:rPr>
      </w:pPr>
      <w:r>
        <w:rPr>
          <w:kern w:val="2"/>
          <w:szCs w:val="28"/>
        </w:rPr>
        <w:t>（5）《生产安全事故报告和调查处理</w:t>
      </w:r>
      <w:r>
        <w:rPr>
          <w:rFonts w:hint="eastAsia"/>
          <w:kern w:val="2"/>
          <w:szCs w:val="28"/>
        </w:rPr>
        <w:t>实施</w:t>
      </w:r>
      <w:r>
        <w:rPr>
          <w:kern w:val="2"/>
          <w:szCs w:val="28"/>
        </w:rPr>
        <w:t>条例》（</w:t>
      </w:r>
      <w:r>
        <w:rPr>
          <w:rFonts w:hint="eastAsia"/>
          <w:kern w:val="2"/>
          <w:szCs w:val="28"/>
        </w:rPr>
        <w:t>2018版</w:t>
      </w:r>
      <w:r>
        <w:rPr>
          <w:kern w:val="2"/>
          <w:szCs w:val="28"/>
        </w:rPr>
        <w:t>）；</w:t>
      </w:r>
    </w:p>
    <w:p>
      <w:pPr>
        <w:spacing w:before="120" w:beforeLines="50" w:line="360" w:lineRule="auto"/>
        <w:ind w:firstLine="552" w:firstLineChars="200"/>
        <w:rPr>
          <w:kern w:val="2"/>
          <w:szCs w:val="28"/>
        </w:rPr>
      </w:pPr>
      <w:r>
        <w:rPr>
          <w:kern w:val="2"/>
          <w:szCs w:val="28"/>
        </w:rPr>
        <w:t>（6）《中华人民共和国突发事件应对法》（中华人民共和国主席令第69号，2007年8月30日）；</w:t>
      </w:r>
    </w:p>
    <w:p>
      <w:pPr>
        <w:spacing w:before="120" w:beforeLines="50" w:line="360" w:lineRule="auto"/>
        <w:ind w:firstLine="552" w:firstLineChars="200"/>
        <w:rPr>
          <w:kern w:val="2"/>
          <w:szCs w:val="28"/>
        </w:rPr>
      </w:pPr>
      <w:r>
        <w:rPr>
          <w:kern w:val="2"/>
          <w:szCs w:val="28"/>
        </w:rPr>
        <w:t>（7）《国家突发环境事件应急预案》（国务院，2014年12月29日</w:t>
      </w:r>
      <w:r>
        <w:rPr>
          <w:rFonts w:hint="eastAsia"/>
          <w:kern w:val="2"/>
          <w:szCs w:val="28"/>
        </w:rPr>
        <w:t>颁布</w:t>
      </w:r>
      <w:r>
        <w:rPr>
          <w:kern w:val="2"/>
          <w:szCs w:val="28"/>
        </w:rPr>
        <w:t>）；</w:t>
      </w:r>
    </w:p>
    <w:p>
      <w:pPr>
        <w:spacing w:before="120" w:beforeLines="50" w:line="360" w:lineRule="auto"/>
        <w:ind w:firstLine="552" w:firstLineChars="200"/>
        <w:rPr>
          <w:kern w:val="2"/>
          <w:szCs w:val="28"/>
        </w:rPr>
      </w:pPr>
      <w:r>
        <w:rPr>
          <w:kern w:val="2"/>
          <w:szCs w:val="28"/>
        </w:rPr>
        <w:t>（8）《国家突发公共事件总体应急预案》（国务院，2006.01.08）；</w:t>
      </w:r>
    </w:p>
    <w:p>
      <w:pPr>
        <w:spacing w:before="120" w:beforeLines="50" w:line="360" w:lineRule="auto"/>
        <w:ind w:firstLine="552" w:firstLineChars="200"/>
        <w:rPr>
          <w:kern w:val="2"/>
          <w:szCs w:val="28"/>
        </w:rPr>
      </w:pPr>
      <w:r>
        <w:rPr>
          <w:kern w:val="2"/>
          <w:szCs w:val="28"/>
        </w:rPr>
        <w:t>（9）《中华人民共和国环境保护法》（2014年4月）；</w:t>
      </w:r>
    </w:p>
    <w:p>
      <w:pPr>
        <w:spacing w:before="120" w:beforeLines="50" w:line="360" w:lineRule="auto"/>
        <w:ind w:firstLine="552" w:firstLineChars="200"/>
        <w:rPr>
          <w:kern w:val="2"/>
          <w:szCs w:val="28"/>
        </w:rPr>
      </w:pPr>
      <w:r>
        <w:rPr>
          <w:kern w:val="2"/>
          <w:szCs w:val="28"/>
        </w:rPr>
        <w:t>（10）《中华人民共和国环境影响评价法》（</w:t>
      </w:r>
      <w:r>
        <w:rPr>
          <w:rFonts w:hint="eastAsia"/>
          <w:kern w:val="2"/>
          <w:szCs w:val="28"/>
        </w:rPr>
        <w:t>2018年12月29日</w:t>
      </w:r>
      <w:r>
        <w:rPr>
          <w:kern w:val="2"/>
          <w:szCs w:val="28"/>
        </w:rPr>
        <w:t>）；</w:t>
      </w:r>
    </w:p>
    <w:p>
      <w:pPr>
        <w:spacing w:before="120" w:beforeLines="50" w:line="360" w:lineRule="auto"/>
        <w:ind w:firstLine="552" w:firstLineChars="200"/>
        <w:rPr>
          <w:kern w:val="2"/>
          <w:szCs w:val="28"/>
        </w:rPr>
      </w:pPr>
      <w:r>
        <w:rPr>
          <w:kern w:val="2"/>
          <w:szCs w:val="28"/>
        </w:rPr>
        <w:t>（11）《中华人民共和国水污染防治法》（20</w:t>
      </w:r>
      <w:r>
        <w:rPr>
          <w:rFonts w:hint="eastAsia"/>
          <w:kern w:val="2"/>
          <w:szCs w:val="28"/>
        </w:rPr>
        <w:t>17</w:t>
      </w:r>
      <w:r>
        <w:rPr>
          <w:kern w:val="2"/>
          <w:szCs w:val="28"/>
        </w:rPr>
        <w:t>年修订）；</w:t>
      </w:r>
    </w:p>
    <w:p>
      <w:pPr>
        <w:spacing w:before="120" w:beforeLines="50" w:line="360" w:lineRule="auto"/>
        <w:ind w:firstLine="552" w:firstLineChars="200"/>
        <w:rPr>
          <w:kern w:val="2"/>
          <w:szCs w:val="28"/>
        </w:rPr>
      </w:pPr>
      <w:r>
        <w:rPr>
          <w:kern w:val="2"/>
          <w:szCs w:val="28"/>
        </w:rPr>
        <w:t>（12）《中华人民共和国大气污染防治法》（</w:t>
      </w:r>
      <w:r>
        <w:rPr>
          <w:rFonts w:hint="eastAsia"/>
          <w:kern w:val="2"/>
          <w:szCs w:val="28"/>
        </w:rPr>
        <w:t>2018年10月26日</w:t>
      </w:r>
      <w:r>
        <w:rPr>
          <w:kern w:val="2"/>
          <w:szCs w:val="28"/>
        </w:rPr>
        <w:t>修订）；</w:t>
      </w:r>
    </w:p>
    <w:p>
      <w:pPr>
        <w:spacing w:before="120" w:beforeLines="50" w:line="360" w:lineRule="auto"/>
        <w:ind w:firstLine="552" w:firstLineChars="200"/>
        <w:rPr>
          <w:kern w:val="2"/>
          <w:szCs w:val="28"/>
        </w:rPr>
      </w:pPr>
      <w:r>
        <w:rPr>
          <w:kern w:val="2"/>
          <w:szCs w:val="28"/>
        </w:rPr>
        <w:t>（13）《中华人民共和国固体废物污染环境防治法》（201</w:t>
      </w:r>
      <w:r>
        <w:rPr>
          <w:rFonts w:hint="eastAsia"/>
          <w:kern w:val="2"/>
          <w:szCs w:val="28"/>
        </w:rPr>
        <w:t>6</w:t>
      </w:r>
      <w:r>
        <w:rPr>
          <w:kern w:val="2"/>
          <w:szCs w:val="28"/>
        </w:rPr>
        <w:t>年修正）；</w:t>
      </w:r>
    </w:p>
    <w:p>
      <w:pPr>
        <w:spacing w:before="120" w:beforeLines="50" w:line="360" w:lineRule="auto"/>
        <w:ind w:firstLine="552" w:firstLineChars="200"/>
        <w:rPr>
          <w:kern w:val="2"/>
          <w:szCs w:val="28"/>
        </w:rPr>
      </w:pPr>
      <w:r>
        <w:rPr>
          <w:kern w:val="2"/>
          <w:szCs w:val="28"/>
        </w:rPr>
        <w:t>（1</w:t>
      </w:r>
      <w:r>
        <w:rPr>
          <w:rFonts w:hint="eastAsia"/>
          <w:kern w:val="2"/>
          <w:szCs w:val="28"/>
        </w:rPr>
        <w:t>4</w:t>
      </w:r>
      <w:r>
        <w:rPr>
          <w:kern w:val="2"/>
          <w:szCs w:val="28"/>
        </w:rPr>
        <w:t>）《中华人民共和国环境噪声污染防治法》（</w:t>
      </w:r>
      <w:r>
        <w:rPr>
          <w:rFonts w:hint="eastAsia"/>
          <w:kern w:val="2"/>
          <w:szCs w:val="28"/>
        </w:rPr>
        <w:t>2018年12月</w:t>
      </w:r>
      <w:r>
        <w:rPr>
          <w:kern w:val="2"/>
          <w:szCs w:val="28"/>
        </w:rPr>
        <w:t>修订）；</w:t>
      </w:r>
    </w:p>
    <w:p>
      <w:pPr>
        <w:spacing w:before="120" w:beforeLines="50" w:line="360" w:lineRule="auto"/>
        <w:ind w:firstLine="552" w:firstLineChars="200"/>
        <w:rPr>
          <w:kern w:val="2"/>
          <w:szCs w:val="28"/>
        </w:rPr>
      </w:pPr>
      <w:r>
        <w:rPr>
          <w:kern w:val="2"/>
          <w:szCs w:val="28"/>
        </w:rPr>
        <w:t>（1</w:t>
      </w:r>
      <w:r>
        <w:rPr>
          <w:rFonts w:hint="eastAsia"/>
          <w:kern w:val="2"/>
          <w:szCs w:val="28"/>
        </w:rPr>
        <w:t>5</w:t>
      </w:r>
      <w:r>
        <w:rPr>
          <w:kern w:val="2"/>
          <w:szCs w:val="28"/>
        </w:rPr>
        <w:t>）《建设</w:t>
      </w:r>
      <w:r>
        <w:rPr>
          <w:rFonts w:hint="eastAsia"/>
          <w:kern w:val="2"/>
          <w:szCs w:val="28"/>
        </w:rPr>
        <w:t>项目</w:t>
      </w:r>
      <w:r>
        <w:rPr>
          <w:kern w:val="2"/>
          <w:szCs w:val="28"/>
        </w:rPr>
        <w:t>环境风险评价技术导则》（HJ 169-2018）；</w:t>
      </w:r>
    </w:p>
    <w:p>
      <w:pPr>
        <w:spacing w:before="120" w:beforeLines="50" w:line="360" w:lineRule="auto"/>
        <w:ind w:firstLine="552" w:firstLineChars="200"/>
        <w:rPr>
          <w:kern w:val="2"/>
          <w:szCs w:val="28"/>
        </w:rPr>
      </w:pPr>
      <w:r>
        <w:rPr>
          <w:kern w:val="2"/>
          <w:szCs w:val="28"/>
        </w:rPr>
        <w:t>（1</w:t>
      </w:r>
      <w:r>
        <w:rPr>
          <w:rFonts w:hint="eastAsia"/>
          <w:kern w:val="2"/>
          <w:szCs w:val="28"/>
        </w:rPr>
        <w:t>6</w:t>
      </w:r>
      <w:r>
        <w:rPr>
          <w:kern w:val="2"/>
          <w:szCs w:val="28"/>
        </w:rPr>
        <w:t>）</w:t>
      </w:r>
      <w:r>
        <w:rPr>
          <w:rFonts w:hint="eastAsia"/>
          <w:kern w:val="2"/>
          <w:szCs w:val="28"/>
        </w:rPr>
        <w:t xml:space="preserve"> </w:t>
      </w:r>
      <w:r>
        <w:rPr>
          <w:kern w:val="2"/>
          <w:szCs w:val="28"/>
        </w:rPr>
        <w:t>《关于防范环境风险加强环境影响评价管理的通知》（环发〔2005〕152号）；</w:t>
      </w:r>
    </w:p>
    <w:p>
      <w:pPr>
        <w:spacing w:before="120" w:beforeLines="50" w:line="360" w:lineRule="auto"/>
        <w:ind w:firstLine="552" w:firstLineChars="200"/>
        <w:rPr>
          <w:kern w:val="2"/>
          <w:szCs w:val="28"/>
        </w:rPr>
      </w:pPr>
      <w:r>
        <w:rPr>
          <w:kern w:val="2"/>
          <w:szCs w:val="28"/>
        </w:rPr>
        <w:t>（1</w:t>
      </w:r>
      <w:r>
        <w:rPr>
          <w:rFonts w:hint="eastAsia"/>
          <w:kern w:val="2"/>
          <w:szCs w:val="28"/>
        </w:rPr>
        <w:t>7</w:t>
      </w:r>
      <w:r>
        <w:rPr>
          <w:kern w:val="2"/>
          <w:szCs w:val="28"/>
        </w:rPr>
        <w:t>）《地表水环境质量标准》（GB3838-2002）；</w:t>
      </w:r>
    </w:p>
    <w:p>
      <w:pPr>
        <w:spacing w:before="120" w:beforeLines="50" w:line="360" w:lineRule="auto"/>
        <w:ind w:firstLine="552" w:firstLineChars="200"/>
        <w:rPr>
          <w:kern w:val="2"/>
          <w:szCs w:val="28"/>
        </w:rPr>
      </w:pPr>
      <w:r>
        <w:rPr>
          <w:kern w:val="2"/>
          <w:szCs w:val="28"/>
        </w:rPr>
        <w:t>（1</w:t>
      </w:r>
      <w:r>
        <w:rPr>
          <w:rFonts w:hint="eastAsia"/>
          <w:kern w:val="2"/>
          <w:szCs w:val="28"/>
        </w:rPr>
        <w:t>8</w:t>
      </w:r>
      <w:r>
        <w:rPr>
          <w:kern w:val="2"/>
          <w:szCs w:val="28"/>
        </w:rPr>
        <w:t>）《环境空气质量标准》（GB3095-20</w:t>
      </w:r>
      <w:r>
        <w:rPr>
          <w:rFonts w:hint="eastAsia"/>
          <w:kern w:val="2"/>
          <w:szCs w:val="28"/>
          <w:lang w:val="en-US" w:eastAsia="zh-CN"/>
        </w:rPr>
        <w:t>18</w:t>
      </w:r>
      <w:r>
        <w:rPr>
          <w:kern w:val="2"/>
          <w:szCs w:val="28"/>
        </w:rPr>
        <w:t>）；</w:t>
      </w:r>
    </w:p>
    <w:p>
      <w:pPr>
        <w:spacing w:before="120" w:beforeLines="50" w:line="360" w:lineRule="auto"/>
        <w:ind w:firstLine="552" w:firstLineChars="200"/>
        <w:rPr>
          <w:kern w:val="2"/>
          <w:szCs w:val="28"/>
        </w:rPr>
      </w:pPr>
      <w:r>
        <w:rPr>
          <w:kern w:val="2"/>
          <w:szCs w:val="28"/>
        </w:rPr>
        <w:t>（</w:t>
      </w:r>
      <w:r>
        <w:rPr>
          <w:rFonts w:hint="eastAsia"/>
          <w:kern w:val="2"/>
          <w:szCs w:val="28"/>
        </w:rPr>
        <w:t>19</w:t>
      </w:r>
      <w:r>
        <w:rPr>
          <w:kern w:val="2"/>
          <w:szCs w:val="28"/>
        </w:rPr>
        <w:t>）《大气污染物综合排放标准》（GB16297-1996）；</w:t>
      </w:r>
    </w:p>
    <w:p>
      <w:pPr>
        <w:spacing w:before="120" w:beforeLines="50" w:line="360" w:lineRule="auto"/>
        <w:ind w:firstLine="552" w:firstLineChars="200"/>
        <w:rPr>
          <w:kern w:val="2"/>
          <w:szCs w:val="28"/>
        </w:rPr>
      </w:pPr>
      <w:r>
        <w:rPr>
          <w:kern w:val="2"/>
          <w:szCs w:val="28"/>
        </w:rPr>
        <w:t>（2</w:t>
      </w:r>
      <w:r>
        <w:rPr>
          <w:rFonts w:hint="eastAsia"/>
          <w:kern w:val="2"/>
          <w:szCs w:val="28"/>
        </w:rPr>
        <w:t>0</w:t>
      </w:r>
      <w:r>
        <w:rPr>
          <w:kern w:val="2"/>
          <w:szCs w:val="28"/>
        </w:rPr>
        <w:t>）《广东省地方标准水污染物排放限值》（DB44/26-2001）；</w:t>
      </w:r>
    </w:p>
    <w:p>
      <w:pPr>
        <w:spacing w:before="120" w:beforeLines="50" w:line="360" w:lineRule="auto"/>
        <w:ind w:firstLine="552" w:firstLineChars="200"/>
        <w:rPr>
          <w:kern w:val="2"/>
          <w:szCs w:val="28"/>
        </w:rPr>
      </w:pPr>
      <w:r>
        <w:rPr>
          <w:kern w:val="2"/>
          <w:szCs w:val="28"/>
        </w:rPr>
        <w:t>（2</w:t>
      </w:r>
      <w:r>
        <w:rPr>
          <w:rFonts w:hint="eastAsia"/>
          <w:kern w:val="2"/>
          <w:szCs w:val="28"/>
        </w:rPr>
        <w:t>1</w:t>
      </w:r>
      <w:r>
        <w:rPr>
          <w:kern w:val="2"/>
          <w:szCs w:val="28"/>
        </w:rPr>
        <w:t>）《广东省地方标准大气污染物排放限值》（DB44/27-2001）；</w:t>
      </w:r>
    </w:p>
    <w:p>
      <w:pPr>
        <w:spacing w:before="120" w:beforeLines="50" w:line="360" w:lineRule="auto"/>
        <w:ind w:firstLine="552" w:firstLineChars="200"/>
        <w:rPr>
          <w:kern w:val="2"/>
          <w:szCs w:val="28"/>
        </w:rPr>
      </w:pPr>
      <w:r>
        <w:rPr>
          <w:kern w:val="2"/>
          <w:szCs w:val="28"/>
        </w:rPr>
        <w:t>（2</w:t>
      </w:r>
      <w:r>
        <w:rPr>
          <w:rFonts w:hint="eastAsia"/>
          <w:kern w:val="2"/>
          <w:szCs w:val="28"/>
        </w:rPr>
        <w:t>2</w:t>
      </w:r>
      <w:r>
        <w:rPr>
          <w:kern w:val="2"/>
          <w:szCs w:val="28"/>
        </w:rPr>
        <w:t>）《锅炉大气污染物排放标准》(GB13271-201</w:t>
      </w:r>
      <w:r>
        <w:rPr>
          <w:rFonts w:hint="eastAsia"/>
          <w:kern w:val="2"/>
          <w:szCs w:val="28"/>
          <w:lang w:val="en-US" w:eastAsia="zh-CN"/>
        </w:rPr>
        <w:t>9</w:t>
      </w:r>
      <w:r>
        <w:rPr>
          <w:kern w:val="2"/>
          <w:szCs w:val="28"/>
        </w:rPr>
        <w:t>)；</w:t>
      </w:r>
    </w:p>
    <w:p>
      <w:pPr>
        <w:spacing w:before="120" w:beforeLines="50" w:line="360" w:lineRule="auto"/>
        <w:ind w:firstLine="552" w:firstLineChars="200"/>
        <w:rPr>
          <w:kern w:val="2"/>
          <w:szCs w:val="28"/>
        </w:rPr>
      </w:pPr>
      <w:r>
        <w:rPr>
          <w:kern w:val="2"/>
          <w:szCs w:val="28"/>
        </w:rPr>
        <w:t>（2</w:t>
      </w:r>
      <w:r>
        <w:rPr>
          <w:rFonts w:hint="eastAsia"/>
          <w:kern w:val="2"/>
          <w:szCs w:val="28"/>
        </w:rPr>
        <w:t>3</w:t>
      </w:r>
      <w:r>
        <w:rPr>
          <w:kern w:val="2"/>
          <w:szCs w:val="28"/>
        </w:rPr>
        <w:t>）《工作场所有害因素职业接触限值》（GBZ2-2002）；</w:t>
      </w:r>
    </w:p>
    <w:p>
      <w:pPr>
        <w:spacing w:before="120" w:beforeLines="50" w:line="360" w:lineRule="auto"/>
        <w:ind w:firstLine="552" w:firstLineChars="200"/>
        <w:rPr>
          <w:kern w:val="2"/>
          <w:szCs w:val="28"/>
        </w:rPr>
      </w:pPr>
      <w:r>
        <w:rPr>
          <w:kern w:val="2"/>
          <w:szCs w:val="28"/>
        </w:rPr>
        <w:t>（2</w:t>
      </w:r>
      <w:r>
        <w:rPr>
          <w:rFonts w:hint="eastAsia"/>
          <w:kern w:val="2"/>
          <w:szCs w:val="28"/>
        </w:rPr>
        <w:t>4</w:t>
      </w:r>
      <w:r>
        <w:rPr>
          <w:kern w:val="2"/>
          <w:szCs w:val="28"/>
        </w:rPr>
        <w:t>）《恶臭污染物排放标准》（GB14554－93）；</w:t>
      </w:r>
    </w:p>
    <w:p>
      <w:pPr>
        <w:spacing w:before="120" w:beforeLines="50" w:line="360" w:lineRule="auto"/>
        <w:ind w:firstLine="552" w:firstLineChars="200"/>
        <w:rPr>
          <w:kern w:val="2"/>
          <w:szCs w:val="28"/>
        </w:rPr>
      </w:pPr>
      <w:r>
        <w:rPr>
          <w:kern w:val="2"/>
          <w:szCs w:val="28"/>
        </w:rPr>
        <w:t>（2</w:t>
      </w:r>
      <w:r>
        <w:rPr>
          <w:rFonts w:hint="eastAsia"/>
          <w:kern w:val="2"/>
          <w:szCs w:val="28"/>
        </w:rPr>
        <w:t>5</w:t>
      </w:r>
      <w:r>
        <w:rPr>
          <w:kern w:val="2"/>
          <w:szCs w:val="28"/>
        </w:rPr>
        <w:t>）《工业企业设计卫生标准》（</w:t>
      </w:r>
      <w:r>
        <w:rPr>
          <w:rFonts w:hint="eastAsia"/>
          <w:kern w:val="2"/>
          <w:szCs w:val="28"/>
        </w:rPr>
        <w:t>GBZ1-2010</w:t>
      </w:r>
      <w:r>
        <w:rPr>
          <w:kern w:val="2"/>
          <w:szCs w:val="28"/>
        </w:rPr>
        <w:t>）；</w:t>
      </w:r>
    </w:p>
    <w:p>
      <w:pPr>
        <w:spacing w:before="120" w:beforeLines="50" w:line="360" w:lineRule="auto"/>
        <w:ind w:firstLine="552" w:firstLineChars="200"/>
        <w:rPr>
          <w:rFonts w:hint="eastAsia" w:eastAsia="宋体"/>
          <w:kern w:val="2"/>
          <w:szCs w:val="28"/>
          <w:lang w:eastAsia="zh-CN"/>
        </w:rPr>
      </w:pPr>
      <w:r>
        <w:rPr>
          <w:rFonts w:hint="eastAsia"/>
          <w:kern w:val="2"/>
          <w:szCs w:val="28"/>
          <w:lang w:eastAsia="zh-CN"/>
        </w:rPr>
        <w:t>（</w:t>
      </w:r>
      <w:r>
        <w:rPr>
          <w:rFonts w:hint="eastAsia"/>
          <w:kern w:val="2"/>
          <w:szCs w:val="28"/>
          <w:lang w:val="en-US" w:eastAsia="zh-CN"/>
        </w:rPr>
        <w:t>26</w:t>
      </w:r>
      <w:r>
        <w:rPr>
          <w:rFonts w:hint="eastAsia"/>
          <w:kern w:val="2"/>
          <w:szCs w:val="28"/>
          <w:lang w:eastAsia="zh-CN"/>
        </w:rPr>
        <w:t>）《建筑设计防火规范》（</w:t>
      </w:r>
      <w:r>
        <w:rPr>
          <w:rFonts w:hint="eastAsia"/>
          <w:kern w:val="2"/>
          <w:szCs w:val="28"/>
          <w:lang w:val="en-US" w:eastAsia="zh-CN"/>
        </w:rPr>
        <w:t>GB50016-2014</w:t>
      </w:r>
      <w:r>
        <w:rPr>
          <w:rFonts w:hint="eastAsia"/>
          <w:kern w:val="2"/>
          <w:szCs w:val="28"/>
          <w:lang w:eastAsia="zh-CN"/>
        </w:rPr>
        <w:t>）</w:t>
      </w:r>
    </w:p>
    <w:p>
      <w:pPr>
        <w:spacing w:before="120" w:beforeLines="50" w:line="360" w:lineRule="auto"/>
        <w:ind w:firstLine="552" w:firstLineChars="200"/>
        <w:rPr>
          <w:kern w:val="2"/>
          <w:szCs w:val="28"/>
        </w:rPr>
      </w:pPr>
      <w:r>
        <w:rPr>
          <w:kern w:val="2"/>
          <w:szCs w:val="28"/>
        </w:rPr>
        <w:t>（2</w:t>
      </w:r>
      <w:r>
        <w:rPr>
          <w:rFonts w:hint="eastAsia"/>
          <w:kern w:val="2"/>
          <w:szCs w:val="28"/>
          <w:lang w:val="en-US" w:eastAsia="zh-CN"/>
        </w:rPr>
        <w:t>7</w:t>
      </w:r>
      <w:r>
        <w:rPr>
          <w:kern w:val="2"/>
          <w:szCs w:val="28"/>
        </w:rPr>
        <w:t>）</w:t>
      </w:r>
      <w:r>
        <w:rPr>
          <w:rFonts w:hint="eastAsia"/>
          <w:kern w:val="2"/>
          <w:szCs w:val="28"/>
        </w:rPr>
        <w:t xml:space="preserve">  </w:t>
      </w:r>
      <w:r>
        <w:rPr>
          <w:kern w:val="2"/>
          <w:szCs w:val="28"/>
        </w:rPr>
        <w:t>《一般工业固体废物贮存、处置场污染控制标准》（GB18599-2001）及2013年修改单；</w:t>
      </w:r>
    </w:p>
    <w:p>
      <w:pPr>
        <w:spacing w:before="120" w:beforeLines="50" w:line="360" w:lineRule="auto"/>
        <w:ind w:firstLine="552" w:firstLineChars="200"/>
        <w:rPr>
          <w:kern w:val="2"/>
          <w:szCs w:val="28"/>
        </w:rPr>
      </w:pPr>
      <w:r>
        <w:rPr>
          <w:kern w:val="2"/>
          <w:szCs w:val="28"/>
        </w:rPr>
        <w:t>（2</w:t>
      </w:r>
      <w:r>
        <w:rPr>
          <w:rFonts w:hint="eastAsia"/>
          <w:kern w:val="2"/>
          <w:szCs w:val="28"/>
          <w:lang w:val="en-US" w:eastAsia="zh-CN"/>
        </w:rPr>
        <w:t>8</w:t>
      </w:r>
      <w:r>
        <w:rPr>
          <w:kern w:val="2"/>
          <w:szCs w:val="28"/>
        </w:rPr>
        <w:t>）《突发环境事件应急监测技术规范》（HJ589-2010）;</w:t>
      </w:r>
    </w:p>
    <w:p>
      <w:pPr>
        <w:spacing w:before="120" w:beforeLines="50" w:line="360" w:lineRule="auto"/>
        <w:ind w:firstLine="552" w:firstLineChars="200"/>
        <w:rPr>
          <w:kern w:val="2"/>
          <w:szCs w:val="28"/>
        </w:rPr>
      </w:pPr>
      <w:r>
        <w:rPr>
          <w:kern w:val="2"/>
          <w:szCs w:val="28"/>
        </w:rPr>
        <w:t>（</w:t>
      </w:r>
      <w:r>
        <w:rPr>
          <w:rFonts w:hint="eastAsia"/>
          <w:kern w:val="2"/>
          <w:szCs w:val="28"/>
        </w:rPr>
        <w:t>2</w:t>
      </w:r>
      <w:r>
        <w:rPr>
          <w:rFonts w:hint="eastAsia"/>
          <w:kern w:val="2"/>
          <w:szCs w:val="28"/>
          <w:lang w:val="en-US" w:eastAsia="zh-CN"/>
        </w:rPr>
        <w:t>9</w:t>
      </w:r>
      <w:r>
        <w:rPr>
          <w:kern w:val="2"/>
          <w:szCs w:val="28"/>
        </w:rPr>
        <w:t>）《危险化学品重大危险源辨识》（GB 18218-2018）；</w:t>
      </w:r>
    </w:p>
    <w:p>
      <w:pPr>
        <w:spacing w:before="120" w:beforeLines="50" w:line="360" w:lineRule="auto"/>
        <w:ind w:firstLine="552" w:firstLineChars="200"/>
        <w:rPr>
          <w:kern w:val="2"/>
          <w:szCs w:val="28"/>
        </w:rPr>
      </w:pPr>
      <w:r>
        <w:rPr>
          <w:kern w:val="2"/>
          <w:szCs w:val="28"/>
        </w:rPr>
        <w:t>（</w:t>
      </w:r>
      <w:r>
        <w:rPr>
          <w:rFonts w:hint="eastAsia"/>
          <w:kern w:val="2"/>
          <w:szCs w:val="28"/>
          <w:lang w:val="en-US" w:eastAsia="zh-CN"/>
        </w:rPr>
        <w:t>30</w:t>
      </w:r>
      <w:r>
        <w:rPr>
          <w:kern w:val="2"/>
          <w:szCs w:val="28"/>
        </w:rPr>
        <w:t>）《危险废物贮存污染控制标准》（GB 18597－2001）（2013年修订）；</w:t>
      </w:r>
    </w:p>
    <w:p>
      <w:pPr>
        <w:spacing w:before="120" w:beforeLines="50" w:line="360" w:lineRule="auto"/>
        <w:ind w:firstLine="552" w:firstLineChars="200"/>
        <w:rPr>
          <w:kern w:val="2"/>
          <w:szCs w:val="28"/>
        </w:rPr>
      </w:pPr>
      <w:r>
        <w:rPr>
          <w:kern w:val="2"/>
          <w:szCs w:val="28"/>
        </w:rPr>
        <w:t>（3</w:t>
      </w:r>
      <w:r>
        <w:rPr>
          <w:rFonts w:hint="eastAsia"/>
          <w:kern w:val="2"/>
          <w:szCs w:val="28"/>
          <w:lang w:val="en-US" w:eastAsia="zh-CN"/>
        </w:rPr>
        <w:t>1</w:t>
      </w:r>
      <w:r>
        <w:rPr>
          <w:kern w:val="2"/>
          <w:szCs w:val="28"/>
        </w:rPr>
        <w:t>）《危险废物转移联单管理办法》（1999年10月1日）；</w:t>
      </w:r>
    </w:p>
    <w:p>
      <w:pPr>
        <w:spacing w:before="120" w:beforeLines="50" w:line="360" w:lineRule="auto"/>
        <w:ind w:firstLine="552" w:firstLineChars="200"/>
        <w:rPr>
          <w:kern w:val="2"/>
          <w:szCs w:val="28"/>
        </w:rPr>
      </w:pPr>
      <w:r>
        <w:rPr>
          <w:kern w:val="2"/>
          <w:szCs w:val="28"/>
        </w:rPr>
        <w:t>（3</w:t>
      </w:r>
      <w:r>
        <w:rPr>
          <w:rFonts w:hint="eastAsia"/>
          <w:kern w:val="2"/>
          <w:szCs w:val="28"/>
          <w:lang w:val="en-US" w:eastAsia="zh-CN"/>
        </w:rPr>
        <w:t>2</w:t>
      </w:r>
      <w:r>
        <w:rPr>
          <w:kern w:val="2"/>
          <w:szCs w:val="28"/>
        </w:rPr>
        <w:t>）《危险化学品安全管理条例》（20</w:t>
      </w:r>
      <w:r>
        <w:rPr>
          <w:rFonts w:hint="eastAsia"/>
          <w:kern w:val="2"/>
          <w:szCs w:val="28"/>
        </w:rPr>
        <w:t>16</w:t>
      </w:r>
      <w:r>
        <w:rPr>
          <w:kern w:val="2"/>
          <w:szCs w:val="28"/>
        </w:rPr>
        <w:t>年版）；</w:t>
      </w:r>
    </w:p>
    <w:p>
      <w:pPr>
        <w:spacing w:before="120" w:beforeLines="50" w:line="360" w:lineRule="auto"/>
        <w:ind w:firstLine="552" w:firstLineChars="200"/>
        <w:rPr>
          <w:kern w:val="2"/>
          <w:szCs w:val="28"/>
        </w:rPr>
      </w:pPr>
      <w:r>
        <w:rPr>
          <w:kern w:val="2"/>
          <w:szCs w:val="28"/>
        </w:rPr>
        <w:t>（3</w:t>
      </w:r>
      <w:r>
        <w:rPr>
          <w:rFonts w:hint="eastAsia"/>
          <w:kern w:val="2"/>
          <w:szCs w:val="28"/>
          <w:lang w:val="en-US" w:eastAsia="zh-CN"/>
        </w:rPr>
        <w:t>3</w:t>
      </w:r>
      <w:r>
        <w:rPr>
          <w:kern w:val="2"/>
          <w:szCs w:val="28"/>
        </w:rPr>
        <w:t>）《国家危险废物</w:t>
      </w:r>
      <w:r>
        <w:rPr>
          <w:rFonts w:hint="eastAsia"/>
          <w:kern w:val="2"/>
          <w:szCs w:val="28"/>
        </w:rPr>
        <w:t>名</w:t>
      </w:r>
      <w:r>
        <w:rPr>
          <w:kern w:val="2"/>
          <w:szCs w:val="28"/>
        </w:rPr>
        <w:t>录》（2018年修订）；</w:t>
      </w:r>
    </w:p>
    <w:p>
      <w:pPr>
        <w:spacing w:before="120" w:beforeLines="50" w:line="360" w:lineRule="auto"/>
        <w:ind w:firstLine="552" w:firstLineChars="200"/>
        <w:rPr>
          <w:kern w:val="2"/>
          <w:szCs w:val="28"/>
        </w:rPr>
      </w:pPr>
      <w:r>
        <w:rPr>
          <w:kern w:val="2"/>
          <w:szCs w:val="28"/>
        </w:rPr>
        <w:t>（3</w:t>
      </w:r>
      <w:r>
        <w:rPr>
          <w:rFonts w:hint="eastAsia"/>
          <w:kern w:val="2"/>
          <w:szCs w:val="28"/>
          <w:lang w:val="en-US" w:eastAsia="zh-CN"/>
        </w:rPr>
        <w:t>4</w:t>
      </w:r>
      <w:r>
        <w:rPr>
          <w:kern w:val="2"/>
          <w:szCs w:val="28"/>
        </w:rPr>
        <w:t>）《剧毒化学品</w:t>
      </w:r>
      <w:r>
        <w:rPr>
          <w:rFonts w:hint="eastAsia"/>
          <w:kern w:val="2"/>
          <w:szCs w:val="28"/>
        </w:rPr>
        <w:t>名</w:t>
      </w:r>
      <w:r>
        <w:rPr>
          <w:kern w:val="2"/>
          <w:szCs w:val="28"/>
        </w:rPr>
        <w:t>录》（2015</w:t>
      </w:r>
      <w:r>
        <w:rPr>
          <w:rFonts w:hint="eastAsia"/>
          <w:kern w:val="2"/>
          <w:szCs w:val="28"/>
        </w:rPr>
        <w:t>版</w:t>
      </w:r>
      <w:r>
        <w:rPr>
          <w:kern w:val="2"/>
          <w:szCs w:val="28"/>
        </w:rPr>
        <w:t>）；</w:t>
      </w:r>
    </w:p>
    <w:p>
      <w:pPr>
        <w:spacing w:before="120" w:beforeLines="50" w:line="360" w:lineRule="auto"/>
        <w:ind w:firstLine="552" w:firstLineChars="200"/>
        <w:rPr>
          <w:kern w:val="2"/>
          <w:szCs w:val="28"/>
        </w:rPr>
      </w:pPr>
      <w:r>
        <w:rPr>
          <w:kern w:val="2"/>
          <w:szCs w:val="28"/>
        </w:rPr>
        <w:t>（3</w:t>
      </w:r>
      <w:r>
        <w:rPr>
          <w:rFonts w:hint="eastAsia"/>
          <w:kern w:val="2"/>
          <w:szCs w:val="28"/>
          <w:lang w:val="en-US" w:eastAsia="zh-CN"/>
        </w:rPr>
        <w:t>5</w:t>
      </w:r>
      <w:r>
        <w:rPr>
          <w:kern w:val="2"/>
          <w:szCs w:val="28"/>
        </w:rPr>
        <w:t>）《广东省突发事件应对条例》（2015年）</w:t>
      </w:r>
    </w:p>
    <w:p>
      <w:pPr>
        <w:spacing w:before="120" w:beforeLines="50" w:line="360" w:lineRule="auto"/>
        <w:ind w:firstLine="552" w:firstLineChars="200"/>
        <w:rPr>
          <w:kern w:val="2"/>
          <w:szCs w:val="28"/>
        </w:rPr>
      </w:pPr>
      <w:r>
        <w:rPr>
          <w:kern w:val="2"/>
          <w:szCs w:val="28"/>
        </w:rPr>
        <w:t>（3</w:t>
      </w:r>
      <w:r>
        <w:rPr>
          <w:rFonts w:hint="eastAsia"/>
          <w:kern w:val="2"/>
          <w:szCs w:val="28"/>
          <w:lang w:val="en-US" w:eastAsia="zh-CN"/>
        </w:rPr>
        <w:t>6</w:t>
      </w:r>
      <w:r>
        <w:rPr>
          <w:kern w:val="2"/>
          <w:szCs w:val="28"/>
        </w:rPr>
        <w:t>）《广东省突发</w:t>
      </w:r>
      <w:r>
        <w:rPr>
          <w:rFonts w:hint="eastAsia"/>
          <w:kern w:val="2"/>
          <w:szCs w:val="28"/>
        </w:rPr>
        <w:t>环境</w:t>
      </w:r>
      <w:r>
        <w:rPr>
          <w:kern w:val="2"/>
          <w:szCs w:val="28"/>
        </w:rPr>
        <w:t>事件应急预案》（粤府办[20</w:t>
      </w:r>
      <w:r>
        <w:rPr>
          <w:rFonts w:hint="eastAsia"/>
          <w:kern w:val="2"/>
          <w:szCs w:val="28"/>
        </w:rPr>
        <w:t>17</w:t>
      </w:r>
      <w:r>
        <w:rPr>
          <w:kern w:val="2"/>
          <w:szCs w:val="28"/>
        </w:rPr>
        <w:t>]</w:t>
      </w:r>
      <w:r>
        <w:rPr>
          <w:rFonts w:hint="eastAsia"/>
          <w:kern w:val="2"/>
          <w:szCs w:val="28"/>
        </w:rPr>
        <w:t>280</w:t>
      </w:r>
      <w:r>
        <w:rPr>
          <w:kern w:val="2"/>
          <w:szCs w:val="28"/>
        </w:rPr>
        <w:t>号）；</w:t>
      </w:r>
    </w:p>
    <w:p>
      <w:pPr>
        <w:spacing w:before="120" w:beforeLines="50" w:line="360" w:lineRule="auto"/>
        <w:ind w:firstLine="552" w:firstLineChars="200"/>
        <w:rPr>
          <w:kern w:val="2"/>
          <w:szCs w:val="28"/>
        </w:rPr>
      </w:pPr>
      <w:r>
        <w:rPr>
          <w:kern w:val="2"/>
          <w:szCs w:val="28"/>
        </w:rPr>
        <w:t>（3</w:t>
      </w:r>
      <w:r>
        <w:rPr>
          <w:rFonts w:hint="eastAsia"/>
          <w:kern w:val="2"/>
          <w:szCs w:val="28"/>
          <w:lang w:val="en-US" w:eastAsia="zh-CN"/>
        </w:rPr>
        <w:t>7</w:t>
      </w:r>
      <w:r>
        <w:rPr>
          <w:kern w:val="2"/>
          <w:szCs w:val="28"/>
        </w:rPr>
        <w:t>）《广东省突发事件总体应急预案》（2011年）；</w:t>
      </w:r>
    </w:p>
    <w:p>
      <w:pPr>
        <w:spacing w:before="120" w:beforeLines="50" w:line="360" w:lineRule="auto"/>
        <w:ind w:firstLine="552" w:firstLineChars="200"/>
        <w:rPr>
          <w:kern w:val="2"/>
          <w:szCs w:val="28"/>
        </w:rPr>
      </w:pPr>
      <w:r>
        <w:rPr>
          <w:kern w:val="2"/>
          <w:szCs w:val="28"/>
        </w:rPr>
        <w:t>（</w:t>
      </w:r>
      <w:r>
        <w:rPr>
          <w:rFonts w:hint="eastAsia"/>
          <w:kern w:val="2"/>
          <w:szCs w:val="28"/>
        </w:rPr>
        <w:t>3</w:t>
      </w:r>
      <w:r>
        <w:rPr>
          <w:rFonts w:hint="eastAsia"/>
          <w:kern w:val="2"/>
          <w:szCs w:val="28"/>
          <w:lang w:val="en-US" w:eastAsia="zh-CN"/>
        </w:rPr>
        <w:t>8</w:t>
      </w:r>
      <w:r>
        <w:rPr>
          <w:kern w:val="2"/>
          <w:szCs w:val="28"/>
        </w:rPr>
        <w:t>）《广东省固体废物污染环境防治条例》（</w:t>
      </w:r>
      <w:r>
        <w:rPr>
          <w:rFonts w:hint="eastAsia"/>
          <w:kern w:val="2"/>
          <w:szCs w:val="28"/>
        </w:rPr>
        <w:t>2018年11月29日</w:t>
      </w:r>
      <w:r>
        <w:rPr>
          <w:kern w:val="2"/>
          <w:szCs w:val="28"/>
        </w:rPr>
        <w:t>修正）；</w:t>
      </w:r>
    </w:p>
    <w:p>
      <w:pPr>
        <w:spacing w:before="120" w:beforeLines="50" w:line="360" w:lineRule="auto"/>
        <w:ind w:firstLine="552" w:firstLineChars="200"/>
        <w:rPr>
          <w:kern w:val="2"/>
          <w:szCs w:val="28"/>
        </w:rPr>
      </w:pPr>
      <w:r>
        <w:rPr>
          <w:kern w:val="2"/>
          <w:szCs w:val="28"/>
        </w:rPr>
        <w:t>（</w:t>
      </w:r>
      <w:r>
        <w:rPr>
          <w:rFonts w:hint="eastAsia"/>
          <w:kern w:val="2"/>
          <w:szCs w:val="28"/>
        </w:rPr>
        <w:t>3</w:t>
      </w:r>
      <w:r>
        <w:rPr>
          <w:rFonts w:hint="eastAsia"/>
          <w:kern w:val="2"/>
          <w:szCs w:val="28"/>
          <w:lang w:val="en-US" w:eastAsia="zh-CN"/>
        </w:rPr>
        <w:t>9</w:t>
      </w:r>
      <w:r>
        <w:rPr>
          <w:kern w:val="2"/>
          <w:szCs w:val="28"/>
        </w:rPr>
        <w:t>）《特种设备安全监察条例》（</w:t>
      </w:r>
      <w:r>
        <w:rPr>
          <w:rFonts w:hint="eastAsia"/>
          <w:kern w:val="2"/>
          <w:szCs w:val="28"/>
        </w:rPr>
        <w:t>国务院令第549号</w:t>
      </w:r>
      <w:r>
        <w:rPr>
          <w:kern w:val="2"/>
          <w:szCs w:val="28"/>
        </w:rPr>
        <w:t>）；</w:t>
      </w:r>
    </w:p>
    <w:p>
      <w:pPr>
        <w:spacing w:before="120" w:beforeLines="50" w:line="360" w:lineRule="auto"/>
        <w:ind w:firstLine="552" w:firstLineChars="200"/>
        <w:rPr>
          <w:kern w:val="2"/>
          <w:szCs w:val="28"/>
        </w:rPr>
      </w:pPr>
      <w:r>
        <w:rPr>
          <w:kern w:val="2"/>
          <w:szCs w:val="28"/>
        </w:rPr>
        <w:t>（</w:t>
      </w:r>
      <w:r>
        <w:rPr>
          <w:rFonts w:hint="eastAsia"/>
          <w:kern w:val="2"/>
          <w:szCs w:val="28"/>
        </w:rPr>
        <w:t>3</w:t>
      </w:r>
      <w:r>
        <w:rPr>
          <w:rFonts w:hint="eastAsia"/>
          <w:kern w:val="2"/>
          <w:szCs w:val="28"/>
          <w:lang w:val="en-US" w:eastAsia="zh-CN"/>
        </w:rPr>
        <w:t>4</w:t>
      </w:r>
      <w:r>
        <w:rPr>
          <w:kern w:val="2"/>
          <w:szCs w:val="28"/>
        </w:rPr>
        <w:t>）《关于加强电力应急体系建设的指导意见》（电监安全[2009]60号）；</w:t>
      </w:r>
    </w:p>
    <w:p>
      <w:pPr>
        <w:spacing w:before="120" w:beforeLines="50" w:line="360" w:lineRule="auto"/>
        <w:ind w:firstLine="552" w:firstLineChars="200"/>
        <w:rPr>
          <w:kern w:val="2"/>
          <w:szCs w:val="28"/>
        </w:rPr>
      </w:pPr>
      <w:r>
        <w:rPr>
          <w:kern w:val="2"/>
          <w:szCs w:val="28"/>
        </w:rPr>
        <w:t>（</w:t>
      </w:r>
      <w:r>
        <w:rPr>
          <w:rFonts w:hint="eastAsia"/>
          <w:kern w:val="2"/>
          <w:szCs w:val="28"/>
        </w:rPr>
        <w:t>4</w:t>
      </w:r>
      <w:r>
        <w:rPr>
          <w:rFonts w:hint="eastAsia"/>
          <w:kern w:val="2"/>
          <w:szCs w:val="28"/>
          <w:lang w:val="en-US" w:eastAsia="zh-CN"/>
        </w:rPr>
        <w:t>1</w:t>
      </w:r>
      <w:r>
        <w:rPr>
          <w:kern w:val="2"/>
          <w:szCs w:val="28"/>
        </w:rPr>
        <w:t>）《中山市突发环境事件应急预案》（中府[2013]73号）；</w:t>
      </w:r>
    </w:p>
    <w:p>
      <w:pPr>
        <w:spacing w:before="120" w:beforeLines="50" w:line="360" w:lineRule="auto"/>
        <w:ind w:firstLine="552" w:firstLineChars="200"/>
        <w:rPr>
          <w:kern w:val="2"/>
          <w:szCs w:val="28"/>
        </w:rPr>
      </w:pPr>
      <w:r>
        <w:rPr>
          <w:kern w:val="2"/>
          <w:szCs w:val="28"/>
        </w:rPr>
        <w:t>（4</w:t>
      </w:r>
      <w:r>
        <w:rPr>
          <w:rFonts w:hint="eastAsia"/>
          <w:kern w:val="2"/>
          <w:szCs w:val="28"/>
          <w:lang w:val="en-US" w:eastAsia="zh-CN"/>
        </w:rPr>
        <w:t>2</w:t>
      </w:r>
      <w:r>
        <w:rPr>
          <w:kern w:val="2"/>
          <w:szCs w:val="28"/>
        </w:rPr>
        <w:t>）《中山市环保局突发环境事件应急预案》（</w:t>
      </w:r>
      <w:r>
        <w:rPr>
          <w:rFonts w:hint="eastAsia"/>
          <w:kern w:val="2"/>
          <w:szCs w:val="28"/>
          <w:lang w:val="en-US" w:eastAsia="zh-CN"/>
        </w:rPr>
        <w:t>2017年</w:t>
      </w:r>
      <w:r>
        <w:rPr>
          <w:kern w:val="2"/>
          <w:szCs w:val="28"/>
        </w:rPr>
        <w:t>）；</w:t>
      </w:r>
    </w:p>
    <w:p>
      <w:pPr>
        <w:spacing w:before="120" w:beforeLines="50" w:line="360" w:lineRule="auto"/>
        <w:ind w:firstLine="552" w:firstLineChars="200"/>
        <w:rPr>
          <w:kern w:val="2"/>
          <w:szCs w:val="28"/>
        </w:rPr>
      </w:pPr>
      <w:r>
        <w:rPr>
          <w:kern w:val="2"/>
          <w:szCs w:val="28"/>
        </w:rPr>
        <w:t>（4</w:t>
      </w:r>
      <w:r>
        <w:rPr>
          <w:rFonts w:hint="eastAsia"/>
          <w:kern w:val="2"/>
          <w:szCs w:val="28"/>
          <w:lang w:val="en-US" w:eastAsia="zh-CN"/>
        </w:rPr>
        <w:t>3</w:t>
      </w:r>
      <w:r>
        <w:rPr>
          <w:kern w:val="2"/>
          <w:szCs w:val="28"/>
        </w:rPr>
        <w:t>）《环境保护部关于加强环境应急管理工作的意见》（环发[2009]130号）；</w:t>
      </w:r>
    </w:p>
    <w:p>
      <w:pPr>
        <w:spacing w:before="120" w:beforeLines="50" w:line="360" w:lineRule="auto"/>
        <w:ind w:firstLine="552" w:firstLineChars="200"/>
        <w:rPr>
          <w:kern w:val="2"/>
          <w:szCs w:val="28"/>
        </w:rPr>
      </w:pPr>
      <w:r>
        <w:rPr>
          <w:kern w:val="2"/>
          <w:szCs w:val="28"/>
        </w:rPr>
        <w:t>（4</w:t>
      </w:r>
      <w:r>
        <w:rPr>
          <w:rFonts w:hint="eastAsia"/>
          <w:kern w:val="2"/>
          <w:szCs w:val="28"/>
          <w:lang w:val="en-US" w:eastAsia="zh-CN"/>
        </w:rPr>
        <w:t>4</w:t>
      </w:r>
      <w:r>
        <w:rPr>
          <w:kern w:val="2"/>
          <w:szCs w:val="28"/>
        </w:rPr>
        <w:t>）《突发环境事件信息报告办法》（环境保护部令第17号）；</w:t>
      </w:r>
    </w:p>
    <w:p>
      <w:pPr>
        <w:spacing w:before="120" w:beforeLines="50" w:line="360" w:lineRule="auto"/>
        <w:ind w:firstLine="552" w:firstLineChars="200"/>
        <w:rPr>
          <w:kern w:val="2"/>
          <w:szCs w:val="28"/>
        </w:rPr>
      </w:pPr>
      <w:r>
        <w:rPr>
          <w:kern w:val="2"/>
          <w:szCs w:val="28"/>
        </w:rPr>
        <w:t>（4</w:t>
      </w:r>
      <w:r>
        <w:rPr>
          <w:rFonts w:hint="eastAsia"/>
          <w:kern w:val="2"/>
          <w:szCs w:val="28"/>
          <w:lang w:val="en-US" w:eastAsia="zh-CN"/>
        </w:rPr>
        <w:t>5</w:t>
      </w:r>
      <w:r>
        <w:rPr>
          <w:kern w:val="2"/>
          <w:szCs w:val="28"/>
        </w:rPr>
        <w:t>）《企业事业单位突发环境事件应急预案备案管理办法（试行）》（环发</w:t>
      </w:r>
      <w:r>
        <w:rPr>
          <w:rFonts w:hint="eastAsia"/>
          <w:kern w:val="2"/>
          <w:szCs w:val="28"/>
        </w:rPr>
        <w:t>[</w:t>
      </w:r>
      <w:r>
        <w:rPr>
          <w:kern w:val="2"/>
          <w:szCs w:val="28"/>
        </w:rPr>
        <w:t>2015</w:t>
      </w:r>
      <w:r>
        <w:rPr>
          <w:rFonts w:hint="eastAsia"/>
          <w:kern w:val="2"/>
          <w:szCs w:val="28"/>
        </w:rPr>
        <w:t>]</w:t>
      </w:r>
      <w:r>
        <w:rPr>
          <w:kern w:val="2"/>
          <w:szCs w:val="28"/>
        </w:rPr>
        <w:t>4号）</w:t>
      </w:r>
    </w:p>
    <w:p>
      <w:pPr>
        <w:spacing w:before="120" w:beforeLines="50" w:line="360" w:lineRule="auto"/>
        <w:ind w:firstLine="552" w:firstLineChars="200"/>
        <w:rPr>
          <w:kern w:val="2"/>
          <w:szCs w:val="28"/>
        </w:rPr>
      </w:pPr>
      <w:r>
        <w:rPr>
          <w:kern w:val="2"/>
          <w:szCs w:val="28"/>
        </w:rPr>
        <w:t>（</w:t>
      </w:r>
      <w:r>
        <w:rPr>
          <w:rFonts w:hint="eastAsia"/>
          <w:kern w:val="2"/>
          <w:szCs w:val="28"/>
        </w:rPr>
        <w:t>4</w:t>
      </w:r>
      <w:r>
        <w:rPr>
          <w:rFonts w:hint="eastAsia"/>
          <w:kern w:val="2"/>
          <w:szCs w:val="28"/>
          <w:lang w:val="en-US" w:eastAsia="zh-CN"/>
        </w:rPr>
        <w:t>6</w:t>
      </w:r>
      <w:r>
        <w:rPr>
          <w:kern w:val="2"/>
          <w:szCs w:val="28"/>
        </w:rPr>
        <w:t>）《中山市企业事业单位突发环境事件应急预案管理办法（2016年修订版）</w:t>
      </w:r>
    </w:p>
    <w:p>
      <w:pPr>
        <w:spacing w:before="120" w:beforeLines="50" w:line="360" w:lineRule="auto"/>
        <w:ind w:firstLine="552" w:firstLineChars="200"/>
        <w:rPr>
          <w:kern w:val="2"/>
          <w:szCs w:val="28"/>
        </w:rPr>
      </w:pPr>
      <w:r>
        <w:rPr>
          <w:kern w:val="2"/>
          <w:szCs w:val="28"/>
        </w:rPr>
        <w:t>（</w:t>
      </w:r>
      <w:r>
        <w:rPr>
          <w:rFonts w:hint="eastAsia"/>
          <w:kern w:val="2"/>
          <w:szCs w:val="28"/>
        </w:rPr>
        <w:t>4</w:t>
      </w:r>
      <w:r>
        <w:rPr>
          <w:rFonts w:hint="eastAsia"/>
          <w:kern w:val="2"/>
          <w:szCs w:val="28"/>
          <w:lang w:val="en-US" w:eastAsia="zh-CN"/>
        </w:rPr>
        <w:t>7</w:t>
      </w:r>
      <w:r>
        <w:rPr>
          <w:kern w:val="2"/>
          <w:szCs w:val="28"/>
        </w:rPr>
        <w:t>）</w:t>
      </w:r>
      <w:r>
        <w:rPr>
          <w:rFonts w:hint="eastAsia"/>
          <w:kern w:val="2"/>
          <w:szCs w:val="28"/>
        </w:rPr>
        <w:t>《企业事业单位突发环境事件应急预案评审工作指南（试行）》（环办应急[2018]8号）</w:t>
      </w:r>
    </w:p>
    <w:p>
      <w:pPr>
        <w:spacing w:before="120" w:beforeLines="50" w:line="360" w:lineRule="auto"/>
        <w:ind w:firstLine="552" w:firstLineChars="200"/>
        <w:rPr>
          <w:kern w:val="2"/>
          <w:szCs w:val="28"/>
        </w:rPr>
      </w:pPr>
      <w:r>
        <w:rPr>
          <w:kern w:val="2"/>
          <w:szCs w:val="28"/>
        </w:rPr>
        <w:t>（</w:t>
      </w:r>
      <w:r>
        <w:rPr>
          <w:rFonts w:hint="eastAsia"/>
          <w:kern w:val="2"/>
          <w:szCs w:val="28"/>
        </w:rPr>
        <w:t>4</w:t>
      </w:r>
      <w:r>
        <w:rPr>
          <w:rFonts w:hint="eastAsia"/>
          <w:kern w:val="2"/>
          <w:szCs w:val="28"/>
          <w:lang w:val="en-US" w:eastAsia="zh-CN"/>
        </w:rPr>
        <w:t>8</w:t>
      </w:r>
      <w:r>
        <w:rPr>
          <w:kern w:val="2"/>
          <w:szCs w:val="28"/>
        </w:rPr>
        <w:t>）《</w:t>
      </w:r>
      <w:r>
        <w:fldChar w:fldCharType="begin"/>
      </w:r>
      <w:r>
        <w:instrText xml:space="preserve"> HYPERLINK "http://kjs.mep.gov.cn/hjbhbz/bzwb/gthw/qtxgbz/201309/W020131105573858985159.pdf" </w:instrText>
      </w:r>
      <w:r>
        <w:fldChar w:fldCharType="separate"/>
      </w:r>
      <w:r>
        <w:rPr>
          <w:kern w:val="2"/>
          <w:szCs w:val="28"/>
        </w:rPr>
        <w:t>固体废物处理处置工程技术导则》（HJ 2035-2013）</w:t>
      </w:r>
      <w:r>
        <w:rPr>
          <w:kern w:val="2"/>
          <w:szCs w:val="28"/>
        </w:rPr>
        <w:fldChar w:fldCharType="end"/>
      </w:r>
      <w:r>
        <w:rPr>
          <w:kern w:val="2"/>
          <w:szCs w:val="28"/>
        </w:rPr>
        <w:t>；</w:t>
      </w:r>
    </w:p>
    <w:p>
      <w:pPr>
        <w:spacing w:before="120" w:beforeLines="50" w:line="360" w:lineRule="auto"/>
        <w:ind w:firstLine="552" w:firstLineChars="200"/>
        <w:rPr>
          <w:kern w:val="2"/>
          <w:szCs w:val="28"/>
        </w:rPr>
      </w:pPr>
      <w:r>
        <w:rPr>
          <w:kern w:val="2"/>
          <w:szCs w:val="28"/>
        </w:rPr>
        <w:t>（</w:t>
      </w:r>
      <w:r>
        <w:rPr>
          <w:rFonts w:hint="eastAsia"/>
          <w:kern w:val="2"/>
          <w:szCs w:val="28"/>
        </w:rPr>
        <w:t>4</w:t>
      </w:r>
      <w:r>
        <w:rPr>
          <w:rFonts w:hint="eastAsia"/>
          <w:kern w:val="2"/>
          <w:szCs w:val="28"/>
          <w:lang w:val="en-US" w:eastAsia="zh-CN"/>
        </w:rPr>
        <w:t>9</w:t>
      </w:r>
      <w:r>
        <w:rPr>
          <w:kern w:val="2"/>
          <w:szCs w:val="28"/>
        </w:rPr>
        <w:t>）《危险废物处置工程技术导则》（HJ 2042-2014）；</w:t>
      </w:r>
    </w:p>
    <w:p>
      <w:pPr>
        <w:spacing w:before="120" w:beforeLines="50" w:line="360" w:lineRule="auto"/>
        <w:ind w:firstLine="552" w:firstLineChars="200"/>
        <w:rPr>
          <w:kern w:val="2"/>
          <w:szCs w:val="28"/>
        </w:rPr>
      </w:pPr>
      <w:r>
        <w:rPr>
          <w:kern w:val="2"/>
          <w:szCs w:val="28"/>
        </w:rPr>
        <w:t>（</w:t>
      </w:r>
      <w:r>
        <w:rPr>
          <w:rFonts w:hint="eastAsia"/>
          <w:kern w:val="2"/>
          <w:szCs w:val="28"/>
          <w:lang w:val="en-US" w:eastAsia="zh-CN"/>
        </w:rPr>
        <w:t>50</w:t>
      </w:r>
      <w:r>
        <w:rPr>
          <w:kern w:val="2"/>
          <w:szCs w:val="28"/>
        </w:rPr>
        <w:t>）《企业突发环境事件风险分级办法》（HJ941-2018）</w:t>
      </w:r>
      <w:r>
        <w:rPr>
          <w:rFonts w:hint="eastAsia"/>
          <w:kern w:val="2"/>
          <w:szCs w:val="28"/>
        </w:rPr>
        <w:t>。</w:t>
      </w:r>
    </w:p>
    <w:p>
      <w:pPr>
        <w:pStyle w:val="3"/>
      </w:pPr>
      <w:bookmarkStart w:id="34" w:name="_Toc32178"/>
      <w:bookmarkStart w:id="35" w:name="_Toc377547341"/>
      <w:bookmarkStart w:id="36" w:name="_Toc367778175"/>
      <w:bookmarkStart w:id="37" w:name="_Toc10540"/>
      <w:bookmarkStart w:id="38" w:name="_Toc13097"/>
      <w:bookmarkStart w:id="39" w:name="_Toc390337414"/>
      <w:bookmarkStart w:id="40" w:name="_Toc25851"/>
      <w:bookmarkStart w:id="41" w:name="_Toc383502192"/>
      <w:bookmarkStart w:id="42" w:name="_Toc381179292"/>
      <w:r>
        <w:t>1.</w:t>
      </w:r>
      <w:r>
        <w:rPr>
          <w:rFonts w:hint="eastAsia"/>
          <w:lang w:val="en-US" w:eastAsia="zh-CN"/>
        </w:rPr>
        <w:t>5</w:t>
      </w:r>
      <w:r>
        <w:t xml:space="preserve"> 适用范围</w:t>
      </w:r>
      <w:bookmarkEnd w:id="34"/>
      <w:bookmarkEnd w:id="35"/>
      <w:bookmarkEnd w:id="36"/>
      <w:bookmarkEnd w:id="37"/>
      <w:bookmarkEnd w:id="38"/>
      <w:bookmarkEnd w:id="39"/>
      <w:bookmarkEnd w:id="40"/>
      <w:bookmarkEnd w:id="41"/>
      <w:bookmarkEnd w:id="42"/>
    </w:p>
    <w:p>
      <w:pPr>
        <w:pStyle w:val="17"/>
        <w:rPr>
          <w:rFonts w:ascii="Times New Roman" w:hAnsi="Times New Roman"/>
        </w:rPr>
      </w:pPr>
      <w:r>
        <w:rPr>
          <w:rFonts w:ascii="Times New Roman" w:hAnsi="Times New Roman"/>
        </w:rPr>
        <w:t>本预案适用于本公司厂区范围内人为或不可抗力（停电、自然灾害等）</w:t>
      </w:r>
      <w:r>
        <w:rPr>
          <w:rFonts w:hint="eastAsia" w:ascii="Times New Roman" w:hAnsi="Times New Roman"/>
          <w:lang w:eastAsia="zh-CN"/>
        </w:rPr>
        <w:t>造成生产装置、贮运设施和“三废”治理设施等非正常排放或物料泄漏及火灾事故引起的次生环境事件，引起</w:t>
      </w:r>
      <w:r>
        <w:rPr>
          <w:rFonts w:ascii="Times New Roman" w:hAnsi="Times New Roman"/>
        </w:rPr>
        <w:t>废水、废气、固废等有毒有害物质事故排放或泄漏的突发环境事件。</w:t>
      </w:r>
    </w:p>
    <w:p>
      <w:pPr>
        <w:pStyle w:val="3"/>
      </w:pPr>
      <w:bookmarkStart w:id="43" w:name="_Toc367778176"/>
      <w:bookmarkStart w:id="44" w:name="_Toc381179293"/>
      <w:bookmarkStart w:id="45" w:name="_Toc383502193"/>
      <w:bookmarkStart w:id="46" w:name="_Toc13165"/>
      <w:bookmarkStart w:id="47" w:name="_Toc377547342"/>
      <w:bookmarkStart w:id="48" w:name="_Toc9148"/>
      <w:bookmarkStart w:id="49" w:name="_Toc390337415"/>
      <w:bookmarkStart w:id="50" w:name="_Toc8052"/>
      <w:bookmarkStart w:id="51" w:name="_Toc13086"/>
      <w:r>
        <w:t>1.</w:t>
      </w:r>
      <w:r>
        <w:rPr>
          <w:rFonts w:hint="eastAsia"/>
          <w:lang w:val="en-US" w:eastAsia="zh-CN"/>
        </w:rPr>
        <w:t>6</w:t>
      </w:r>
      <w:r>
        <w:t xml:space="preserve"> 突发环境事件应急的工作原则</w:t>
      </w:r>
      <w:bookmarkEnd w:id="43"/>
      <w:bookmarkEnd w:id="44"/>
      <w:bookmarkEnd w:id="45"/>
      <w:bookmarkEnd w:id="46"/>
      <w:bookmarkEnd w:id="47"/>
      <w:bookmarkEnd w:id="48"/>
      <w:bookmarkEnd w:id="49"/>
      <w:bookmarkEnd w:id="50"/>
      <w:bookmarkEnd w:id="51"/>
    </w:p>
    <w:p>
      <w:pPr>
        <w:spacing w:line="360" w:lineRule="auto"/>
        <w:ind w:firstLine="554" w:firstLineChars="200"/>
        <w:rPr>
          <w:b/>
        </w:rPr>
      </w:pPr>
      <w:r>
        <w:rPr>
          <w:b/>
        </w:rPr>
        <w:t>（1）以人为本，安全第一</w:t>
      </w:r>
    </w:p>
    <w:p>
      <w:pPr>
        <w:spacing w:line="360" w:lineRule="auto"/>
        <w:ind w:firstLine="552" w:firstLineChars="200"/>
      </w:pPr>
      <w:r>
        <w:t>发生事故时优先保护人的安全。作为救援人员必须做到处事不乱，应按预案要求尽可能地采取有效措施，若不能消除和阻止事故扩大，应采取正常的逃生方法进行撤离，并迅速将险情上报，等待救援。</w:t>
      </w:r>
    </w:p>
    <w:p>
      <w:pPr>
        <w:spacing w:line="360" w:lineRule="auto"/>
        <w:ind w:firstLine="554" w:firstLineChars="200"/>
        <w:rPr>
          <w:b/>
        </w:rPr>
      </w:pPr>
      <w:r>
        <w:rPr>
          <w:b/>
        </w:rPr>
        <w:t>（2）统一领导，分级管理</w:t>
      </w:r>
    </w:p>
    <w:p>
      <w:pPr>
        <w:spacing w:line="360" w:lineRule="auto"/>
        <w:ind w:firstLine="552" w:firstLineChars="200"/>
      </w:pPr>
      <w:r>
        <w:t>厂区应急指挥</w:t>
      </w:r>
      <w:r>
        <w:rPr>
          <w:rFonts w:hint="eastAsia"/>
          <w:lang w:eastAsia="zh-CN"/>
        </w:rPr>
        <w:t>部</w:t>
      </w:r>
      <w:r>
        <w:t>在</w:t>
      </w:r>
      <w:r>
        <w:rPr>
          <w:rFonts w:hint="eastAsia"/>
          <w:lang w:eastAsia="zh-CN"/>
        </w:rPr>
        <w:t>中山市生态环境局</w:t>
      </w:r>
      <w:r>
        <w:t>统一领导下，负责指挥厂区内各部门、各小组的应急救援工作，厂区内各部门、各小组应急指挥按照各自职责和权限，负责事故的应急处置工作。</w:t>
      </w:r>
    </w:p>
    <w:p>
      <w:pPr>
        <w:spacing w:line="360" w:lineRule="auto"/>
        <w:ind w:firstLine="554" w:firstLineChars="200"/>
        <w:rPr>
          <w:b/>
        </w:rPr>
      </w:pPr>
      <w:r>
        <w:rPr>
          <w:b/>
        </w:rPr>
        <w:t>（3）快速响应，果断处置</w:t>
      </w:r>
    </w:p>
    <w:p>
      <w:pPr>
        <w:spacing w:line="360" w:lineRule="auto"/>
        <w:ind w:firstLine="552" w:firstLineChars="200"/>
      </w:pPr>
      <w:r>
        <w:t>公司突发环境事件的发生时，按照分级响应原则快速、及时启动应急响应，果断采取有效的应急处置措施。</w:t>
      </w:r>
    </w:p>
    <w:p>
      <w:pPr>
        <w:spacing w:line="360" w:lineRule="auto"/>
        <w:ind w:firstLine="554" w:firstLineChars="200"/>
        <w:rPr>
          <w:b/>
        </w:rPr>
      </w:pPr>
      <w:r>
        <w:rPr>
          <w:b/>
        </w:rPr>
        <w:t>（4）预防为主，平战结合</w:t>
      </w:r>
    </w:p>
    <w:p>
      <w:pPr>
        <w:spacing w:line="360" w:lineRule="auto"/>
        <w:ind w:firstLine="552" w:firstLineChars="200"/>
      </w:pPr>
      <w:r>
        <w:t>坚持事故应急与预防相结合，加强危险源管理，做好事故预防工作。做好应对各种突发环境事件的思想准备、预案准备、物资和经费准备、工作准备。</w:t>
      </w:r>
    </w:p>
    <w:p>
      <w:pPr>
        <w:spacing w:line="360" w:lineRule="auto"/>
        <w:ind w:firstLine="552" w:firstLineChars="200"/>
      </w:pPr>
      <w:r>
        <w:t>加强培训演练，做到常备不懈。将日常管理工作和应急救援工作相结合，充分利用现有专业力量，努力实现一专多能，培养兼职应急救援力量并发挥其作用。</w:t>
      </w:r>
    </w:p>
    <w:p>
      <w:pPr>
        <w:pStyle w:val="3"/>
      </w:pPr>
      <w:bookmarkStart w:id="52" w:name="_Toc426812439"/>
      <w:bookmarkStart w:id="53" w:name="_Toc30356"/>
      <w:bookmarkStart w:id="54" w:name="_Toc421786674"/>
      <w:bookmarkStart w:id="55" w:name="_Toc405369806"/>
      <w:bookmarkStart w:id="56" w:name="_Toc17483"/>
      <w:bookmarkStart w:id="57" w:name="_Toc25188"/>
      <w:bookmarkStart w:id="58" w:name="_Toc21341"/>
      <w:r>
        <w:t>1.</w:t>
      </w:r>
      <w:r>
        <w:rPr>
          <w:rFonts w:hint="eastAsia"/>
          <w:lang w:val="en-US" w:eastAsia="zh-CN"/>
        </w:rPr>
        <w:t>7</w:t>
      </w:r>
      <w:r>
        <w:t xml:space="preserve"> 环境污染事件分级</w:t>
      </w:r>
      <w:bookmarkEnd w:id="52"/>
      <w:bookmarkEnd w:id="53"/>
      <w:bookmarkEnd w:id="54"/>
      <w:bookmarkEnd w:id="55"/>
      <w:bookmarkEnd w:id="56"/>
      <w:bookmarkEnd w:id="57"/>
      <w:bookmarkEnd w:id="58"/>
    </w:p>
    <w:p>
      <w:pPr>
        <w:spacing w:line="360" w:lineRule="auto"/>
        <w:ind w:firstLine="552" w:firstLineChars="200"/>
        <w:rPr>
          <w:szCs w:val="28"/>
        </w:rPr>
      </w:pPr>
      <w:r>
        <w:rPr>
          <w:szCs w:val="28"/>
        </w:rPr>
        <w:t>针对突发环境事件严重性、紧急程度、危害程度、影响范围、公司内部控制事态的能力以及需要调动的应急资源，将突发环境事件分为不同的响应等级。等级依次为</w:t>
      </w:r>
      <w:r>
        <w:rPr>
          <w:rFonts w:ascii="宋体"/>
          <w:szCs w:val="28"/>
        </w:rPr>
        <w:t>Ⅲ</w:t>
      </w:r>
      <w:r>
        <w:rPr>
          <w:szCs w:val="28"/>
        </w:rPr>
        <w:t>级（车间内环境污染事件）、</w:t>
      </w:r>
      <w:r>
        <w:rPr>
          <w:rFonts w:ascii="宋体"/>
          <w:szCs w:val="28"/>
        </w:rPr>
        <w:t>Ⅱ</w:t>
      </w:r>
      <w:r>
        <w:rPr>
          <w:szCs w:val="28"/>
        </w:rPr>
        <w:t>级（厂区内环境污染事件）、</w:t>
      </w:r>
      <w:r>
        <w:rPr>
          <w:rFonts w:ascii="宋体"/>
          <w:szCs w:val="28"/>
        </w:rPr>
        <w:t>Ⅰ</w:t>
      </w:r>
      <w:r>
        <w:rPr>
          <w:szCs w:val="28"/>
        </w:rPr>
        <w:t>级（厂区外环境污染事件）。</w:t>
      </w:r>
    </w:p>
    <w:p>
      <w:pPr>
        <w:spacing w:line="360" w:lineRule="auto"/>
        <w:ind w:firstLine="552" w:firstLineChars="200"/>
        <w:rPr>
          <w:szCs w:val="28"/>
        </w:rPr>
      </w:pPr>
      <w:r>
        <w:rPr>
          <w:szCs w:val="28"/>
        </w:rPr>
        <w:t>对于</w:t>
      </w:r>
      <w:r>
        <w:rPr>
          <w:rFonts w:ascii="宋体"/>
          <w:szCs w:val="28"/>
        </w:rPr>
        <w:t>Ⅲ</w:t>
      </w:r>
      <w:r>
        <w:rPr>
          <w:szCs w:val="28"/>
        </w:rPr>
        <w:t>级（车间内环境污染事件），事故的有害影响局限在各车间单元之内，并且可被现场的操作者遏制和控制在车间局部区域内，启动</w:t>
      </w:r>
      <w:r>
        <w:rPr>
          <w:rFonts w:ascii="宋体"/>
          <w:szCs w:val="28"/>
        </w:rPr>
        <w:t>Ⅲ</w:t>
      </w:r>
      <w:r>
        <w:rPr>
          <w:szCs w:val="28"/>
        </w:rPr>
        <w:t>级响应：由作业单元直接负责人应急指挥；组织相关人员进行应急处置。</w:t>
      </w:r>
    </w:p>
    <w:p>
      <w:pPr>
        <w:spacing w:line="360" w:lineRule="auto"/>
        <w:ind w:firstLine="552" w:firstLineChars="200"/>
        <w:rPr>
          <w:szCs w:val="28"/>
        </w:rPr>
      </w:pPr>
      <w:r>
        <w:rPr>
          <w:szCs w:val="28"/>
        </w:rPr>
        <w:t>对于</w:t>
      </w:r>
      <w:r>
        <w:rPr>
          <w:rFonts w:ascii="宋体"/>
          <w:szCs w:val="28"/>
        </w:rPr>
        <w:t>Ⅱ</w:t>
      </w:r>
      <w:r>
        <w:rPr>
          <w:szCs w:val="28"/>
        </w:rPr>
        <w:t>级（厂区内环境污染事件），事故的有害影响超出车间单元范围，但局限在公司的</w:t>
      </w:r>
      <w:r>
        <w:rPr>
          <w:rFonts w:hint="eastAsia"/>
          <w:szCs w:val="28"/>
          <w:lang w:eastAsia="zh-CN"/>
        </w:rPr>
        <w:t>厂</w:t>
      </w:r>
      <w:r>
        <w:rPr>
          <w:szCs w:val="28"/>
        </w:rPr>
        <w:t>区之内并且可被遏制和控制在公司区域内。启动二级响应：由公司应急领导小组负责指挥，组织相关应急小组开展应急工作。</w:t>
      </w:r>
    </w:p>
    <w:p>
      <w:pPr>
        <w:spacing w:line="360" w:lineRule="auto"/>
        <w:ind w:firstLine="552" w:firstLineChars="200"/>
        <w:rPr>
          <w:szCs w:val="28"/>
        </w:rPr>
      </w:pPr>
      <w:r>
        <w:rPr>
          <w:szCs w:val="28"/>
        </w:rPr>
        <w:t>对于</w:t>
      </w:r>
      <w:r>
        <w:rPr>
          <w:rFonts w:ascii="宋体"/>
          <w:szCs w:val="28"/>
        </w:rPr>
        <w:t>Ⅰ</w:t>
      </w:r>
      <w:r>
        <w:rPr>
          <w:szCs w:val="28"/>
        </w:rPr>
        <w:t>级（厂区外环境污染事件），事故影响超出了公司控制范围的，启动一级应急响应：由公司应急指挥领导小组总指挥执行；应当根据严重的程度，通报市相关部门，由相关部门决定启动相关预案、并采取相应的应急措施。遇政府成立现场应急指挥中心时，移交政府指挥中心人员指挥并介绍事故情况和已采取的应急措施，配合协助应急指挥与处置。</w:t>
      </w:r>
    </w:p>
    <w:p>
      <w:pPr>
        <w:pStyle w:val="3"/>
      </w:pPr>
      <w:bookmarkStart w:id="59" w:name="_Toc9445"/>
      <w:bookmarkStart w:id="60" w:name="_Toc421786675"/>
      <w:bookmarkStart w:id="61" w:name="_Toc405189558"/>
      <w:bookmarkStart w:id="62" w:name="_Toc405369808"/>
      <w:bookmarkStart w:id="63" w:name="_Toc21055"/>
      <w:bookmarkStart w:id="64" w:name="_Toc630"/>
      <w:bookmarkStart w:id="65" w:name="_Toc426812440"/>
      <w:bookmarkStart w:id="66" w:name="_Toc21883"/>
      <w:bookmarkStart w:id="67" w:name="_Toc27996"/>
      <w:r>
        <w:t>1.</w:t>
      </w:r>
      <w:bookmarkEnd w:id="59"/>
      <w:bookmarkStart w:id="68" w:name="_Toc15511"/>
      <w:r>
        <w:rPr>
          <w:rFonts w:hint="eastAsia"/>
          <w:lang w:val="en-US" w:eastAsia="zh-CN"/>
        </w:rPr>
        <w:t>8</w:t>
      </w:r>
      <w:r>
        <w:t>应急预案关系说明</w:t>
      </w:r>
      <w:bookmarkEnd w:id="60"/>
      <w:bookmarkEnd w:id="61"/>
      <w:bookmarkEnd w:id="62"/>
      <w:bookmarkEnd w:id="63"/>
      <w:bookmarkEnd w:id="64"/>
      <w:bookmarkEnd w:id="65"/>
      <w:bookmarkEnd w:id="66"/>
      <w:bookmarkEnd w:id="67"/>
      <w:bookmarkEnd w:id="68"/>
    </w:p>
    <w:p>
      <w:pPr>
        <w:spacing w:before="120" w:beforeLines="50" w:line="360" w:lineRule="auto"/>
        <w:ind w:firstLine="552" w:firstLineChars="200"/>
        <w:rPr>
          <w:szCs w:val="28"/>
        </w:rPr>
      </w:pPr>
      <w:r>
        <w:rPr>
          <w:szCs w:val="28"/>
        </w:rPr>
        <w:t>（1）中山市</w:t>
      </w:r>
      <w:r>
        <w:rPr>
          <w:bCs/>
          <w:szCs w:val="28"/>
        </w:rPr>
        <w:t>突发环境事件应急预案</w:t>
      </w:r>
    </w:p>
    <w:p>
      <w:pPr>
        <w:spacing w:before="120" w:beforeLines="50" w:line="360" w:lineRule="auto"/>
        <w:ind w:firstLine="552" w:firstLineChars="200"/>
        <w:rPr>
          <w:szCs w:val="28"/>
        </w:rPr>
      </w:pPr>
      <w:r>
        <w:rPr>
          <w:szCs w:val="28"/>
        </w:rPr>
        <w:t>中山市</w:t>
      </w:r>
      <w:r>
        <w:rPr>
          <w:bCs/>
          <w:szCs w:val="28"/>
        </w:rPr>
        <w:t>突发环境事件应急预案是中山市应对本行政区域内突发环境事件的应急预案</w:t>
      </w:r>
      <w:r>
        <w:rPr>
          <w:szCs w:val="28"/>
        </w:rPr>
        <w:t>，一般由市政府委托有关部门牵头制定后，报市政府批准后实施。</w:t>
      </w:r>
    </w:p>
    <w:p>
      <w:pPr>
        <w:widowControl/>
        <w:snapToGrid w:val="0"/>
        <w:spacing w:before="120" w:beforeLines="50" w:line="360" w:lineRule="auto"/>
        <w:ind w:firstLine="552" w:firstLineChars="200"/>
        <w:rPr>
          <w:szCs w:val="28"/>
        </w:rPr>
      </w:pPr>
      <w:r>
        <w:rPr>
          <w:szCs w:val="28"/>
        </w:rPr>
        <w:t>该应急预案是本应急预案的上位预案，对本应急预案起指导作用，本应急预案不应与该应急预案相抵触。中山市政府将按照整个行政区的应急工作总体安排编制或修编该应急预案及其他一系列应急预案。</w:t>
      </w:r>
    </w:p>
    <w:p>
      <w:pPr>
        <w:widowControl/>
        <w:snapToGrid w:val="0"/>
        <w:spacing w:before="120" w:beforeLines="50" w:line="360" w:lineRule="auto"/>
        <w:ind w:firstLine="552" w:firstLineChars="200"/>
        <w:rPr>
          <w:szCs w:val="28"/>
        </w:rPr>
      </w:pPr>
      <w:bookmarkStart w:id="69" w:name="_Toc259799656"/>
      <w:r>
        <w:rPr>
          <w:szCs w:val="28"/>
        </w:rPr>
        <w:t>（2）</w:t>
      </w:r>
      <w:r>
        <w:rPr>
          <w:rFonts w:hint="eastAsia"/>
          <w:szCs w:val="28"/>
          <w:lang w:eastAsia="zh-CN"/>
        </w:rPr>
        <w:t>民众镇</w:t>
      </w:r>
      <w:r>
        <w:rPr>
          <w:bCs/>
          <w:szCs w:val="28"/>
        </w:rPr>
        <w:t>突发公共事件总体应急预案</w:t>
      </w:r>
    </w:p>
    <w:p>
      <w:pPr>
        <w:widowControl/>
        <w:snapToGrid w:val="0"/>
        <w:spacing w:before="120" w:beforeLines="50" w:line="360" w:lineRule="auto"/>
        <w:ind w:firstLine="552" w:firstLineChars="200"/>
        <w:rPr>
          <w:szCs w:val="28"/>
        </w:rPr>
      </w:pPr>
      <w:r>
        <w:rPr>
          <w:rFonts w:hint="eastAsia"/>
          <w:bCs/>
          <w:szCs w:val="28"/>
          <w:lang w:eastAsia="zh-CN"/>
        </w:rPr>
        <w:t>民众镇</w:t>
      </w:r>
      <w:r>
        <w:rPr>
          <w:bCs/>
          <w:szCs w:val="28"/>
        </w:rPr>
        <w:t>突发公共事件总体应急预案是</w:t>
      </w:r>
      <w:r>
        <w:rPr>
          <w:rFonts w:hint="eastAsia"/>
          <w:bCs/>
          <w:szCs w:val="28"/>
          <w:lang w:eastAsia="zh-CN"/>
        </w:rPr>
        <w:t>民众镇政府</w:t>
      </w:r>
      <w:r>
        <w:rPr>
          <w:bCs/>
          <w:szCs w:val="28"/>
        </w:rPr>
        <w:t>应对本行政区域内突发公共事件的应急预案</w:t>
      </w:r>
      <w:r>
        <w:rPr>
          <w:szCs w:val="28"/>
        </w:rPr>
        <w:t>，一般由</w:t>
      </w:r>
      <w:r>
        <w:rPr>
          <w:rFonts w:hint="eastAsia"/>
          <w:szCs w:val="28"/>
          <w:lang w:eastAsia="zh-CN"/>
        </w:rPr>
        <w:t>民众镇</w:t>
      </w:r>
      <w:r>
        <w:rPr>
          <w:szCs w:val="28"/>
        </w:rPr>
        <w:t>政府委托有关部门牵头制定后，报</w:t>
      </w:r>
      <w:r>
        <w:rPr>
          <w:rFonts w:hint="eastAsia"/>
          <w:szCs w:val="28"/>
          <w:lang w:eastAsia="zh-CN"/>
        </w:rPr>
        <w:t>民众镇</w:t>
      </w:r>
      <w:r>
        <w:rPr>
          <w:szCs w:val="28"/>
        </w:rPr>
        <w:t>政府批准后实施。</w:t>
      </w:r>
    </w:p>
    <w:p>
      <w:pPr>
        <w:widowControl/>
        <w:snapToGrid w:val="0"/>
        <w:spacing w:before="120" w:beforeLines="50" w:line="360" w:lineRule="auto"/>
        <w:ind w:firstLine="552" w:firstLineChars="200"/>
        <w:rPr>
          <w:szCs w:val="28"/>
        </w:rPr>
      </w:pPr>
      <w:r>
        <w:rPr>
          <w:szCs w:val="28"/>
        </w:rPr>
        <w:t>该应急预案是本应急预案的上位预案，对本应急预案起指导作用，本应急预案不应与该应急预案相抵触。</w:t>
      </w:r>
      <w:r>
        <w:rPr>
          <w:rFonts w:hint="eastAsia"/>
          <w:bCs/>
          <w:szCs w:val="28"/>
          <w:lang w:eastAsia="zh-CN"/>
        </w:rPr>
        <w:t>民众镇</w:t>
      </w:r>
      <w:r>
        <w:rPr>
          <w:bCs/>
          <w:szCs w:val="28"/>
        </w:rPr>
        <w:t>政府</w:t>
      </w:r>
      <w:r>
        <w:rPr>
          <w:szCs w:val="28"/>
        </w:rPr>
        <w:t>将按照整个行政区的应急工作总体安排编制或修编该应急预案及其他一系列应急预案。</w:t>
      </w:r>
    </w:p>
    <w:p>
      <w:pPr>
        <w:widowControl/>
        <w:snapToGrid w:val="0"/>
        <w:spacing w:before="120" w:beforeLines="50" w:line="360" w:lineRule="auto"/>
        <w:ind w:firstLine="552" w:firstLineChars="200"/>
        <w:rPr>
          <w:szCs w:val="28"/>
        </w:rPr>
      </w:pPr>
      <w:r>
        <w:rPr>
          <w:szCs w:val="28"/>
        </w:rPr>
        <w:t>（3）</w:t>
      </w:r>
      <w:r>
        <w:rPr>
          <w:rFonts w:hint="eastAsia"/>
          <w:szCs w:val="28"/>
          <w:lang w:eastAsia="zh-CN"/>
        </w:rPr>
        <w:t>民众镇</w:t>
      </w:r>
      <w:r>
        <w:rPr>
          <w:bCs/>
          <w:szCs w:val="28"/>
        </w:rPr>
        <w:t>突发环境事件应急预案</w:t>
      </w:r>
      <w:bookmarkEnd w:id="69"/>
    </w:p>
    <w:p>
      <w:pPr>
        <w:widowControl/>
        <w:snapToGrid w:val="0"/>
        <w:spacing w:before="120" w:beforeLines="50" w:line="360" w:lineRule="auto"/>
        <w:ind w:firstLine="552" w:firstLineChars="200"/>
        <w:rPr>
          <w:szCs w:val="28"/>
        </w:rPr>
      </w:pPr>
      <w:r>
        <w:rPr>
          <w:rFonts w:hint="eastAsia"/>
          <w:bCs/>
          <w:szCs w:val="28"/>
          <w:lang w:eastAsia="zh-CN"/>
        </w:rPr>
        <w:t>民众镇</w:t>
      </w:r>
      <w:r>
        <w:rPr>
          <w:bCs/>
          <w:szCs w:val="28"/>
        </w:rPr>
        <w:t>突发环境事件应急预案是</w:t>
      </w:r>
      <w:r>
        <w:rPr>
          <w:rFonts w:hint="eastAsia"/>
          <w:bCs/>
          <w:szCs w:val="28"/>
          <w:lang w:eastAsia="zh-CN"/>
        </w:rPr>
        <w:t>民众镇政府</w:t>
      </w:r>
      <w:r>
        <w:rPr>
          <w:bCs/>
          <w:szCs w:val="28"/>
        </w:rPr>
        <w:t>应对本行政区域内环境突发事件包括环境污染类突发事件的应急预案</w:t>
      </w:r>
      <w:r>
        <w:rPr>
          <w:szCs w:val="28"/>
        </w:rPr>
        <w:t>，一般由</w:t>
      </w:r>
      <w:r>
        <w:rPr>
          <w:rFonts w:hint="eastAsia"/>
          <w:bCs/>
          <w:szCs w:val="28"/>
          <w:lang w:eastAsia="zh-CN"/>
        </w:rPr>
        <w:t>民众镇</w:t>
      </w:r>
      <w:r>
        <w:rPr>
          <w:bCs/>
          <w:szCs w:val="28"/>
        </w:rPr>
        <w:t>政府</w:t>
      </w:r>
      <w:r>
        <w:rPr>
          <w:szCs w:val="28"/>
        </w:rPr>
        <w:t>委托有关部门牵头制定后，报</w:t>
      </w:r>
      <w:r>
        <w:rPr>
          <w:rFonts w:hint="eastAsia"/>
          <w:szCs w:val="28"/>
          <w:lang w:eastAsia="zh-CN"/>
        </w:rPr>
        <w:t>民众镇</w:t>
      </w:r>
      <w:r>
        <w:rPr>
          <w:szCs w:val="28"/>
        </w:rPr>
        <w:t>政府批准后实施。</w:t>
      </w:r>
    </w:p>
    <w:p>
      <w:pPr>
        <w:widowControl/>
        <w:snapToGrid w:val="0"/>
        <w:spacing w:before="120" w:beforeLines="50" w:line="360" w:lineRule="auto"/>
        <w:ind w:firstLine="552" w:firstLineChars="200"/>
        <w:rPr>
          <w:szCs w:val="28"/>
        </w:rPr>
      </w:pPr>
      <w:r>
        <w:rPr>
          <w:szCs w:val="28"/>
        </w:rPr>
        <w:t>该应急预案是本企业所在地区域性的应急预案，为本预案的上位预案，对本应急预案起指导作用，本应急预案不应与该应急预案相抵触。</w:t>
      </w:r>
      <w:r>
        <w:rPr>
          <w:rFonts w:hint="eastAsia"/>
          <w:bCs/>
          <w:szCs w:val="28"/>
          <w:lang w:eastAsia="zh-CN"/>
        </w:rPr>
        <w:t>民众镇</w:t>
      </w:r>
      <w:r>
        <w:rPr>
          <w:bCs/>
          <w:szCs w:val="28"/>
        </w:rPr>
        <w:t>政府</w:t>
      </w:r>
      <w:r>
        <w:rPr>
          <w:szCs w:val="28"/>
        </w:rPr>
        <w:t>将按照整个行政区的应急工作总体安排编制或修编该应急预案及其他一系列应急预案。</w:t>
      </w:r>
    </w:p>
    <w:p>
      <w:pPr>
        <w:autoSpaceDE w:val="0"/>
        <w:autoSpaceDN w:val="0"/>
        <w:adjustRightInd w:val="0"/>
        <w:spacing w:before="120" w:beforeLines="50" w:line="360" w:lineRule="auto"/>
        <w:ind w:firstLine="552" w:firstLineChars="200"/>
        <w:rPr>
          <w:szCs w:val="28"/>
          <w:lang w:val="zh-CN"/>
        </w:rPr>
      </w:pPr>
      <w:r>
        <w:rPr>
          <w:rFonts w:hint="eastAsia"/>
        </w:rPr>
        <w:t>（4）</w:t>
      </w:r>
      <w:r>
        <w:rPr>
          <w:rFonts w:hint="eastAsia"/>
          <w:lang w:eastAsia="zh-CN"/>
        </w:rPr>
        <w:t>中山市民东有机废物处理有限公司</w:t>
      </w:r>
      <w:r>
        <w:rPr>
          <w:szCs w:val="28"/>
          <w:lang w:val="zh-CN"/>
        </w:rPr>
        <w:t>安全事故应急预案</w:t>
      </w:r>
    </w:p>
    <w:p>
      <w:pPr>
        <w:widowControl/>
        <w:snapToGrid w:val="0"/>
        <w:spacing w:before="120" w:beforeLines="50" w:line="360" w:lineRule="auto"/>
        <w:ind w:firstLine="552" w:firstLineChars="200"/>
        <w:rPr>
          <w:szCs w:val="28"/>
        </w:rPr>
      </w:pPr>
      <w:r>
        <w:rPr>
          <w:szCs w:val="28"/>
        </w:rPr>
        <w:t>本预案</w:t>
      </w:r>
      <w:r>
        <w:rPr>
          <w:bCs/>
          <w:szCs w:val="28"/>
        </w:rPr>
        <w:t>是</w:t>
      </w:r>
      <w:r>
        <w:rPr>
          <w:rFonts w:hint="eastAsia"/>
          <w:lang w:eastAsia="zh-CN"/>
        </w:rPr>
        <w:t>中山市民东有机废物处理有限公司</w:t>
      </w:r>
      <w:r>
        <w:rPr>
          <w:bCs/>
          <w:szCs w:val="28"/>
        </w:rPr>
        <w:t>应对安全事故的专项应急预案和规范性文件</w:t>
      </w:r>
      <w:r>
        <w:rPr>
          <w:szCs w:val="28"/>
        </w:rPr>
        <w:t>。该预案由</w:t>
      </w:r>
      <w:r>
        <w:rPr>
          <w:rFonts w:hint="eastAsia"/>
          <w:lang w:eastAsia="zh-CN"/>
        </w:rPr>
        <w:t>中山市民东有机废物处理有限公司</w:t>
      </w:r>
      <w:r>
        <w:rPr>
          <w:szCs w:val="28"/>
        </w:rPr>
        <w:t>制订后批准、实施。</w:t>
      </w:r>
    </w:p>
    <w:p>
      <w:pPr>
        <w:widowControl/>
        <w:snapToGrid w:val="0"/>
        <w:spacing w:before="120" w:beforeLines="50" w:line="360" w:lineRule="auto"/>
        <w:ind w:firstLine="552" w:firstLineChars="200"/>
        <w:rPr>
          <w:szCs w:val="28"/>
        </w:rPr>
      </w:pPr>
      <w:r>
        <w:rPr>
          <w:szCs w:val="28"/>
        </w:rPr>
        <w:t>该应急预案是本企业所在地区域性的</w:t>
      </w:r>
      <w:r>
        <w:rPr>
          <w:rFonts w:hint="eastAsia"/>
          <w:szCs w:val="28"/>
          <w:lang w:eastAsia="zh-CN"/>
        </w:rPr>
        <w:t>安全生产</w:t>
      </w:r>
      <w:r>
        <w:rPr>
          <w:szCs w:val="28"/>
        </w:rPr>
        <w:t>应急预案，</w:t>
      </w:r>
      <w:r>
        <w:rPr>
          <w:rFonts w:hint="eastAsia"/>
          <w:szCs w:val="28"/>
          <w:lang w:eastAsia="zh-CN"/>
        </w:rPr>
        <w:t>与</w:t>
      </w:r>
      <w:r>
        <w:rPr>
          <w:szCs w:val="28"/>
        </w:rPr>
        <w:t>本预案</w:t>
      </w:r>
      <w:r>
        <w:rPr>
          <w:rFonts w:hint="eastAsia"/>
          <w:szCs w:val="28"/>
          <w:lang w:eastAsia="zh-CN"/>
        </w:rPr>
        <w:t>相互补充完善</w:t>
      </w:r>
      <w:r>
        <w:rPr>
          <w:szCs w:val="28"/>
        </w:rPr>
        <w:t>，本应急预案应与该应急预案</w:t>
      </w:r>
      <w:r>
        <w:rPr>
          <w:rFonts w:hint="eastAsia"/>
          <w:szCs w:val="28"/>
          <w:lang w:eastAsia="zh-CN"/>
        </w:rPr>
        <w:t>相互衔接</w:t>
      </w:r>
      <w:r>
        <w:rPr>
          <w:szCs w:val="28"/>
        </w:rPr>
        <w:t>。</w:t>
      </w:r>
    </w:p>
    <w:p>
      <w:pPr>
        <w:widowControl/>
        <w:snapToGrid w:val="0"/>
        <w:spacing w:before="120" w:beforeLines="50" w:line="360" w:lineRule="auto"/>
        <w:ind w:firstLine="552" w:firstLineChars="200"/>
        <w:rPr>
          <w:szCs w:val="28"/>
        </w:rPr>
      </w:pPr>
      <w:bookmarkStart w:id="70" w:name="_Toc259799657"/>
      <w:r>
        <w:rPr>
          <w:szCs w:val="28"/>
        </w:rPr>
        <w:t>（</w:t>
      </w:r>
      <w:r>
        <w:rPr>
          <w:rFonts w:hint="eastAsia"/>
          <w:szCs w:val="28"/>
        </w:rPr>
        <w:t>5</w:t>
      </w:r>
      <w:r>
        <w:rPr>
          <w:szCs w:val="28"/>
        </w:rPr>
        <w:t>）</w:t>
      </w:r>
      <w:r>
        <w:rPr>
          <w:rFonts w:hint="eastAsia"/>
          <w:lang w:eastAsia="zh-CN"/>
        </w:rPr>
        <w:t>中山市民东有机废物处理有限公司</w:t>
      </w:r>
      <w:r>
        <w:rPr>
          <w:bCs/>
          <w:szCs w:val="28"/>
        </w:rPr>
        <w:t>突发环境事件应急预案</w:t>
      </w:r>
      <w:bookmarkEnd w:id="70"/>
      <w:r>
        <w:rPr>
          <w:bCs/>
          <w:szCs w:val="28"/>
        </w:rPr>
        <w:t>（本预案）</w:t>
      </w:r>
    </w:p>
    <w:p>
      <w:pPr>
        <w:widowControl/>
        <w:snapToGrid w:val="0"/>
        <w:spacing w:before="120" w:beforeLines="50" w:line="360" w:lineRule="auto"/>
        <w:ind w:firstLine="552" w:firstLineChars="200"/>
        <w:rPr>
          <w:szCs w:val="28"/>
        </w:rPr>
      </w:pPr>
      <w:r>
        <w:rPr>
          <w:szCs w:val="28"/>
        </w:rPr>
        <w:t>本预案</w:t>
      </w:r>
      <w:r>
        <w:rPr>
          <w:bCs/>
          <w:szCs w:val="28"/>
        </w:rPr>
        <w:t>是</w:t>
      </w:r>
      <w:r>
        <w:rPr>
          <w:rFonts w:hint="eastAsia"/>
          <w:lang w:eastAsia="zh-CN"/>
        </w:rPr>
        <w:t>中山市民东有机废物处理有限公司</w:t>
      </w:r>
      <w:r>
        <w:rPr>
          <w:bCs/>
          <w:szCs w:val="28"/>
        </w:rPr>
        <w:t>应对环境污染和生态破坏突发事件的专项应急预案和规范性文件</w:t>
      </w:r>
      <w:r>
        <w:rPr>
          <w:szCs w:val="28"/>
        </w:rPr>
        <w:t>。该预案由</w:t>
      </w:r>
      <w:r>
        <w:rPr>
          <w:rFonts w:hint="eastAsia"/>
          <w:lang w:eastAsia="zh-CN"/>
        </w:rPr>
        <w:t>中山市民东有机废物处理有限公司</w:t>
      </w:r>
      <w:r>
        <w:rPr>
          <w:szCs w:val="28"/>
        </w:rPr>
        <w:t>制订后批准、实施。</w:t>
      </w:r>
    </w:p>
    <w:p>
      <w:pPr>
        <w:widowControl/>
        <w:snapToGrid w:val="0"/>
        <w:spacing w:before="120" w:beforeLines="50" w:line="360" w:lineRule="auto"/>
        <w:ind w:firstLine="552" w:firstLineChars="200"/>
      </w:pPr>
      <w:r>
        <w:rPr>
          <w:rFonts w:hint="eastAsia"/>
          <w:szCs w:val="28"/>
        </w:rPr>
        <w:t>（6）</w:t>
      </w:r>
      <w:r>
        <w:t>周边单位突发环境事件应急预案</w:t>
      </w:r>
    </w:p>
    <w:p>
      <w:pPr>
        <w:widowControl/>
        <w:snapToGrid w:val="0"/>
        <w:spacing w:before="120" w:beforeLines="50" w:line="360" w:lineRule="auto"/>
        <w:ind w:firstLine="552" w:firstLineChars="200"/>
        <w:rPr>
          <w:szCs w:val="28"/>
        </w:rPr>
      </w:pPr>
      <w:r>
        <w:rPr>
          <w:szCs w:val="28"/>
        </w:rPr>
        <w:t>周边单位突发环境事件应急预案是周边单位对突发环境事件的应急预案和规范性文件。</w:t>
      </w:r>
    </w:p>
    <w:p>
      <w:pPr>
        <w:widowControl/>
        <w:snapToGrid w:val="0"/>
        <w:spacing w:before="120" w:beforeLines="50" w:line="360" w:lineRule="auto"/>
        <w:ind w:firstLine="552" w:firstLineChars="200"/>
        <w:rPr>
          <w:szCs w:val="28"/>
        </w:rPr>
      </w:pPr>
      <w:r>
        <w:rPr>
          <w:szCs w:val="28"/>
        </w:rPr>
        <w:t>当周边单位启动其自身突发环境事件应急预案时，</w:t>
      </w:r>
      <w:r>
        <w:rPr>
          <w:rFonts w:hint="eastAsia"/>
          <w:szCs w:val="28"/>
          <w:lang w:eastAsia="zh-CN"/>
        </w:rPr>
        <w:t>中山市民东有机废物处理有限公司</w:t>
      </w:r>
      <w:r>
        <w:rPr>
          <w:szCs w:val="28"/>
        </w:rPr>
        <w:t>应根据事故级别、应急救援状态等情况，发布预警信息，并决定是否启动本应急预案。</w:t>
      </w:r>
    </w:p>
    <w:p>
      <w:pPr>
        <w:spacing w:before="120" w:beforeLines="50" w:line="360" w:lineRule="auto"/>
        <w:ind w:firstLine="552" w:firstLineChars="200"/>
        <w:rPr>
          <w:szCs w:val="28"/>
        </w:rPr>
      </w:pPr>
      <w:r>
        <w:rPr>
          <w:bCs/>
          <w:szCs w:val="28"/>
        </w:rPr>
        <w:t>以下是本应急预案与相关应急预案的关系如下图1-1。</w:t>
      </w:r>
    </w:p>
    <w:p>
      <w:pPr>
        <w:spacing w:line="360" w:lineRule="auto"/>
        <w:ind w:firstLine="552" w:firstLineChars="200"/>
        <w:rPr>
          <w:szCs w:val="28"/>
        </w:rPr>
        <w:sectPr>
          <w:footerReference r:id="rId12" w:type="first"/>
          <w:footerReference r:id="rId11" w:type="default"/>
          <w:pgSz w:w="11906" w:h="16838"/>
          <w:pgMar w:top="1418" w:right="1418" w:bottom="1418" w:left="1418" w:header="851" w:footer="992" w:gutter="0"/>
          <w:pgBorders>
            <w:top w:val="none" w:sz="0" w:space="0"/>
            <w:left w:val="none" w:sz="0" w:space="0"/>
            <w:bottom w:val="none" w:sz="0" w:space="0"/>
            <w:right w:val="none" w:sz="0" w:space="0"/>
          </w:pgBorders>
          <w:pgNumType w:fmt="decimal" w:start="1"/>
          <w:cols w:space="720" w:num="1"/>
          <w:titlePg/>
          <w:docGrid w:linePitch="312" w:charSpace="0"/>
        </w:sectPr>
      </w:pPr>
    </w:p>
    <w:p>
      <w:pPr>
        <w:spacing w:line="360" w:lineRule="auto"/>
        <w:ind w:firstLine="552" w:firstLineChars="200"/>
        <w:rPr>
          <w:szCs w:val="28"/>
        </w:rPr>
      </w:pPr>
    </w:p>
    <w:p>
      <w:pPr>
        <w:spacing w:line="360" w:lineRule="auto"/>
        <w:ind w:firstLine="552" w:firstLineChars="200"/>
        <w:rPr>
          <w:szCs w:val="28"/>
        </w:rPr>
      </w:pPr>
      <w:r>
        <w:rPr>
          <w:szCs w:val="28"/>
        </w:rPr>
        <w:pict>
          <v:shape id="文本框 10430" o:spid="_x0000_s1026" o:spt="202" type="#_x0000_t202" style="position:absolute;left:0pt;margin-left:297pt;margin-top:15.6pt;height:31pt;width:270pt;z-index:251673600;mso-width-relative:page;mso-height-relative:page;" coordsize="21600,216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">
            <v:path/>
            <v:fill focussize="0,0"/>
            <v:stroke joinstyle="miter"/>
            <v:imagedata o:title=""/>
            <o:lock v:ext="edit"/>
            <v:textbox>
              <w:txbxContent>
                <w:p>
                  <w:pPr>
                    <w:jc w:val="center"/>
                  </w:pPr>
                  <w:r>
                    <w:rPr>
                      <w:rFonts w:hint="eastAsia"/>
                      <w:sz w:val="24"/>
                    </w:rPr>
                    <w:t>中山市</w:t>
                  </w:r>
                  <w:r>
                    <w:rPr>
                      <w:rFonts w:hint="eastAsia"/>
                      <w:bCs/>
                      <w:sz w:val="24"/>
                    </w:rPr>
                    <w:t>突发环境事件应急预案</w:t>
                  </w:r>
                </w:p>
              </w:txbxContent>
            </v:textbox>
          </v:shape>
        </w:pict>
      </w:r>
    </w:p>
    <w:p>
      <w:pPr>
        <w:spacing w:line="360" w:lineRule="auto"/>
        <w:ind w:firstLine="552" w:firstLineChars="200"/>
        <w:rPr>
          <w:szCs w:val="28"/>
        </w:rPr>
      </w:pPr>
    </w:p>
    <w:p>
      <w:pPr>
        <w:spacing w:line="360" w:lineRule="auto"/>
        <w:ind w:firstLine="552" w:firstLineChars="200"/>
        <w:rPr>
          <w:szCs w:val="28"/>
        </w:rPr>
      </w:pPr>
      <w:r>
        <w:rPr>
          <w:szCs w:val="28"/>
        </w:rPr>
        <w:pict>
          <v:line id="直线 10431" o:spid="_x0000_s1027" o:spt="20" style="position:absolute;left:0pt;flip:y;margin-left:404.45pt;margin-top:0.6pt;height:53pt;width:0.05pt;z-index:251679744;mso-width-relative:page;mso-height-relative:page;" coordsize="21600,216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">
            <v:path arrowok="t"/>
            <v:fill focussize="0,0"/>
            <v:stroke weight="1.25pt" dashstyle="dash" endarrow="block"/>
            <v:imagedata o:title=""/>
            <o:lock v:ext="edit"/>
          </v:line>
        </w:pict>
      </w:r>
      <w:r>
        <w:rPr>
          <w:szCs w:val="28"/>
        </w:rPr>
        <w:pict>
          <v:line id="直线 10432" o:spid="_x0000_s1028" o:spt="20" style="position:absolute;left:0pt;margin-left:432pt;margin-top:0pt;height:52pt;width:0pt;z-index:251674624;mso-width-relative:page;mso-height-relative:page;" coordsize="21600,216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">
            <v:path arrowok="t"/>
            <v:fill focussize="0,0"/>
            <v:stroke weight="1.25pt" endarrow="block"/>
            <v:imagedata o:title=""/>
            <o:lock v:ext="edit"/>
          </v:line>
        </w:pict>
      </w:r>
    </w:p>
    <w:p>
      <w:pPr>
        <w:spacing w:line="360" w:lineRule="auto"/>
        <w:ind w:firstLine="552" w:firstLineChars="200"/>
        <w:rPr>
          <w:szCs w:val="28"/>
        </w:rPr>
      </w:pPr>
    </w:p>
    <w:p>
      <w:pPr>
        <w:spacing w:line="360" w:lineRule="auto"/>
        <w:ind w:firstLine="552" w:firstLineChars="200"/>
        <w:rPr>
          <w:szCs w:val="28"/>
        </w:rPr>
      </w:pPr>
      <w:r>
        <w:rPr>
          <w:szCs w:val="28"/>
        </w:rPr>
        <w:pict>
          <v:shape id="文本框 10433" o:spid="_x0000_s1029" o:spt="202" type="#_x0000_t202" style="position:absolute;left:0pt;margin-left:69pt;margin-top:7.8pt;height:31pt;width:183pt;z-index:251675648;mso-width-relative:page;mso-height-relative:page;" coordsize="21600,216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">
            <v:path/>
            <v:fill focussize="0,0"/>
            <v:stroke joinstyle="miter"/>
            <v:imagedata o:title=""/>
            <o:lock v:ext="edit"/>
            <v:textbox>
              <w:txbxContent>
                <w:p>
                  <w:pPr>
                    <w:jc w:val="center"/>
                  </w:pPr>
                  <w:r>
                    <w:rPr>
                      <w:rFonts w:hint="eastAsia"/>
                      <w:bCs/>
                      <w:sz w:val="24"/>
                      <w:lang w:eastAsia="zh-CN"/>
                    </w:rPr>
                    <w:t>民众镇</w:t>
                  </w:r>
                  <w:r>
                    <w:rPr>
                      <w:rFonts w:hint="eastAsia"/>
                      <w:bCs/>
                      <w:sz w:val="24"/>
                    </w:rPr>
                    <w:t>突发公共事件应急预案</w:t>
                  </w:r>
                </w:p>
              </w:txbxContent>
            </v:textbox>
          </v:shape>
        </w:pict>
      </w:r>
      <w:r>
        <w:rPr>
          <w:szCs w:val="28"/>
        </w:rPr>
        <w:pict>
          <v:line id="直线 10434" o:spid="_x0000_s1030" o:spt="20" style="position:absolute;left:0pt;margin-left:251.45pt;margin-top:19.3pt;height:0pt;width:45pt;z-index:251680768;mso-width-relative:page;mso-height-relative:page;" coordsize="21600,216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">
            <v:path arrowok="t"/>
            <v:fill focussize="0,0"/>
            <v:stroke weight="1.25pt" endarrow="block"/>
            <v:imagedata o:title=""/>
            <o:lock v:ext="edit"/>
          </v:line>
        </w:pict>
      </w:r>
      <w:r>
        <w:rPr>
          <w:szCs w:val="28"/>
        </w:rPr>
        <w:pict>
          <v:shape id="文本框 10435" o:spid="_x0000_s1031" o:spt="202" type="#_x0000_t202" style="position:absolute;left:0pt;margin-left:297pt;margin-top:7.8pt;height:31pt;width:279pt;z-index:251664384;mso-width-relative:page;mso-height-relative:page;" coordsize="21600,216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">
            <v:path/>
            <v:fill focussize="0,0"/>
            <v:stroke joinstyle="miter"/>
            <v:imagedata o:title=""/>
            <o:lock v:ext="edit"/>
            <v:textbox>
              <w:txbxContent>
                <w:p>
                  <w:pPr>
                    <w:jc w:val="center"/>
                  </w:pPr>
                  <w:r>
                    <w:rPr>
                      <w:rFonts w:hint="eastAsia"/>
                      <w:bCs/>
                      <w:sz w:val="24"/>
                      <w:lang w:eastAsia="zh-CN"/>
                    </w:rPr>
                    <w:t>民众镇</w:t>
                  </w:r>
                  <w:r>
                    <w:rPr>
                      <w:rFonts w:hint="eastAsia"/>
                      <w:bCs/>
                      <w:sz w:val="24"/>
                    </w:rPr>
                    <w:t>突发环境事件应急预案</w:t>
                  </w:r>
                </w:p>
              </w:txbxContent>
            </v:textbox>
          </v:shape>
        </w:pict>
      </w:r>
    </w:p>
    <w:p>
      <w:pPr>
        <w:spacing w:line="360" w:lineRule="auto"/>
        <w:ind w:firstLine="552" w:firstLineChars="200"/>
        <w:rPr>
          <w:szCs w:val="28"/>
        </w:rPr>
      </w:pPr>
      <w:r>
        <w:rPr>
          <w:szCs w:val="28"/>
        </w:rPr>
        <w:pict>
          <v:line id="_x0000_s1032" o:spid="_x0000_s1032" o:spt="20" style="position:absolute;left:0pt;margin-left:434.15pt;margin-top:15.35pt;height:144.6pt;width:0.05pt;z-index:251932672;mso-width-relative:page;mso-height-relative:page;" coordsize="21600,216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">
            <v:path arrowok="t"/>
            <v:fill focussize="0,0"/>
            <v:stroke weight="1.25pt" endarrow="block"/>
            <v:imagedata o:title=""/>
            <o:lock v:ext="edit"/>
          </v:line>
        </w:pict>
      </w:r>
      <w:r>
        <w:rPr>
          <w:szCs w:val="28"/>
        </w:rPr>
        <w:pict>
          <v:line id="_x0000_s1033" o:spid="_x0000_s1033" o:spt="20" style="position:absolute;left:0pt;flip:y;margin-left:404.6pt;margin-top:15.35pt;height:145.6pt;width:0pt;z-index:251931648;mso-width-relative:page;mso-height-relative:page;" coordsize="21600,216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">
            <v:path arrowok="t"/>
            <v:fill focussize="0,0"/>
            <v:stroke weight="1.25pt" dashstyle="dash" endarrow="block"/>
            <v:imagedata o:title=""/>
            <o:lock v:ext="edit"/>
          </v:line>
        </w:pict>
      </w:r>
      <w:r>
        <w:rPr>
          <w:szCs w:val="28"/>
        </w:rPr>
        <w:pict>
          <v:line id="直线 10442" o:spid="_x0000_s1034" o:spt="20" style="position:absolute;left:0pt;margin-left:192.65pt;margin-top:15.35pt;height:145.6pt;width:0pt;z-index:251676672;mso-width-relative:page;mso-height-relative:page;" coordsize="21600,216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">
            <v:path arrowok="t"/>
            <v:fill focussize="0,0"/>
            <v:stroke weight="1.25pt" endarrow="block"/>
            <v:imagedata o:title=""/>
            <o:lock v:ext="edit"/>
          </v:line>
        </w:pict>
      </w:r>
      <w:r>
        <w:rPr>
          <w:szCs w:val="28"/>
        </w:rPr>
        <w:pict>
          <v:line id="直线 10437" o:spid="_x0000_s1035" o:spt="20" style="position:absolute;left:0pt;flip:y;margin-left:215.45pt;margin-top:16.2pt;height:141.4pt;width:0.05pt;z-index:251669504;mso-width-relative:page;mso-height-relative:page;" coordsize="21600,216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">
            <v:path arrowok="t"/>
            <v:fill focussize="0,0"/>
            <v:stroke weight="1.25pt" dashstyle="dash" endarrow="block"/>
            <v:imagedata o:title=""/>
            <o:lock v:ext="edit"/>
          </v:line>
        </w:pict>
      </w:r>
    </w:p>
    <w:p>
      <w:pPr>
        <w:spacing w:line="360" w:lineRule="auto"/>
        <w:ind w:firstLine="552" w:firstLineChars="200"/>
        <w:rPr>
          <w:szCs w:val="28"/>
        </w:rPr>
      </w:pPr>
    </w:p>
    <w:p>
      <w:pPr>
        <w:spacing w:line="360" w:lineRule="auto"/>
        <w:ind w:firstLine="552" w:firstLineChars="200"/>
        <w:rPr>
          <w:szCs w:val="28"/>
        </w:rPr>
      </w:pPr>
    </w:p>
    <w:p>
      <w:pPr>
        <w:spacing w:line="360" w:lineRule="auto"/>
        <w:ind w:firstLine="552" w:firstLineChars="200"/>
        <w:rPr>
          <w:szCs w:val="28"/>
        </w:rPr>
      </w:pPr>
    </w:p>
    <w:p>
      <w:pPr>
        <w:spacing w:line="360" w:lineRule="auto"/>
        <w:ind w:firstLine="552" w:firstLineChars="200"/>
        <w:rPr>
          <w:szCs w:val="28"/>
        </w:rPr>
      </w:pPr>
    </w:p>
    <w:p>
      <w:pPr>
        <w:spacing w:line="360" w:lineRule="auto"/>
        <w:ind w:firstLine="552" w:firstLineChars="200"/>
        <w:rPr>
          <w:szCs w:val="28"/>
        </w:rPr>
      </w:pPr>
    </w:p>
    <w:p>
      <w:pPr>
        <w:spacing w:line="360" w:lineRule="auto"/>
        <w:ind w:firstLine="552" w:firstLineChars="200"/>
        <w:rPr>
          <w:szCs w:val="28"/>
        </w:rPr>
      </w:pPr>
      <w:r>
        <w:rPr>
          <w:szCs w:val="28"/>
        </w:rPr>
        <w:pict>
          <v:shape id="文本框 10446" o:spid="_x0000_s1036" o:spt="202" type="#_x0000_t202" style="position:absolute;left:0pt;margin-left:566.65pt;margin-top:6.75pt;height:51.75pt;width:151.35pt;z-index:251670528;mso-width-relative:page;mso-height-relative:page;" fillcolor="#FFFFFF" filled="t" stroked="t" coordsize="21600,216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">
            <v:path/>
            <v:fill on="t" color2="#FFFFFF" focussize="0,0"/>
            <v:stroke color="#000000" joinstyle="miter"/>
            <v:imagedata o:title=""/>
            <o:lock v:ext="edit" aspectratio="f"/>
            <v:textbox>
              <w:txbxContent>
                <w:p>
                  <w:pPr>
                    <w:autoSpaceDE w:val="0"/>
                    <w:autoSpaceDN w:val="0"/>
                    <w:adjustRightInd w:val="0"/>
                    <w:spacing w:line="360" w:lineRule="auto"/>
                    <w:jc w:val="center"/>
                  </w:pPr>
                  <w:r>
                    <w:rPr>
                      <w:rFonts w:hint="eastAsia"/>
                      <w:sz w:val="24"/>
                      <w:lang w:eastAsia="zh-CN"/>
                    </w:rPr>
                    <w:t>中山市民东有机废物处理有限公司</w:t>
                  </w:r>
                  <w:r>
                    <w:rPr>
                      <w:rFonts w:hint="eastAsia"/>
                      <w:bCs/>
                      <w:sz w:val="24"/>
                    </w:rPr>
                    <w:t>安全事故应急</w:t>
                  </w:r>
                  <w:r>
                    <w:rPr>
                      <w:rFonts w:hint="eastAsia" w:ascii="宋体" w:hAnsi="宋体" w:cs="宋体"/>
                      <w:sz w:val="24"/>
                      <w:lang w:val="zh-CN"/>
                    </w:rPr>
                    <w:t>预案</w:t>
                  </w:r>
                </w:p>
              </w:txbxContent>
            </v:textbox>
          </v:shape>
        </w:pict>
      </w:r>
      <w:r>
        <w:rPr>
          <w:szCs w:val="28"/>
        </w:rPr>
        <w:pict>
          <v:shape id="文本框 10447" o:spid="_x0000_s1037" o:spt="202" type="#_x0000_t202" style="position:absolute;left:0pt;margin-left:-2.25pt;margin-top:12.7pt;height:31pt;width:135.75pt;z-index:251681792;mso-width-relative:page;mso-height-relative:page;" coordsize="21600,216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">
            <v:path/>
            <v:fill focussize="0,0"/>
            <v:stroke joinstyle="miter"/>
            <v:imagedata o:title=""/>
            <o:lock v:ext="edit"/>
            <v:textbox>
              <w:txbxContent>
                <w:p>
                  <w:pPr>
                    <w:jc w:val="center"/>
                  </w:pPr>
                  <w:r>
                    <w:rPr>
                      <w:rFonts w:hint="eastAsia"/>
                      <w:sz w:val="24"/>
                    </w:rPr>
                    <w:t>周围工厂</w:t>
                  </w:r>
                  <w:r>
                    <w:rPr>
                      <w:rFonts w:hint="eastAsia"/>
                      <w:bCs/>
                      <w:sz w:val="24"/>
                    </w:rPr>
                    <w:t>应急预案</w:t>
                  </w:r>
                </w:p>
              </w:txbxContent>
            </v:textbox>
          </v:shape>
        </w:pict>
      </w:r>
      <w:r>
        <w:rPr>
          <w:szCs w:val="28"/>
        </w:rPr>
        <w:pict>
          <v:shape id="文本框 10443" o:spid="_x0000_s1038" o:spt="202" type="#_x0000_t202" style="position:absolute;left:0pt;margin-left:158.95pt;margin-top:15.4pt;height:31pt;width:364.05pt;z-index:251665408;mso-width-relative:page;mso-height-relative:page;" fillcolor="#C0C0C0" filled="t" stroked="t" coordsize="21600,216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">
            <v:path/>
            <v:fill on="t" opacity="41377f" focussize="0,0"/>
            <v:stroke color="#808080" joinstyle="miter"/>
            <v:imagedata o:title=""/>
            <o:lock v:ext="edit"/>
            <v:textbox>
              <w:txbxContent>
                <w:p>
                  <w:pPr>
                    <w:spacing w:line="400" w:lineRule="exact"/>
                    <w:jc w:val="center"/>
                    <w:rPr>
                      <w:sz w:val="24"/>
                      <w:shd w:val="pct10" w:color="auto" w:fill="FFFFFF"/>
                    </w:rPr>
                  </w:pPr>
                  <w:r>
                    <w:rPr>
                      <w:rFonts w:hint="eastAsia"/>
                      <w:sz w:val="24"/>
                      <w:shd w:val="pct10" w:color="auto" w:fill="FFFFFF"/>
                      <w:lang w:eastAsia="zh-CN"/>
                    </w:rPr>
                    <w:t>中山市民东有机废物处理有限公司</w:t>
                  </w:r>
                  <w:r>
                    <w:rPr>
                      <w:sz w:val="24"/>
                      <w:shd w:val="pct10" w:color="auto" w:fill="FFFFFF"/>
                    </w:rPr>
                    <w:t>突发环境事件应急预案</w:t>
                  </w:r>
                </w:p>
                <w:p>
                  <w:pPr>
                    <w:spacing w:line="400" w:lineRule="exact"/>
                    <w:jc w:val="center"/>
                    <w:rPr>
                      <w:rFonts w:ascii="宋体" w:hAnsi="宋体" w:cs="宋体"/>
                      <w:sz w:val="24"/>
                      <w:shd w:val="pct10" w:color="auto" w:fill="FFFFFF"/>
                    </w:rPr>
                  </w:pPr>
                  <w:r>
                    <w:rPr>
                      <w:rFonts w:hint="eastAsia"/>
                      <w:sz w:val="24"/>
                      <w:shd w:val="pct10" w:color="auto" w:fill="FFFFFF"/>
                    </w:rPr>
                    <w:t>90</w:t>
                  </w:r>
                </w:p>
                <w:p>
                  <w:pPr>
                    <w:spacing w:line="400" w:lineRule="exact"/>
                    <w:jc w:val="center"/>
                    <w:rPr>
                      <w:rFonts w:ascii="宋体" w:hAnsi="宋体" w:cs="宋体"/>
                      <w:sz w:val="24"/>
                      <w:shd w:val="pct10" w:color="auto" w:fill="FFFFFF"/>
                    </w:rPr>
                  </w:pPr>
                </w:p>
                <w:p/>
                <w:p/>
              </w:txbxContent>
            </v:textbox>
          </v:shape>
        </w:pict>
      </w:r>
    </w:p>
    <w:p>
      <w:pPr>
        <w:spacing w:line="360" w:lineRule="auto"/>
        <w:ind w:firstLine="552" w:firstLineChars="200"/>
        <w:rPr>
          <w:szCs w:val="28"/>
        </w:rPr>
      </w:pPr>
      <w:r>
        <w:rPr>
          <w:szCs w:val="28"/>
        </w:rPr>
        <w:pict>
          <v:line id="直线 10444" o:spid="_x0000_s1039" o:spt="20" style="position:absolute;left:0pt;flip:x;margin-left:131.8pt;margin-top:3.2pt;height:0.15pt;width:25.45pt;z-index:251682816;mso-width-relative:page;mso-height-relative:page;" coordsize="21600,216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">
            <v:path arrowok="t"/>
            <v:fill focussize="0,0"/>
            <v:stroke weight="1.25pt" endarrow="block"/>
            <v:imagedata o:title=""/>
            <o:lock v:ext="edit"/>
          </v:line>
        </w:pict>
      </w:r>
      <w:r>
        <w:rPr>
          <w:szCs w:val="28"/>
        </w:rPr>
        <w:pict>
          <v:line id="直线 10448" o:spid="_x0000_s1040" o:spt="20" style="position:absolute;left:0pt;margin-left:133.5pt;margin-top:11.85pt;height:0.05pt;width:25.45pt;z-index:251683840;mso-width-relative:page;mso-height-relative:page;" coordsize="21600,216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">
            <v:path arrowok="t"/>
            <v:fill focussize="0,0"/>
            <v:stroke weight="1.25pt" endarrow="block"/>
            <v:imagedata o:title=""/>
            <o:lock v:ext="edit"/>
          </v:line>
        </w:pict>
      </w:r>
      <w:r>
        <w:rPr>
          <w:szCs w:val="28"/>
        </w:rPr>
        <w:pict>
          <v:line id="箭头 317" o:spid="_x0000_s1041" o:spt="20" style="position:absolute;left:0pt;margin-left:523pt;margin-top:19.6pt;height:0.05pt;width:44pt;z-index:251672576;mso-width-relative:page;mso-height-relative:page;" coordsize="21600,216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">
            <v:path arrowok="t"/>
            <v:fill focussize="0,0"/>
            <v:stroke weight="1.25pt" endarrow="block"/>
            <v:imagedata o:title=""/>
            <o:lock v:ext="edit"/>
          </v:line>
        </w:pict>
      </w:r>
      <w:r>
        <w:rPr>
          <w:szCs w:val="28"/>
        </w:rPr>
        <w:pict>
          <v:line id="双箭头 316" o:spid="_x0000_s1042" o:spt="20" style="position:absolute;left:0pt;flip:x;margin-left:523pt;margin-top:3.15pt;height:0.05pt;width:44pt;z-index:251671552;mso-width-relative:page;mso-height-relative:page;" coordsize="21600,216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">
            <v:path arrowok="t"/>
            <v:fill focussize="0,0"/>
            <v:stroke weight="1.25pt" endarrow="block"/>
            <v:imagedata o:title=""/>
            <o:lock v:ext="edit"/>
          </v:line>
        </w:pict>
      </w:r>
    </w:p>
    <w:p>
      <w:pPr>
        <w:spacing w:line="360" w:lineRule="auto"/>
        <w:ind w:firstLine="552" w:firstLineChars="200"/>
        <w:rPr>
          <w:szCs w:val="28"/>
        </w:rPr>
      </w:pPr>
    </w:p>
    <w:p>
      <w:pPr>
        <w:spacing w:line="360" w:lineRule="auto"/>
        <w:ind w:firstLine="552" w:firstLineChars="200"/>
        <w:rPr>
          <w:szCs w:val="28"/>
        </w:rPr>
      </w:pPr>
    </w:p>
    <w:p>
      <w:pPr>
        <w:spacing w:line="360" w:lineRule="auto"/>
        <w:ind w:firstLine="552" w:firstLineChars="200"/>
        <w:rPr>
          <w:szCs w:val="28"/>
        </w:rPr>
      </w:pPr>
    </w:p>
    <w:p>
      <w:pPr>
        <w:spacing w:line="360" w:lineRule="auto"/>
        <w:jc w:val="center"/>
      </w:pPr>
      <w:r>
        <w:rPr>
          <w:b/>
          <w:sz w:val="24"/>
        </w:rPr>
        <w:t xml:space="preserve">     图1-1 本预案与外部相关应急预案的关系图</w:t>
      </w:r>
    </w:p>
    <w:p>
      <w:pPr>
        <w:spacing w:line="360" w:lineRule="auto"/>
        <w:ind w:firstLine="552" w:firstLineChars="200"/>
      </w:pPr>
    </w:p>
    <w:p>
      <w:pPr>
        <w:pStyle w:val="2"/>
        <w:spacing w:line="480" w:lineRule="exact"/>
        <w:rPr>
          <w:sz w:val="28"/>
        </w:rPr>
        <w:sectPr>
          <w:pgSz w:w="16838" w:h="11906" w:orient="landscape"/>
          <w:pgMar w:top="1418" w:right="1418" w:bottom="1418" w:left="1418" w:header="851" w:footer="959" w:gutter="0"/>
          <w:pgBorders>
            <w:top w:val="none" w:sz="0" w:space="0"/>
            <w:left w:val="none" w:sz="0" w:space="0"/>
            <w:bottom w:val="none" w:sz="0" w:space="0"/>
            <w:right w:val="none" w:sz="0" w:space="0"/>
          </w:pgBorders>
          <w:pgNumType w:fmt="decimal"/>
          <w:cols w:space="720" w:num="1"/>
          <w:docGrid w:linePitch="312" w:charSpace="0"/>
        </w:sectPr>
      </w:pPr>
    </w:p>
    <w:p>
      <w:pPr>
        <w:pStyle w:val="2"/>
      </w:pPr>
      <w:bookmarkStart w:id="71" w:name="_Toc11335"/>
      <w:bookmarkStart w:id="72" w:name="_Toc780"/>
      <w:bookmarkStart w:id="73" w:name="_Toc12107"/>
      <w:bookmarkStart w:id="74" w:name="_Toc7964"/>
      <w:r>
        <w:t>2企业基本情况</w:t>
      </w:r>
      <w:bookmarkEnd w:id="71"/>
      <w:bookmarkEnd w:id="72"/>
      <w:bookmarkEnd w:id="73"/>
      <w:bookmarkEnd w:id="74"/>
    </w:p>
    <w:p>
      <w:pPr>
        <w:pStyle w:val="3"/>
        <w:rPr>
          <w:rFonts w:hint="eastAsia" w:eastAsia="宋体"/>
          <w:lang w:val="en-US" w:eastAsia="zh-CN"/>
        </w:rPr>
      </w:pPr>
      <w:bookmarkStart w:id="75" w:name="_Toc26578"/>
      <w:bookmarkStart w:id="76" w:name="_Toc31474"/>
      <w:bookmarkStart w:id="77" w:name="_Toc1092"/>
      <w:bookmarkStart w:id="78" w:name="_Toc22261"/>
      <w:r>
        <w:pict>
          <v:line id="直线 9892" o:spid="_x0000_s1043" o:spt="20" style="position:absolute;left:0pt;flip:y;margin-left:652.1pt;margin-top:139.1pt;height:25pt;width:0pt;z-index:251663360;mso-width-relative:page;mso-height-relative:page;" coordsize="21600,216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">
            <v:path arrowok="t"/>
            <v:fill focussize="0,0"/>
            <v:stroke/>
            <v:imagedata o:title=""/>
            <o:lock v:ext="edit"/>
          </v:line>
        </w:pict>
      </w:r>
      <w:r>
        <w:t>2.</w:t>
      </w:r>
      <w:r>
        <w:rPr>
          <w:rFonts w:hint="eastAsia"/>
          <w:lang w:val="en-US" w:eastAsia="zh-CN"/>
        </w:rPr>
        <w:t>1</w:t>
      </w:r>
      <w:r>
        <w:t>地理位置及周围环境状况</w:t>
      </w:r>
      <w:bookmarkEnd w:id="75"/>
      <w:bookmarkEnd w:id="76"/>
      <w:bookmarkEnd w:id="77"/>
      <w:bookmarkEnd w:id="78"/>
      <w:r>
        <w:rPr>
          <w:rFonts w:hint="eastAsia"/>
          <w:lang w:val="en-US" w:eastAsia="zh-CN"/>
        </w:rPr>
        <w:t xml:space="preserve"> </w:t>
      </w:r>
    </w:p>
    <w:p>
      <w:pPr>
        <w:pStyle w:val="4"/>
      </w:pPr>
      <w:bookmarkStart w:id="79" w:name="_Toc19563"/>
      <w:bookmarkStart w:id="80" w:name="_Toc1002"/>
      <w:r>
        <w:t>2.</w:t>
      </w:r>
      <w:r>
        <w:rPr>
          <w:rFonts w:hint="eastAsia"/>
          <w:lang w:val="en-US" w:eastAsia="zh-CN"/>
        </w:rPr>
        <w:t>1</w:t>
      </w:r>
      <w:r>
        <w:t>.1地理位置</w:t>
      </w:r>
      <w:bookmarkEnd w:id="79"/>
      <w:bookmarkEnd w:id="80"/>
    </w:p>
    <w:p>
      <w:pPr>
        <w:pStyle w:val="17"/>
        <w:rPr>
          <w:rFonts w:ascii="宋体"/>
          <w:szCs w:val="28"/>
        </w:rPr>
      </w:pPr>
      <w:r>
        <w:rPr>
          <w:rFonts w:ascii="宋体"/>
          <w:szCs w:val="28"/>
        </w:rPr>
        <w:t>中山市东临珠江口，与珠海、澳门相邻，与深圳、香港隔海相望，北距省会广州市约100公里。</w:t>
      </w:r>
    </w:p>
    <w:p>
      <w:pPr>
        <w:pStyle w:val="17"/>
        <w:ind w:left="0" w:leftChars="0" w:firstLine="560" w:firstLineChars="200"/>
        <w:rPr>
          <w:rFonts w:hint="eastAsia" w:ascii="Times New Roman" w:hAnsi="Times New Roman" w:eastAsia="宋体"/>
          <w:lang w:eastAsia="zh-CN"/>
        </w:rPr>
      </w:pPr>
      <w:r>
        <w:rPr>
          <w:rFonts w:hint="eastAsia" w:ascii="宋体"/>
          <w:szCs w:val="28"/>
        </w:rPr>
        <w:t>民众镇位于中山市东北部，横门水道北岸，鸡鸦水道东北岸，东临珠江口，南与中山市火炬开发区隔江相望，西连三角、港口镇，东北隔洪奇沥水道与广州番禺区万顷沙镇相望。中心镇区距中山市中心城区石岐14.2公里，京珠高速公路及番中公路由北向南穿越镇区，是民众镇两条主要的对外交通干道</w:t>
      </w:r>
      <w:r>
        <w:rPr>
          <w:rFonts w:hint="eastAsia" w:ascii="宋体"/>
          <w:szCs w:val="28"/>
          <w:lang w:eastAsia="zh-CN"/>
        </w:rPr>
        <w:t>。</w:t>
      </w:r>
    </w:p>
    <w:p>
      <w:pPr>
        <w:pStyle w:val="17"/>
        <w:ind w:left="0" w:leftChars="0" w:firstLine="560" w:firstLineChars="200"/>
        <w:rPr>
          <w:rFonts w:ascii="Times New Roman" w:hAnsi="Times New Roman"/>
        </w:rPr>
      </w:pPr>
      <w:r>
        <w:rPr>
          <w:rFonts w:hint="eastAsia" w:ascii="Times New Roman" w:hAnsi="Times New Roman"/>
          <w:lang w:eastAsia="zh-CN"/>
        </w:rPr>
        <w:t>中山市民东有机废物处理有限公司</w:t>
      </w:r>
      <w:r>
        <w:rPr>
          <w:rFonts w:ascii="Times New Roman" w:hAnsi="Times New Roman"/>
        </w:rPr>
        <w:t>位于中山市民众镇沙仔村下围生态环保产业园内（N22°</w:t>
      </w:r>
      <w:r>
        <w:rPr>
          <w:rFonts w:hint="eastAsia" w:ascii="Times New Roman" w:hAnsi="Times New Roman"/>
          <w:lang w:val="en-US" w:eastAsia="zh-CN"/>
        </w:rPr>
        <w:t>39</w:t>
      </w:r>
      <w:r>
        <w:rPr>
          <w:rFonts w:ascii="Times New Roman" w:hAnsi="Times New Roman"/>
        </w:rPr>
        <w:t>'</w:t>
      </w:r>
      <w:r>
        <w:rPr>
          <w:rFonts w:hint="eastAsia" w:ascii="Times New Roman" w:hAnsi="Times New Roman"/>
          <w:lang w:val="en-US" w:eastAsia="zh-CN"/>
        </w:rPr>
        <w:t>41.60</w:t>
      </w:r>
      <w:r>
        <w:rPr>
          <w:rFonts w:ascii="Times New Roman" w:hAnsi="Times New Roman"/>
        </w:rPr>
        <w:t>"、E113°</w:t>
      </w:r>
      <w:r>
        <w:rPr>
          <w:rFonts w:hint="eastAsia" w:ascii="Times New Roman" w:hAnsi="Times New Roman"/>
          <w:lang w:val="en-US" w:eastAsia="zh-CN"/>
        </w:rPr>
        <w:t>31</w:t>
      </w:r>
      <w:r>
        <w:rPr>
          <w:rFonts w:ascii="Times New Roman" w:hAnsi="Times New Roman"/>
        </w:rPr>
        <w:t>'</w:t>
      </w:r>
      <w:r>
        <w:rPr>
          <w:rFonts w:hint="eastAsia" w:ascii="Times New Roman" w:hAnsi="Times New Roman"/>
          <w:lang w:val="en-US" w:eastAsia="zh-CN"/>
        </w:rPr>
        <w:t>27.81</w:t>
      </w:r>
      <w:r>
        <w:rPr>
          <w:rFonts w:ascii="Times New Roman" w:hAnsi="Times New Roman"/>
        </w:rPr>
        <w:t>"）。</w:t>
      </w:r>
      <w:r>
        <w:rPr>
          <w:rFonts w:hint="eastAsia" w:ascii="Times New Roman" w:hAnsi="Times New Roman"/>
          <w:lang w:eastAsia="zh-CN"/>
        </w:rPr>
        <w:t>公司</w:t>
      </w:r>
      <w:r>
        <w:rPr>
          <w:rFonts w:hint="eastAsia" w:ascii="Times New Roman" w:hAnsi="Times New Roman"/>
        </w:rPr>
        <w:t>南面紧临沙仔沥涌，隔涌为农田</w:t>
      </w:r>
      <w:r>
        <w:rPr>
          <w:rFonts w:hint="eastAsia" w:ascii="Times New Roman" w:hAnsi="Times New Roman"/>
          <w:lang w:eastAsia="zh-CN"/>
        </w:rPr>
        <w:t>，</w:t>
      </w:r>
      <w:r>
        <w:rPr>
          <w:rFonts w:hint="eastAsia" w:ascii="Times New Roman" w:hAnsi="Times New Roman"/>
        </w:rPr>
        <w:t>西面紧邻空地</w:t>
      </w:r>
      <w:r>
        <w:rPr>
          <w:rFonts w:hint="eastAsia" w:ascii="Times New Roman" w:hAnsi="Times New Roman"/>
          <w:lang w:eastAsia="zh-CN"/>
        </w:rPr>
        <w:t>，</w:t>
      </w:r>
      <w:r>
        <w:rPr>
          <w:rFonts w:hint="eastAsia" w:ascii="Times New Roman" w:hAnsi="Times New Roman"/>
        </w:rPr>
        <w:t>北面紧邻未命名道路，隔路为空地</w:t>
      </w:r>
      <w:r>
        <w:rPr>
          <w:rFonts w:hint="eastAsia" w:ascii="Times New Roman" w:hAnsi="Times New Roman"/>
          <w:lang w:eastAsia="zh-CN"/>
        </w:rPr>
        <w:t>，</w:t>
      </w:r>
      <w:r>
        <w:rPr>
          <w:rFonts w:hint="eastAsia" w:ascii="Times New Roman" w:hAnsi="Times New Roman"/>
        </w:rPr>
        <w:t>东面紧邻未命名道路，隔路为广东赢胜节能有限公司和空地</w:t>
      </w:r>
      <w:r>
        <w:rPr>
          <w:rFonts w:ascii="Times New Roman" w:hAnsi="Times New Roman"/>
        </w:rPr>
        <w:t>。地理位置见图2-1，四周情况见图2-2。</w:t>
      </w:r>
    </w:p>
    <w:p>
      <w:pPr>
        <w:pStyle w:val="17"/>
        <w:jc w:val="center"/>
        <w:rPr>
          <w:rFonts w:ascii="Times New Roman" w:hAnsi="Times New Roman"/>
        </w:rPr>
      </w:pPr>
    </w:p>
    <w:p>
      <w:pPr>
        <w:pStyle w:val="17"/>
        <w:jc w:val="center"/>
        <w:rPr>
          <w:rFonts w:ascii="Times New Roman" w:hAnsi="Times New Roman"/>
        </w:rPr>
      </w:pPr>
    </w:p>
    <w:p>
      <w:pPr>
        <w:pStyle w:val="17"/>
        <w:jc w:val="center"/>
        <w:rPr>
          <w:rFonts w:ascii="Times New Roman" w:hAnsi="Times New Roman"/>
        </w:rPr>
        <w:sectPr>
          <w:pgSz w:w="11906" w:h="16838"/>
          <w:pgMar w:top="1418" w:right="1418" w:bottom="1418" w:left="1418" w:header="851" w:footer="959" w:gutter="0"/>
          <w:pgBorders>
            <w:top w:val="none" w:sz="0" w:space="0"/>
            <w:left w:val="none" w:sz="0" w:space="0"/>
            <w:bottom w:val="none" w:sz="0" w:space="0"/>
            <w:right w:val="none" w:sz="0" w:space="0"/>
          </w:pgBorders>
          <w:pgNumType w:fmt="decimal"/>
          <w:cols w:space="720" w:num="1"/>
          <w:docGrid w:linePitch="312" w:charSpace="0"/>
        </w:sectPr>
      </w:pPr>
    </w:p>
    <w:p>
      <w:pPr>
        <w:spacing w:line="8630" w:lineRule="exact"/>
        <w:ind w:left="104" w:right="0" w:firstLine="0"/>
        <w:rPr>
          <w:rFonts w:ascii="宋体" w:hAnsi="宋体" w:eastAsia="宋体" w:cs="宋体"/>
          <w:sz w:val="20"/>
          <w:szCs w:val="20"/>
        </w:rPr>
      </w:pPr>
      <w:r>
        <w:rPr>
          <w:rFonts w:hint="eastAsia"/>
          <w:lang w:val="en-US" w:eastAsia="zh-CN"/>
        </w:rPr>
        <w:t xml:space="preserve">  </w:t>
      </w:r>
      <w:r>
        <w:rPr>
          <w:rFonts w:ascii="宋体" w:hAnsi="宋体" w:eastAsia="宋体" w:cs="宋体"/>
          <w:position w:val="-172"/>
          <w:sz w:val="20"/>
          <w:szCs w:val="20"/>
        </w:rPr>
        <w:pict>
          <v:group id="_x0000_s8537" o:spid="_x0000_s8537" o:spt="203" style="height:431.5pt;width:676.95pt;" coordsize="13539,8630">
            <o:lock v:ext="edit"/>
            <v:shape id="_x0000_s8538" o:spid="_x0000_s8538" o:spt="75" type="#_x0000_t75" style="position:absolute;left:10;top:10;height:8610;width:13519;" filled="f" stroked="f" coordsize="21600,21600">
              <v:path/>
              <v:fill on="f" focussize="0,0"/>
              <v:stroke on="f"/>
              <v:imagedata r:id="rId21" o:title=""/>
              <o:lock v:ext="edit" aspectratio="t"/>
            </v:shape>
            <v:group id="_x0000_s8539" o:spid="_x0000_s8539" o:spt="203" style="position:absolute;left:5;top:5;height:8620;width:13529;" coordorigin="5,5" coordsize="13529,8620">
              <o:lock v:ext="edit"/>
              <v:shape id="_x0000_s8540" o:spid="_x0000_s8540" style="position:absolute;left:5;top:5;height:8620;width:13529;" filled="f" stroked="t" coordorigin="5,5" coordsize="13529,8620" path="m5,8625l13534,8625,13534,5,5,5,5,8625xe">
                <v:path arrowok="t"/>
                <v:fill on="f" focussize="0,0"/>
                <v:stroke weight="0.5pt" color="#000000"/>
                <v:imagedata o:title=""/>
                <o:lock v:ext="edit"/>
              </v:shape>
            </v:group>
            <w10:wrap type="none"/>
            <w10:anchorlock/>
          </v:group>
        </w:pict>
      </w:r>
    </w:p>
    <w:p>
      <w:pPr>
        <w:pStyle w:val="17"/>
        <w:wordWrap w:val="0"/>
        <w:ind w:right="600" w:firstLine="0" w:firstLineChars="0"/>
        <w:jc w:val="center"/>
        <w:rPr>
          <w:rFonts w:ascii="宋体" w:hAnsi="宋体" w:eastAsia="宋体" w:cs="宋体"/>
          <w:sz w:val="20"/>
          <w:szCs w:val="20"/>
        </w:rPr>
      </w:pPr>
      <w:r>
        <w:rPr>
          <w:rFonts w:hint="eastAsia"/>
          <w:b/>
          <w:sz w:val="24"/>
        </w:rPr>
        <w:t xml:space="preserve">    </w:t>
      </w:r>
      <w:r>
        <w:rPr>
          <w:rFonts w:ascii="Times New Roman" w:hAnsi="Times New Roman"/>
          <w:b/>
          <w:szCs w:val="28"/>
        </w:rPr>
        <w:t>图2-1 地理位置图</w:t>
      </w:r>
      <w:r>
        <w:rPr>
          <w:rFonts w:ascii="宋体" w:hAnsi="宋体" w:eastAsia="宋体" w:cs="宋体"/>
          <w:position w:val="-179"/>
          <w:sz w:val="20"/>
          <w:szCs w:val="20"/>
        </w:rPr>
        <w:pict>
          <v:group id="_x0000_s8545" o:spid="_x0000_s8545" o:spt="203" style="height:407.65pt;width:610.3pt;" coordsize="13421,8978">
            <o:lock v:ext="edit" aspectratio="f"/>
            <v:shape id="_x0000_s8546" o:spid="_x0000_s8546" o:spt="75" type="#_x0000_t75" style="position:absolute;left:10;top:10;height:8958;width:13401;" filled="f" o:preferrelative="t" stroked="f" coordsize="21600,21600">
              <v:path/>
              <v:fill on="f" focussize="0,0"/>
              <v:stroke on="f"/>
              <v:imagedata r:id="rId22" o:title=""/>
              <o:lock v:ext="edit" aspectratio="t"/>
            </v:shape>
            <v:group id="_x0000_s8547" o:spid="_x0000_s8547" o:spt="203" style="position:absolute;left:5;top:5;height:8968;width:13411;" coordorigin="5,5" coordsize="13411,8968">
              <o:lock v:ext="edit" aspectratio="f"/>
              <v:shape id="_x0000_s8548" o:spid="_x0000_s8548" style="position:absolute;left:5;top:5;height:8968;width:13411;" filled="f" stroked="t" coordorigin="5,5" coordsize="13411,8968" path="m5,8973l13416,8973,13416,5,5,5,5,8973xe">
                <v:path arrowok="t"/>
                <v:fill on="f" focussize="0,0"/>
                <v:stroke weight="0.5pt" color="#000000"/>
                <v:imagedata o:title=""/>
                <o:lock v:ext="edit" aspectratio="f"/>
              </v:shape>
            </v:group>
            <w10:wrap type="none"/>
            <w10:anchorlock/>
          </v:group>
        </w:pict>
      </w:r>
    </w:p>
    <w:p>
      <w:pPr>
        <w:pStyle w:val="17"/>
        <w:ind w:firstLine="0" w:firstLineChars="0"/>
        <w:jc w:val="center"/>
        <w:rPr>
          <w:rFonts w:ascii="Times New Roman" w:hAnsi="Times New Roman"/>
          <w:b/>
          <w:bCs/>
          <w:szCs w:val="28"/>
        </w:rPr>
        <w:sectPr>
          <w:pgSz w:w="16838" w:h="11906" w:orient="landscape"/>
          <w:pgMar w:top="1418" w:right="1418" w:bottom="1418" w:left="1418" w:header="851" w:footer="959" w:gutter="0"/>
          <w:pgBorders>
            <w:top w:val="none" w:sz="0" w:space="0"/>
            <w:left w:val="none" w:sz="0" w:space="0"/>
            <w:bottom w:val="none" w:sz="0" w:space="0"/>
            <w:right w:val="none" w:sz="0" w:space="0"/>
          </w:pgBorders>
          <w:pgNumType w:fmt="decimal"/>
          <w:cols w:space="720" w:num="1"/>
          <w:docGrid w:linePitch="381" w:charSpace="0"/>
        </w:sectPr>
      </w:pPr>
      <w:r>
        <w:rPr>
          <w:rFonts w:ascii="Times New Roman" w:hAnsi="Times New Roman"/>
          <w:b/>
          <w:bCs/>
          <w:szCs w:val="28"/>
        </w:rPr>
        <w:t>图2-2 四至情况图</w:t>
      </w:r>
    </w:p>
    <w:p>
      <w:pPr>
        <w:pStyle w:val="4"/>
      </w:pPr>
      <w:bookmarkStart w:id="81" w:name="_Toc27369"/>
      <w:bookmarkStart w:id="82" w:name="_Toc7149"/>
      <w:r>
        <w:t>2.</w:t>
      </w:r>
      <w:r>
        <w:rPr>
          <w:rFonts w:hint="eastAsia"/>
          <w:lang w:val="en-US" w:eastAsia="zh-CN"/>
        </w:rPr>
        <w:t>1</w:t>
      </w:r>
      <w:r>
        <w:t>.2地形、地貌、地质</w:t>
      </w:r>
      <w:bookmarkEnd w:id="81"/>
      <w:bookmarkEnd w:id="82"/>
    </w:p>
    <w:p>
      <w:pPr>
        <w:pStyle w:val="17"/>
        <w:rPr>
          <w:rFonts w:hint="eastAsia" w:ascii="Times New Roman" w:hAnsi="Times New Roman"/>
          <w:szCs w:val="28"/>
        </w:rPr>
      </w:pPr>
      <w:r>
        <w:rPr>
          <w:rFonts w:hint="eastAsia" w:ascii="Times New Roman" w:hAnsi="Times New Roman"/>
          <w:szCs w:val="28"/>
        </w:rPr>
        <w:t>中山市平面形状南北狭长，约66公里，东西短窄，约45公里，轮廓酷似；一个紧握而向上举的拳头。</w:t>
      </w:r>
    </w:p>
    <w:p>
      <w:pPr>
        <w:pStyle w:val="17"/>
        <w:rPr>
          <w:rFonts w:hint="eastAsia" w:ascii="Times New Roman" w:hAnsi="Times New Roman"/>
          <w:szCs w:val="28"/>
        </w:rPr>
      </w:pPr>
      <w:r>
        <w:rPr>
          <w:rFonts w:hint="eastAsia" w:ascii="Times New Roman" w:hAnsi="Times New Roman"/>
          <w:szCs w:val="28"/>
        </w:rPr>
        <w:t>市境地势中高周低；地貌层状结构明显，类型丰富多样，但以平原为主；地貌形态明显受北东、北西走向的地质构造控制。根据地貌的形态、成因、物质、年龄等要素，可将地貌分为4大类、10亚类和29种微地貌。</w:t>
      </w:r>
    </w:p>
    <w:p>
      <w:pPr>
        <w:pStyle w:val="17"/>
        <w:rPr>
          <w:rFonts w:hint="eastAsia" w:ascii="Times New Roman" w:hAnsi="Times New Roman"/>
          <w:szCs w:val="28"/>
        </w:rPr>
      </w:pPr>
      <w:r>
        <w:rPr>
          <w:rFonts w:hint="eastAsia" w:ascii="Times New Roman" w:hAnsi="Times New Roman"/>
          <w:szCs w:val="28"/>
        </w:rPr>
        <w:t>根据地貌的平面分布及形成特点，全市地貌大致可以分成北部平原区、西南部平原区、南部平原区和中部五桂山-白水林低山丘陵台地区等四个区。</w:t>
      </w:r>
    </w:p>
    <w:p>
      <w:pPr>
        <w:pStyle w:val="17"/>
        <w:rPr>
          <w:rFonts w:hint="eastAsia" w:ascii="Times New Roman" w:hAnsi="Times New Roman"/>
          <w:szCs w:val="28"/>
        </w:rPr>
      </w:pPr>
      <w:r>
        <w:rPr>
          <w:rFonts w:hint="eastAsia" w:ascii="Times New Roman" w:hAnsi="Times New Roman"/>
          <w:szCs w:val="28"/>
        </w:rPr>
        <w:t>民众镇地质构造由西江以及北江所带来的泥沙在古海湾淤积而成，主要是泥沙混合物，表层土质粘重，有机质丰富，工程地质条件一般，18 m以内是淤泥，35 m到风化岩，设计自然地基承载力约5 t/m</w:t>
      </w:r>
      <w:r>
        <w:rPr>
          <w:rFonts w:hint="eastAsia" w:ascii="Times New Roman" w:hAnsi="Times New Roman"/>
          <w:szCs w:val="28"/>
          <w:vertAlign w:val="superscript"/>
        </w:rPr>
        <w:t>2</w:t>
      </w:r>
      <w:r>
        <w:rPr>
          <w:rFonts w:hint="eastAsia" w:ascii="Times New Roman" w:hAnsi="Times New Roman"/>
          <w:szCs w:val="28"/>
        </w:rPr>
        <w:t>。</w:t>
      </w:r>
    </w:p>
    <w:p>
      <w:pPr>
        <w:pStyle w:val="17"/>
        <w:rPr>
          <w:rFonts w:ascii="Times New Roman" w:hAnsi="Times New Roman"/>
          <w:szCs w:val="28"/>
        </w:rPr>
      </w:pPr>
      <w:r>
        <w:rPr>
          <w:rFonts w:hint="eastAsia" w:ascii="Times New Roman" w:hAnsi="Times New Roman"/>
          <w:szCs w:val="28"/>
        </w:rPr>
        <w:t>民众镇地形属冲积平原，为大沙田地区，地势从北向南倾斜，坡度极小，十分平坦，海拔高程平均在0.4米左右，最高2.9 m，最低-0.3 m。</w:t>
      </w:r>
    </w:p>
    <w:p>
      <w:pPr>
        <w:pStyle w:val="4"/>
      </w:pPr>
      <w:bookmarkStart w:id="83" w:name="_Toc26878"/>
      <w:bookmarkStart w:id="84" w:name="_Toc3633"/>
      <w:bookmarkStart w:id="85" w:name="_Toc4506"/>
      <w:r>
        <w:t>2.</w:t>
      </w:r>
      <w:r>
        <w:rPr>
          <w:rFonts w:hint="eastAsia"/>
          <w:lang w:val="en-US" w:eastAsia="zh-CN"/>
        </w:rPr>
        <w:t>1</w:t>
      </w:r>
      <w:r>
        <w:t>.3气候、气象</w:t>
      </w:r>
      <w:bookmarkEnd w:id="83"/>
      <w:bookmarkEnd w:id="84"/>
      <w:bookmarkEnd w:id="85"/>
    </w:p>
    <w:p>
      <w:pPr>
        <w:pStyle w:val="17"/>
        <w:rPr>
          <w:rFonts w:ascii="Times New Roman" w:hAnsi="Times New Roman"/>
          <w:szCs w:val="28"/>
        </w:rPr>
      </w:pPr>
      <w:r>
        <w:rPr>
          <w:rFonts w:hint="eastAsia" w:ascii="Times New Roman" w:hAnsi="Times New Roman"/>
          <w:szCs w:val="28"/>
          <w:lang w:eastAsia="zh-CN"/>
        </w:rPr>
        <w:t>中山市民东有机废物处理有限公司</w:t>
      </w:r>
      <w:r>
        <w:rPr>
          <w:rFonts w:ascii="Times New Roman" w:hAnsi="Times New Roman"/>
          <w:szCs w:val="28"/>
        </w:rPr>
        <w:t>所在地区属南亚热带海洋性季风气候。据中山市气象台历年资料统计：</w:t>
      </w:r>
    </w:p>
    <w:p>
      <w:pPr>
        <w:pStyle w:val="17"/>
        <w:rPr>
          <w:rFonts w:ascii="Times New Roman" w:hAnsi="Times New Roman"/>
          <w:szCs w:val="28"/>
        </w:rPr>
      </w:pPr>
      <w:r>
        <w:rPr>
          <w:rFonts w:ascii="Times New Roman" w:hAnsi="Times New Roman"/>
          <w:szCs w:val="28"/>
        </w:rPr>
        <w:t>（1）光照和气温</w:t>
      </w:r>
    </w:p>
    <w:p>
      <w:pPr>
        <w:pStyle w:val="17"/>
        <w:rPr>
          <w:rFonts w:ascii="Times New Roman" w:hAnsi="Times New Roman"/>
          <w:szCs w:val="28"/>
        </w:rPr>
      </w:pPr>
      <w:r>
        <w:rPr>
          <w:rFonts w:ascii="Times New Roman" w:hAnsi="Times New Roman"/>
          <w:szCs w:val="28"/>
        </w:rPr>
        <w:t>公司所在地区全境均在北回归线以南，属南亚热带季风气候，受海洋性气候及季风影响，气候特征为光热充足、雨量充沛、干湿分明。全年境内各地均有2次太阳直射，太阳辐射能量丰富。总辐射量以7月最多，达51141.3J/cm2；2月最少，仅23285.7J/cm</w:t>
      </w:r>
      <w:r>
        <w:rPr>
          <w:rFonts w:ascii="Times New Roman" w:hAnsi="Times New Roman"/>
          <w:szCs w:val="28"/>
          <w:vertAlign w:val="superscript"/>
        </w:rPr>
        <w:t>2</w:t>
      </w:r>
      <w:r>
        <w:rPr>
          <w:rFonts w:ascii="Times New Roman" w:hAnsi="Times New Roman"/>
          <w:szCs w:val="28"/>
        </w:rPr>
        <w:t>。历年平均日照时数为</w:t>
      </w:r>
      <w:r>
        <w:rPr>
          <w:rFonts w:hint="eastAsia" w:ascii="Times New Roman" w:hAnsi="Times New Roman"/>
          <w:szCs w:val="28"/>
          <w:lang w:val="en-US" w:eastAsia="zh-CN"/>
        </w:rPr>
        <w:t>1843.5</w:t>
      </w:r>
      <w:r>
        <w:rPr>
          <w:rFonts w:ascii="Times New Roman" w:hAnsi="Times New Roman"/>
          <w:szCs w:val="28"/>
        </w:rPr>
        <w:t>小时，占年可照时数的42%。年最多日照时间为2392.6小时（1995），占年可照时数的54%</w:t>
      </w:r>
      <w:r>
        <w:rPr>
          <w:rFonts w:hint="eastAsia" w:ascii="Times New Roman" w:hAnsi="Times New Roman"/>
          <w:szCs w:val="28"/>
          <w:lang w:eastAsia="zh-CN"/>
        </w:rPr>
        <w:t>，年最少日照时数为1455.8小时（1961年），占年可照时数的33%</w:t>
      </w:r>
      <w:r>
        <w:rPr>
          <w:rFonts w:ascii="Times New Roman" w:hAnsi="Times New Roman"/>
          <w:szCs w:val="28"/>
        </w:rPr>
        <w:t>。终年气温较高，全镇历年平均气温为21.8℃。月平均气温以1月最低，为13.3℃，7月最高，达28.4℃，极端最高气温36.7℃（1980年7月10日），极端最低气温-1.3℃（1995年1月12日）。气温的年际变化不大。</w:t>
      </w:r>
    </w:p>
    <w:p>
      <w:pPr>
        <w:pStyle w:val="17"/>
        <w:rPr>
          <w:rFonts w:ascii="Times New Roman" w:hAnsi="Times New Roman"/>
          <w:szCs w:val="28"/>
        </w:rPr>
      </w:pPr>
      <w:r>
        <w:rPr>
          <w:rFonts w:ascii="Times New Roman" w:hAnsi="Times New Roman"/>
          <w:szCs w:val="28"/>
        </w:rPr>
        <w:t>相对湿度多年平均为83%，最大是1957年为86%，最小是1967年和1977年为81%。年内变化，5月至6月大，12月至1月小。蒸发量多年平均为1448.1毫米，最大是1971年为1605.1毫米，最小是1965年为1279.9毫米。</w:t>
      </w:r>
    </w:p>
    <w:p>
      <w:pPr>
        <w:pStyle w:val="17"/>
        <w:rPr>
          <w:rFonts w:ascii="Times New Roman" w:hAnsi="Times New Roman"/>
          <w:szCs w:val="28"/>
        </w:rPr>
      </w:pPr>
      <w:r>
        <w:rPr>
          <w:rFonts w:ascii="Times New Roman" w:hAnsi="Times New Roman"/>
          <w:szCs w:val="28"/>
        </w:rPr>
        <w:t>（2）降水</w:t>
      </w:r>
    </w:p>
    <w:p>
      <w:pPr>
        <w:pStyle w:val="17"/>
        <w:rPr>
          <w:rFonts w:ascii="Times New Roman" w:hAnsi="Times New Roman"/>
          <w:szCs w:val="28"/>
        </w:rPr>
      </w:pPr>
      <w:r>
        <w:rPr>
          <w:rFonts w:ascii="Times New Roman" w:hAnsi="Times New Roman"/>
          <w:szCs w:val="28"/>
        </w:rPr>
        <w:t>公司所在地区濒临南海，夏季风带来大量水汽，成为降水的主要来源，降水季节分配不均匀，干湿季节明显。全年前汛期（4-6月）降水占年降水量的40.7%，后汛期（7-9月）降水量占全年的40.6%，10月以后，降水量迅速下降。全年降水量表现为两个高峰：5-6月为主高峰，8-9月为次高峰，年降水量最大为2888.2mm（2016年），最小为1000.7mm（1956年），相差1.7倍。</w:t>
      </w:r>
    </w:p>
    <w:p>
      <w:pPr>
        <w:pStyle w:val="17"/>
        <w:rPr>
          <w:rFonts w:ascii="Times New Roman" w:hAnsi="Times New Roman"/>
          <w:szCs w:val="28"/>
        </w:rPr>
      </w:pPr>
      <w:r>
        <w:rPr>
          <w:rFonts w:ascii="Times New Roman" w:hAnsi="Times New Roman"/>
          <w:szCs w:val="28"/>
        </w:rPr>
        <w:t>（3）地面风场</w:t>
      </w:r>
    </w:p>
    <w:p>
      <w:pPr>
        <w:pStyle w:val="17"/>
        <w:rPr>
          <w:rFonts w:ascii="Times New Roman" w:hAnsi="Times New Roman"/>
          <w:szCs w:val="28"/>
        </w:rPr>
      </w:pPr>
      <w:r>
        <w:rPr>
          <w:rFonts w:ascii="Times New Roman" w:hAnsi="Times New Roman"/>
          <w:szCs w:val="28"/>
        </w:rPr>
        <w:t>公司所在地区风向的变化，主要受季风环流的影响。主要盛行风为北、东和南风，风向频率分别为14.1%、8.5%和8%；其次是北北西风，风向频率为7%。静风频率达25%，历年最少风向为西南西、西和西北西，风向频率仅为1%，一年中，各季的风向有明显差异。冬季（1月）的盛行风为北风和北北西风，夏季（7月）的盛行风为南风和南南西风，秋季（10月）最多风向为北。历年平均风速为</w:t>
      </w:r>
      <w:r>
        <w:rPr>
          <w:rFonts w:hint="eastAsia" w:ascii="Times New Roman" w:hAnsi="Times New Roman"/>
          <w:szCs w:val="28"/>
          <w:lang w:val="en-US" w:eastAsia="zh-CN"/>
        </w:rPr>
        <w:t>2.1</w:t>
      </w:r>
      <w:r>
        <w:rPr>
          <w:rFonts w:ascii="Times New Roman" w:hAnsi="Times New Roman"/>
          <w:szCs w:val="28"/>
        </w:rPr>
        <w:t>m/s。各季平均风速差异较小，极端最大风速超过12级，大风（风速≥17m/s,相当于8级以上风力）日数历年平均为4.6天,多出现在夏季。</w:t>
      </w:r>
    </w:p>
    <w:p>
      <w:pPr>
        <w:pStyle w:val="17"/>
        <w:rPr>
          <w:rFonts w:ascii="Times New Roman" w:hAnsi="Times New Roman"/>
          <w:szCs w:val="28"/>
        </w:rPr>
      </w:pPr>
      <w:r>
        <w:rPr>
          <w:rFonts w:ascii="Times New Roman" w:hAnsi="Times New Roman"/>
          <w:szCs w:val="28"/>
        </w:rPr>
        <w:t>（4） 灾害性天气</w:t>
      </w:r>
    </w:p>
    <w:p>
      <w:pPr>
        <w:pStyle w:val="17"/>
        <w:rPr>
          <w:rFonts w:ascii="Times New Roman" w:hAnsi="Times New Roman"/>
          <w:szCs w:val="28"/>
        </w:rPr>
      </w:pPr>
      <w:r>
        <w:rPr>
          <w:rFonts w:ascii="Times New Roman" w:hAnsi="Times New Roman"/>
          <w:szCs w:val="28"/>
        </w:rPr>
        <w:t>公司所在地区的灾害性天气主要有低温冷害、寒露风、台风和暴雨。</w:t>
      </w:r>
    </w:p>
    <w:p>
      <w:pPr>
        <w:pStyle w:val="17"/>
        <w:rPr>
          <w:rFonts w:ascii="Times New Roman" w:hAnsi="Times New Roman"/>
          <w:szCs w:val="28"/>
        </w:rPr>
      </w:pPr>
      <w:r>
        <w:rPr>
          <w:rFonts w:ascii="Times New Roman" w:hAnsi="Times New Roman"/>
          <w:szCs w:val="28"/>
        </w:rPr>
        <w:t>低温冷害（小于5℃）是指冬季的低温霜冻和春季的低温阴雨（烂秧天气）；低温日数历年平均为7天，低温日大多数出现在12月、1月和2月上旬。年平均霜冻日为3.06天，有霜冻年份占64%。</w:t>
      </w:r>
    </w:p>
    <w:p>
      <w:pPr>
        <w:pStyle w:val="17"/>
        <w:rPr>
          <w:rFonts w:ascii="Times New Roman" w:hAnsi="Times New Roman"/>
          <w:szCs w:val="28"/>
        </w:rPr>
      </w:pPr>
      <w:r>
        <w:rPr>
          <w:rFonts w:ascii="Times New Roman" w:hAnsi="Times New Roman"/>
          <w:szCs w:val="28"/>
        </w:rPr>
        <w:t>寒露风是指在寒露节气前后，水稻晚造抽穗扬花时间，北方冷空气南下造成的低温冷害。寒露风每年有0.84次，无寒露年份占35.1%。</w:t>
      </w:r>
    </w:p>
    <w:p>
      <w:pPr>
        <w:pStyle w:val="17"/>
        <w:rPr>
          <w:rFonts w:ascii="Times New Roman" w:hAnsi="Times New Roman"/>
          <w:szCs w:val="28"/>
        </w:rPr>
      </w:pPr>
      <w:r>
        <w:rPr>
          <w:rFonts w:ascii="Times New Roman" w:hAnsi="Times New Roman"/>
          <w:szCs w:val="28"/>
        </w:rPr>
        <w:t>台风是区域严重的灾害性天气。主要出现在5-11月，其中以7-9月次数最多，占全年的73%。特别是7月份，平均每年都有一次台风影响。由于五桂山脉的存在，使得当西行台风过境时，暴雨灾害更为严重。年均出现暴雨（日雨量大于50.0mm）7.6次，主要集中在4-9月，约占全年的90%。</w:t>
      </w:r>
    </w:p>
    <w:p>
      <w:pPr>
        <w:spacing w:line="360" w:lineRule="auto"/>
        <w:ind w:firstLine="480"/>
        <w:rPr>
          <w:szCs w:val="28"/>
        </w:rPr>
      </w:pPr>
      <w:r>
        <w:rPr>
          <w:rFonts w:hint="eastAsia"/>
          <w:color w:val="000000"/>
          <w:lang w:eastAsia="zh-CN"/>
        </w:rPr>
        <w:t>民众镇</w:t>
      </w:r>
      <w:r>
        <w:rPr>
          <w:color w:val="000000"/>
        </w:rPr>
        <w:t>地处北回归线以南，濒临南海，属亚热带季风气候。气候特征是春季阴雨连绵，雨量不大；夏季炎热，暴雨集中；秋季转凉，雨量稀少；冬季稍冷，偶有霜冻。受东亚季风影响，夏季盛吹南风、西南风；冬季吹东北风。一年四季偶有台风、风暴潮、暴雨、洪水及冰雹、寒潮、倒春寒、低温阴雨冷害、跨季节干旱等自然灾害。</w:t>
      </w:r>
    </w:p>
    <w:p>
      <w:pPr>
        <w:pStyle w:val="4"/>
      </w:pPr>
      <w:bookmarkStart w:id="86" w:name="_Toc8062"/>
      <w:bookmarkStart w:id="87" w:name="_Toc19178"/>
      <w:r>
        <w:t>2.</w:t>
      </w:r>
      <w:r>
        <w:rPr>
          <w:rFonts w:hint="eastAsia"/>
          <w:lang w:val="en-US" w:eastAsia="zh-CN"/>
        </w:rPr>
        <w:t>1</w:t>
      </w:r>
      <w:r>
        <w:t>.4 水文特征</w:t>
      </w:r>
      <w:bookmarkEnd w:id="86"/>
      <w:bookmarkEnd w:id="87"/>
    </w:p>
    <w:p>
      <w:pPr>
        <w:pStyle w:val="17"/>
        <w:rPr>
          <w:rFonts w:ascii="Times New Roman" w:hAnsi="Times New Roman"/>
          <w:szCs w:val="28"/>
        </w:rPr>
      </w:pPr>
      <w:r>
        <w:rPr>
          <w:rFonts w:ascii="Times New Roman" w:hAnsi="Times New Roman"/>
          <w:szCs w:val="28"/>
        </w:rPr>
        <w:t>中山地区河网较为密布，河流流向基本为西北-东南向，呈扇形网状分布，河网密度达0.9-1.1km/km2。主要河道有横门水道、洪奇沥水道、</w:t>
      </w:r>
      <w:r>
        <w:rPr>
          <w:rFonts w:hint="eastAsia" w:ascii="Times New Roman" w:hAnsi="Times New Roman"/>
          <w:szCs w:val="28"/>
          <w:lang w:eastAsia="zh-CN"/>
        </w:rPr>
        <w:t>磨刀门水道、小榄</w:t>
      </w:r>
      <w:r>
        <w:rPr>
          <w:rFonts w:ascii="Times New Roman" w:hAnsi="Times New Roman"/>
          <w:szCs w:val="28"/>
        </w:rPr>
        <w:t>水道、鸡鸦水道等，潮汐类型属于混合型不规则半日潮，其月变化是每月潮，望潮差最大约为2米。</w:t>
      </w:r>
    </w:p>
    <w:p>
      <w:pPr>
        <w:pStyle w:val="17"/>
        <w:rPr>
          <w:rFonts w:ascii="Times New Roman" w:hAnsi="Times New Roman"/>
          <w:szCs w:val="28"/>
        </w:rPr>
      </w:pPr>
      <w:r>
        <w:rPr>
          <w:rFonts w:hint="eastAsia" w:ascii="Times New Roman" w:hAnsi="Times New Roman"/>
          <w:szCs w:val="28"/>
          <w:lang w:eastAsia="zh-CN"/>
        </w:rPr>
        <w:t>中山</w:t>
      </w:r>
      <w:r>
        <w:rPr>
          <w:rFonts w:ascii="Times New Roman" w:hAnsi="Times New Roman"/>
          <w:szCs w:val="28"/>
        </w:rPr>
        <w:t>市境内平原河网的河道，河床高程均处于海平面以下，且坡降很小。绝大部分河床的纵横剖面均表现为波状起伏，仅磨刀门水道河床的纵剖面出现倒比降。</w:t>
      </w:r>
    </w:p>
    <w:p>
      <w:pPr>
        <w:pStyle w:val="17"/>
        <w:rPr>
          <w:rFonts w:ascii="Times New Roman" w:hAnsi="Times New Roman"/>
          <w:szCs w:val="28"/>
        </w:rPr>
      </w:pPr>
      <w:r>
        <w:rPr>
          <w:rFonts w:ascii="Times New Roman" w:hAnsi="Times New Roman"/>
          <w:szCs w:val="28"/>
        </w:rPr>
        <w:t>中山市低山丘陵区的河流，大部分流入珠江各干支流，小部分独流注入珠江河口湾伶仃洋，因此仍属珠江水系。</w:t>
      </w:r>
    </w:p>
    <w:p>
      <w:pPr>
        <w:pStyle w:val="17"/>
        <w:rPr>
          <w:rFonts w:hint="eastAsia" w:ascii="Times New Roman" w:hAnsi="Times New Roman"/>
          <w:lang w:val="en-US" w:eastAsia="zh-CN"/>
        </w:rPr>
      </w:pPr>
      <w:r>
        <w:rPr>
          <w:rFonts w:hint="eastAsia" w:ascii="Times New Roman" w:hAnsi="Times New Roman"/>
          <w:lang w:val="en-US" w:eastAsia="zh-CN"/>
        </w:rPr>
        <w:t>中山市民东有机废物处理有限公司所在区域的主要大中型河流水文特征如下：</w:t>
      </w:r>
    </w:p>
    <w:p>
      <w:pPr>
        <w:pStyle w:val="17"/>
        <w:rPr>
          <w:rFonts w:hint="eastAsia" w:ascii="Times New Roman" w:hAnsi="Times New Roman"/>
          <w:lang w:val="en-US" w:eastAsia="zh-CN"/>
        </w:rPr>
      </w:pPr>
      <w:r>
        <w:rPr>
          <w:rFonts w:hint="eastAsia" w:ascii="Times New Roman" w:hAnsi="Times New Roman"/>
          <w:lang w:val="en-US" w:eastAsia="zh-CN"/>
        </w:rPr>
        <w:t>（1）小榄水道</w:t>
      </w:r>
    </w:p>
    <w:p>
      <w:pPr>
        <w:pStyle w:val="17"/>
        <w:rPr>
          <w:rFonts w:hint="eastAsia" w:ascii="Times New Roman" w:hAnsi="Times New Roman"/>
          <w:lang w:val="en-US" w:eastAsia="zh-CN"/>
        </w:rPr>
      </w:pPr>
      <w:r>
        <w:rPr>
          <w:rFonts w:hint="eastAsia" w:ascii="Times New Roman" w:hAnsi="Times New Roman"/>
          <w:lang w:val="en-US" w:eastAsia="zh-CN"/>
        </w:rPr>
        <w:t>小榄水道位于广东省中南部，石岐北偏西13km 处，属西江水系；北接顺德的桂洲水道，在小榄镇福兴头和东凤镇莺哥咀流入中山市境，流经小榄、东凤、东升、阜沙、坦背、港口，在大南尾与鸡鸦水道汇流入横门水道出海，全长31km，河宽150-300m，河床较深，水量较大。受潮汐影响，潮汐类型属于混合型不规则半日潮，潮差1.3m。汛期最大流量3830m3，是西江的分洪道之一，年排洪量占西江总排洪量的7.3%以上。枯水期最枯流量为193m3/s，最枯期仍可通航300-500t 级的船舶。水环境功能为饮用、渔业，水质目标为</w:t>
      </w:r>
      <w:r>
        <w:rPr>
          <w:rFonts w:hint="eastAsia" w:ascii="Times New Roman" w:hAnsi="Times New Roman" w:eastAsia="宋体"/>
        </w:rPr>
        <w:t>Ⅱ</w:t>
      </w:r>
      <w:r>
        <w:rPr>
          <w:rFonts w:hint="eastAsia" w:ascii="Times New Roman" w:hAnsi="Times New Roman"/>
          <w:lang w:val="en-US" w:eastAsia="zh-CN"/>
        </w:rPr>
        <w:t>类。</w:t>
      </w:r>
    </w:p>
    <w:p>
      <w:pPr>
        <w:pStyle w:val="17"/>
        <w:rPr>
          <w:rFonts w:hint="eastAsia" w:ascii="Times New Roman" w:hAnsi="Times New Roman"/>
          <w:lang w:val="en-US" w:eastAsia="zh-CN"/>
        </w:rPr>
      </w:pPr>
      <w:r>
        <w:rPr>
          <w:rFonts w:hint="eastAsia" w:ascii="Times New Roman" w:hAnsi="Times New Roman"/>
          <w:lang w:val="en-US" w:eastAsia="zh-CN"/>
        </w:rPr>
        <w:t>（2）鸡鸦水道</w:t>
      </w:r>
    </w:p>
    <w:p>
      <w:pPr>
        <w:pStyle w:val="17"/>
        <w:rPr>
          <w:rFonts w:hint="eastAsia" w:ascii="Times New Roman" w:hAnsi="Times New Roman"/>
          <w:lang w:val="en-US" w:eastAsia="zh-CN"/>
        </w:rPr>
      </w:pPr>
      <w:r>
        <w:rPr>
          <w:rFonts w:hint="eastAsia" w:ascii="Times New Roman" w:hAnsi="Times New Roman"/>
          <w:lang w:val="en-US" w:eastAsia="zh-CN"/>
        </w:rPr>
        <w:t>鸡鸦水道位于广东省中南部，石岐北18km 处，属西江水系。北起于顺德桂洲水道的蛇头，从南头镇大坳流入中山市境，经东凤、南头、阜沙、黄圃、三角、民众、港口等镇，在大南尾与小榄水道汇合，再流入横门水道，全长33km。是五乡联围与文明围、马新围、中下南围、民三联围的分界河。河面宽200～300m，低潮水深4～5m，设重点航标。可航行500～1000 吨位轮驳船，是中山市通往梧州、肇庆、广州、江门的主要航道之一。汛期最大流量8690m3/s，年排洪量占西江总排洪量的7.3%以上。枯水期最枯流量为193m3/s，平均泥沙淤积量12.5万m2/年。水环境功能为饮用、渔业，水质目标为</w:t>
      </w:r>
      <w:r>
        <w:rPr>
          <w:rFonts w:hint="eastAsia" w:ascii="Times New Roman" w:hAnsi="Times New Roman" w:eastAsia="宋体"/>
        </w:rPr>
        <w:t>Ⅱ</w:t>
      </w:r>
      <w:r>
        <w:rPr>
          <w:rFonts w:hint="eastAsia" w:ascii="Times New Roman" w:hAnsi="Times New Roman"/>
          <w:lang w:val="en-US" w:eastAsia="zh-CN"/>
        </w:rPr>
        <w:t>类。</w:t>
      </w:r>
    </w:p>
    <w:p>
      <w:pPr>
        <w:pStyle w:val="17"/>
        <w:rPr>
          <w:rFonts w:hint="eastAsia" w:ascii="Times New Roman" w:hAnsi="Times New Roman"/>
          <w:lang w:val="en-US" w:eastAsia="zh-CN"/>
        </w:rPr>
      </w:pPr>
      <w:r>
        <w:rPr>
          <w:rFonts w:hint="eastAsia" w:ascii="Times New Roman" w:hAnsi="Times New Roman"/>
          <w:lang w:val="en-US" w:eastAsia="zh-CN"/>
        </w:rPr>
        <w:t>（3）横门水道</w:t>
      </w:r>
    </w:p>
    <w:p>
      <w:pPr>
        <w:pStyle w:val="17"/>
        <w:rPr>
          <w:rFonts w:hint="eastAsia" w:ascii="Times New Roman" w:hAnsi="Times New Roman"/>
          <w:lang w:val="en-US" w:eastAsia="zh-CN"/>
        </w:rPr>
      </w:pPr>
      <w:r>
        <w:rPr>
          <w:rFonts w:hint="eastAsia" w:ascii="Times New Roman" w:hAnsi="Times New Roman"/>
          <w:lang w:val="en-US" w:eastAsia="zh-CN"/>
        </w:rPr>
        <w:t>横门水道位于伶仃洋西侧，为西江干流东海水道的主要出海通道，横门水道自横门岛分南汊和北汊，横门北汊同洪奇沥汇合流入伶仃洋。横门水道宽度约640米，航道宽度约120米，水深约6米。根据横门水文站数据，横门水道最低水位1.48米，最高水位2.62米，警戒水位2.00米；外堤堤顶高程4.2米（珠基），堤顶宽度6-7米。水环境功能为渔业，水质目标为</w:t>
      </w:r>
      <w:r>
        <w:rPr>
          <w:rFonts w:hint="eastAsia" w:ascii="Times New Roman" w:hAnsi="Times New Roman" w:eastAsia="宋体"/>
        </w:rPr>
        <w:t>Ⅲ</w:t>
      </w:r>
      <w:r>
        <w:rPr>
          <w:rFonts w:hint="eastAsia" w:ascii="Times New Roman" w:hAnsi="Times New Roman"/>
          <w:lang w:val="en-US" w:eastAsia="zh-CN"/>
        </w:rPr>
        <w:t>类。</w:t>
      </w:r>
    </w:p>
    <w:p>
      <w:pPr>
        <w:pStyle w:val="17"/>
        <w:rPr>
          <w:rFonts w:hint="eastAsia" w:ascii="Times New Roman" w:hAnsi="Times New Roman"/>
          <w:lang w:val="en-US" w:eastAsia="zh-CN"/>
        </w:rPr>
      </w:pPr>
      <w:r>
        <w:rPr>
          <w:rFonts w:hint="eastAsia" w:ascii="Times New Roman" w:hAnsi="Times New Roman"/>
          <w:lang w:val="en-US" w:eastAsia="zh-CN"/>
        </w:rPr>
        <w:t>（4）黄沙沥水道</w:t>
      </w:r>
    </w:p>
    <w:p>
      <w:pPr>
        <w:pStyle w:val="17"/>
        <w:rPr>
          <w:rFonts w:hint="eastAsia" w:ascii="Times New Roman" w:hAnsi="Times New Roman"/>
          <w:lang w:val="en-US" w:eastAsia="zh-CN"/>
        </w:rPr>
      </w:pPr>
      <w:r>
        <w:rPr>
          <w:rFonts w:hint="eastAsia" w:ascii="Times New Roman" w:hAnsi="Times New Roman"/>
          <w:lang w:val="en-US" w:eastAsia="zh-CN"/>
        </w:rPr>
        <w:t>黄沙沥水道，西接鸡鸦水道，向东流经黄圃、三角边界，至高沙河北入洪奇沥，全长9.8 公里。在20 世纪50 年代末至70 年代初，该河道曾进行两次整治疏挖，河面宽130～200 米，低潮水深3.5～5 米，可通航500 吨以内船舶。黄沙沥是黄圃、三角地区的农田排灌河，又是鸡鸦水道的主要排洪分支，受潮汐影响，属双向流河段，黄沙沥汛期最大流量1011 立方米/秒。水环境功能为工用、农用、排水，水质目标为</w:t>
      </w:r>
      <w:r>
        <w:rPr>
          <w:rFonts w:hint="eastAsia" w:ascii="Times New Roman" w:hAnsi="Times New Roman" w:eastAsia="宋体"/>
        </w:rPr>
        <w:t>Ⅲ</w:t>
      </w:r>
      <w:r>
        <w:rPr>
          <w:rFonts w:hint="eastAsia" w:ascii="Times New Roman" w:hAnsi="Times New Roman"/>
          <w:lang w:val="en-US" w:eastAsia="zh-CN"/>
        </w:rPr>
        <w:t>类。</w:t>
      </w:r>
    </w:p>
    <w:p>
      <w:pPr>
        <w:pStyle w:val="17"/>
        <w:rPr>
          <w:rFonts w:hint="eastAsia" w:ascii="Times New Roman" w:hAnsi="Times New Roman"/>
          <w:lang w:val="en-US" w:eastAsia="zh-CN"/>
        </w:rPr>
      </w:pPr>
      <w:r>
        <w:rPr>
          <w:rFonts w:hint="eastAsia" w:ascii="Times New Roman" w:hAnsi="Times New Roman"/>
          <w:lang w:val="en-US" w:eastAsia="zh-CN"/>
        </w:rPr>
        <w:t>（5）洪奇沥水道</w:t>
      </w:r>
    </w:p>
    <w:p>
      <w:pPr>
        <w:pStyle w:val="17"/>
        <w:rPr>
          <w:rFonts w:hint="eastAsia" w:ascii="Times New Roman" w:hAnsi="Times New Roman"/>
          <w:lang w:val="en-US" w:eastAsia="zh-CN"/>
        </w:rPr>
      </w:pPr>
      <w:r>
        <w:rPr>
          <w:rFonts w:hint="eastAsia" w:ascii="Times New Roman" w:hAnsi="Times New Roman"/>
          <w:lang w:val="en-US" w:eastAsia="zh-CN"/>
        </w:rPr>
        <w:t>洪奇沥水道，北接顺德水道和桂洲水道，向东南流经中山市和番禺边界，至洪奇沥出口注入珠江口，是北江的主要出海道，是中山市通往港澳地区的主要航道之一。该水道流经三角段由高沙至头围5 公里，河面宽300～400 米，低潮水深4～5 米，可航行1000 吨以内船舶，属双向流河段，汛期最大流量9540 立方米/秒。水环境功能为工用、渔业，水质目标为</w:t>
      </w:r>
      <w:r>
        <w:rPr>
          <w:rFonts w:hint="eastAsia" w:ascii="Times New Roman" w:hAnsi="Times New Roman" w:eastAsia="宋体"/>
        </w:rPr>
        <w:t>Ⅲ</w:t>
      </w:r>
      <w:r>
        <w:rPr>
          <w:rFonts w:hint="eastAsia" w:ascii="Times New Roman" w:hAnsi="Times New Roman"/>
          <w:lang w:val="en-US" w:eastAsia="zh-CN"/>
        </w:rPr>
        <w:t>类。</w:t>
      </w:r>
    </w:p>
    <w:p>
      <w:pPr>
        <w:pStyle w:val="17"/>
        <w:rPr>
          <w:rFonts w:hint="eastAsia" w:ascii="Times New Roman" w:hAnsi="Times New Roman"/>
          <w:lang w:val="en-US" w:eastAsia="zh-CN"/>
        </w:rPr>
      </w:pPr>
      <w:r>
        <w:rPr>
          <w:rFonts w:hint="eastAsia" w:ascii="Times New Roman" w:hAnsi="Times New Roman"/>
          <w:szCs w:val="28"/>
          <w:lang w:eastAsia="zh-CN"/>
        </w:rPr>
        <w:t>（</w:t>
      </w:r>
      <w:r>
        <w:rPr>
          <w:rFonts w:hint="eastAsia" w:ascii="Times New Roman" w:hAnsi="Times New Roman"/>
          <w:szCs w:val="28"/>
          <w:lang w:val="en-US" w:eastAsia="zh-CN"/>
        </w:rPr>
        <w:t>6</w:t>
      </w:r>
      <w:r>
        <w:rPr>
          <w:rFonts w:hint="eastAsia" w:ascii="Times New Roman" w:hAnsi="Times New Roman"/>
          <w:szCs w:val="28"/>
          <w:lang w:eastAsia="zh-CN"/>
        </w:rPr>
        <w:t>）沙仔沥涌，公司所在地南面紧临沙仔沥涌。沙仔沥涌的汇入干流为洪奇沥水道，洪奇沥水道为 III 类水体，因此沙仔沥涌</w:t>
      </w:r>
      <w:r>
        <w:rPr>
          <w:rFonts w:hint="eastAsia" w:ascii="Times New Roman" w:hAnsi="Times New Roman"/>
          <w:lang w:val="en-US" w:eastAsia="zh-CN"/>
        </w:rPr>
        <w:t>水质目标为</w:t>
      </w:r>
      <w:r>
        <w:rPr>
          <w:rFonts w:hint="eastAsia" w:ascii="Times New Roman" w:hAnsi="Times New Roman" w:eastAsia="宋体"/>
        </w:rPr>
        <w:t>Ⅳ</w:t>
      </w:r>
      <w:r>
        <w:rPr>
          <w:rFonts w:hint="eastAsia" w:ascii="Times New Roman" w:hAnsi="Times New Roman"/>
          <w:lang w:val="en-US" w:eastAsia="zh-CN"/>
        </w:rPr>
        <w:t>类。</w:t>
      </w:r>
    </w:p>
    <w:p>
      <w:pPr>
        <w:pStyle w:val="17"/>
        <w:rPr>
          <w:rFonts w:ascii="Times New Roman" w:hAnsi="Times New Roman"/>
          <w:szCs w:val="28"/>
        </w:rPr>
      </w:pPr>
      <w:r>
        <w:rPr>
          <w:rFonts w:hint="eastAsia" w:ascii="Times New Roman" w:hAnsi="Times New Roman"/>
          <w:szCs w:val="28"/>
          <w:lang w:eastAsia="zh-CN"/>
        </w:rPr>
        <w:t>公司实行雨污分流，厂区内雨水通过厂区雨水管网收集后，最后流入沙仔沥涌</w:t>
      </w:r>
      <w:r>
        <w:rPr>
          <w:rFonts w:ascii="Times New Roman" w:hAnsi="Times New Roman"/>
          <w:szCs w:val="28"/>
        </w:rPr>
        <w:t>。</w:t>
      </w:r>
    </w:p>
    <w:p>
      <w:pPr>
        <w:pStyle w:val="17"/>
        <w:rPr>
          <w:rFonts w:hint="eastAsia" w:ascii="Times New Roman" w:hAnsi="Times New Roman"/>
          <w:szCs w:val="28"/>
        </w:rPr>
        <w:sectPr>
          <w:pgSz w:w="11906" w:h="16838"/>
          <w:pgMar w:top="1418" w:right="1418" w:bottom="1418" w:left="1418" w:header="851" w:footer="959" w:gutter="0"/>
          <w:pgBorders>
            <w:top w:val="none" w:sz="0" w:space="0"/>
            <w:left w:val="none" w:sz="0" w:space="0"/>
            <w:bottom w:val="none" w:sz="0" w:space="0"/>
            <w:right w:val="none" w:sz="0" w:space="0"/>
          </w:pgBorders>
          <w:pgNumType w:fmt="decimal"/>
          <w:cols w:space="720" w:num="1"/>
          <w:docGrid w:linePitch="312" w:charSpace="0"/>
        </w:sectPr>
      </w:pPr>
      <w:r>
        <w:rPr>
          <w:rFonts w:hint="eastAsia" w:ascii="Times New Roman" w:hAnsi="Times New Roman"/>
          <w:szCs w:val="28"/>
          <w:lang w:eastAsia="zh-CN"/>
        </w:rPr>
        <w:t>公司周边水环境如水系图</w:t>
      </w:r>
      <w:r>
        <w:rPr>
          <w:rFonts w:hint="eastAsia" w:ascii="Times New Roman" w:hAnsi="Times New Roman"/>
          <w:szCs w:val="28"/>
          <w:lang w:val="en-US" w:eastAsia="zh-CN"/>
        </w:rPr>
        <w:t>2-3所示</w:t>
      </w:r>
      <w:r>
        <w:rPr>
          <w:rFonts w:hint="eastAsia" w:ascii="Times New Roman" w:hAnsi="Times New Roman"/>
          <w:szCs w:val="28"/>
        </w:rPr>
        <w:t>。</w:t>
      </w:r>
    </w:p>
    <w:p>
      <w:pPr>
        <w:pStyle w:val="17"/>
        <w:ind w:firstLine="0" w:firstLineChars="0"/>
        <w:jc w:val="center"/>
        <w:rPr>
          <w:b/>
          <w:bCs/>
        </w:rPr>
      </w:pPr>
      <w:r>
        <w:drawing>
          <wp:inline distT="0" distB="0" distL="114300" distR="114300">
            <wp:extent cx="8334375" cy="5381625"/>
            <wp:effectExtent l="0" t="0" r="9525" b="9525"/>
            <wp:docPr id="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2"/>
                    <pic:cNvPicPr>
                      <a:picLocks noChangeAspect="1"/>
                    </pic:cNvPicPr>
                  </pic:nvPicPr>
                  <pic:blipFill>
                    <a:blip r:embed="rId23"/>
                    <a:stretch>
                      <a:fillRect/>
                    </a:stretch>
                  </pic:blipFill>
                  <pic:spPr>
                    <a:xfrm>
                      <a:off x="0" y="0"/>
                      <a:ext cx="8334375" cy="5381625"/>
                    </a:xfrm>
                    <a:prstGeom prst="rect">
                      <a:avLst/>
                    </a:prstGeom>
                    <a:noFill/>
                    <a:ln>
                      <a:noFill/>
                    </a:ln>
                  </pic:spPr>
                </pic:pic>
              </a:graphicData>
            </a:graphic>
          </wp:inline>
        </w:drawing>
      </w:r>
    </w:p>
    <w:p>
      <w:pPr>
        <w:pStyle w:val="17"/>
        <w:ind w:firstLine="0" w:firstLineChars="0"/>
        <w:jc w:val="center"/>
        <w:rPr>
          <w:rFonts w:ascii="Times New Roman" w:hAnsi="Times New Roman"/>
          <w:b/>
          <w:szCs w:val="28"/>
        </w:rPr>
        <w:sectPr>
          <w:pgSz w:w="16838" w:h="11906" w:orient="landscape"/>
          <w:pgMar w:top="1418" w:right="1418" w:bottom="1418" w:left="1418" w:header="851" w:footer="959" w:gutter="0"/>
          <w:pgBorders>
            <w:top w:val="none" w:sz="0" w:space="0"/>
            <w:left w:val="none" w:sz="0" w:space="0"/>
            <w:bottom w:val="none" w:sz="0" w:space="0"/>
            <w:right w:val="none" w:sz="0" w:space="0"/>
          </w:pgBorders>
          <w:pgNumType w:fmt="decimal"/>
          <w:cols w:space="720" w:num="1"/>
          <w:docGrid w:linePitch="312" w:charSpace="0"/>
        </w:sectPr>
      </w:pPr>
      <w:r>
        <w:rPr>
          <w:rFonts w:ascii="Times New Roman" w:hAnsi="Times New Roman"/>
          <w:b/>
          <w:szCs w:val="28"/>
        </w:rPr>
        <w:t>图2-3 公司周边水系图</w:t>
      </w:r>
    </w:p>
    <w:p>
      <w:pPr>
        <w:pStyle w:val="4"/>
      </w:pPr>
      <w:bookmarkStart w:id="88" w:name="_Toc14240"/>
      <w:bookmarkStart w:id="89" w:name="_Toc22177"/>
      <w:r>
        <w:t>2.</w:t>
      </w:r>
      <w:r>
        <w:rPr>
          <w:rFonts w:hint="eastAsia"/>
          <w:lang w:val="en-US" w:eastAsia="zh-CN"/>
        </w:rPr>
        <w:t>1</w:t>
      </w:r>
      <w:r>
        <w:t>.</w:t>
      </w:r>
      <w:r>
        <w:rPr>
          <w:rFonts w:hint="eastAsia"/>
          <w:lang w:val="en-US" w:eastAsia="zh-CN"/>
        </w:rPr>
        <w:t>5</w:t>
      </w:r>
      <w:r>
        <w:t xml:space="preserve"> 敏感对象</w:t>
      </w:r>
      <w:bookmarkEnd w:id="88"/>
      <w:bookmarkEnd w:id="89"/>
    </w:p>
    <w:p>
      <w:pPr>
        <w:pStyle w:val="17"/>
        <w:rPr>
          <w:rFonts w:ascii="Times New Roman" w:hAnsi="Times New Roman"/>
          <w:szCs w:val="28"/>
        </w:rPr>
      </w:pPr>
      <w:r>
        <w:rPr>
          <w:rFonts w:hint="eastAsia" w:ascii="Times New Roman" w:hAnsi="Times New Roman"/>
          <w:szCs w:val="28"/>
          <w:lang w:eastAsia="zh-CN"/>
        </w:rPr>
        <w:t>中山市民东有机废物处理有限公司</w:t>
      </w:r>
      <w:r>
        <w:rPr>
          <w:rFonts w:ascii="Times New Roman" w:hAnsi="Times New Roman"/>
          <w:szCs w:val="28"/>
        </w:rPr>
        <w:t>所在地为工业用地，所在地及周边无文物古迹，无自然保护区、风景游览区、疗养区、温泉以及重要的政治文化设施等景观。最近敏感点为</w:t>
      </w:r>
      <w:r>
        <w:rPr>
          <w:rFonts w:hint="eastAsia" w:ascii="Times New Roman" w:hAnsi="Times New Roman"/>
          <w:szCs w:val="28"/>
          <w:lang w:eastAsia="zh-CN"/>
        </w:rPr>
        <w:t>公司</w:t>
      </w:r>
      <w:r>
        <w:rPr>
          <w:rFonts w:ascii="Times New Roman" w:hAnsi="Times New Roman"/>
          <w:szCs w:val="28"/>
        </w:rPr>
        <w:t>西面距离约 380m 处的沙仔社区新五围。</w:t>
      </w:r>
    </w:p>
    <w:p>
      <w:pPr>
        <w:pStyle w:val="4"/>
      </w:pPr>
      <w:bookmarkStart w:id="90" w:name="_Toc14005"/>
      <w:bookmarkStart w:id="91" w:name="_Toc2826"/>
      <w:r>
        <w:t>2.</w:t>
      </w:r>
      <w:r>
        <w:rPr>
          <w:rFonts w:hint="eastAsia"/>
          <w:lang w:val="en-US" w:eastAsia="zh-CN"/>
        </w:rPr>
        <w:t>1</w:t>
      </w:r>
      <w:r>
        <w:t>.</w:t>
      </w:r>
      <w:r>
        <w:rPr>
          <w:rFonts w:hint="eastAsia"/>
          <w:lang w:val="en-US" w:eastAsia="zh-CN"/>
        </w:rPr>
        <w:t>6</w:t>
      </w:r>
      <w:r>
        <w:t xml:space="preserve"> 周围主要危险源</w:t>
      </w:r>
      <w:bookmarkEnd w:id="90"/>
      <w:bookmarkEnd w:id="91"/>
    </w:p>
    <w:p>
      <w:pPr>
        <w:pStyle w:val="17"/>
        <w:rPr>
          <w:rFonts w:ascii="Times New Roman" w:hAnsi="Times New Roman"/>
          <w:szCs w:val="28"/>
        </w:rPr>
      </w:pPr>
      <w:r>
        <w:rPr>
          <w:rFonts w:hint="eastAsia" w:ascii="Times New Roman" w:hAnsi="Times New Roman"/>
          <w:szCs w:val="28"/>
          <w:lang w:eastAsia="zh-CN"/>
        </w:rPr>
        <w:t>中山市民东有机废物处理有限公司位于中山市民众镇沙仔村下围生态环保产业园内，</w:t>
      </w:r>
      <w:r>
        <w:rPr>
          <w:rFonts w:ascii="Times New Roman" w:hAnsi="Times New Roman"/>
        </w:rPr>
        <w:t>周边主要有</w:t>
      </w:r>
      <w:r>
        <w:rPr>
          <w:rFonts w:hint="eastAsia" w:ascii="Times New Roman" w:hAnsi="Times New Roman"/>
          <w:lang w:eastAsia="zh-CN"/>
        </w:rPr>
        <w:t>广东省赢胜节能有限公司、中山市德马汽车零部件有限公司等</w:t>
      </w:r>
      <w:r>
        <w:rPr>
          <w:rFonts w:ascii="Times New Roman" w:hAnsi="Times New Roman"/>
        </w:rPr>
        <w:t>。</w:t>
      </w:r>
      <w:r>
        <w:rPr>
          <w:rFonts w:ascii="Times New Roman" w:hAnsi="Times New Roman"/>
          <w:szCs w:val="28"/>
        </w:rPr>
        <w:t>周围厂企都按规经营，有良好的防护措施，与公司有一定间距，对</w:t>
      </w:r>
      <w:r>
        <w:rPr>
          <w:rFonts w:hint="eastAsia" w:ascii="Times New Roman" w:hAnsi="Times New Roman"/>
          <w:szCs w:val="28"/>
          <w:lang w:eastAsia="zh-CN"/>
        </w:rPr>
        <w:t>中山市民东有机废物处理有限公司</w:t>
      </w:r>
      <w:r>
        <w:rPr>
          <w:rFonts w:ascii="Times New Roman" w:hAnsi="Times New Roman"/>
          <w:szCs w:val="28"/>
        </w:rPr>
        <w:t>不构成危险威胁。</w:t>
      </w:r>
    </w:p>
    <w:p>
      <w:pPr>
        <w:pStyle w:val="3"/>
      </w:pPr>
      <w:bookmarkStart w:id="92" w:name="_Toc22977"/>
      <w:bookmarkStart w:id="93" w:name="_Toc30138"/>
      <w:bookmarkStart w:id="94" w:name="_Toc11035"/>
      <w:bookmarkStart w:id="95" w:name="_Toc2837"/>
      <w:r>
        <w:t>2.</w:t>
      </w:r>
      <w:r>
        <w:rPr>
          <w:rFonts w:hint="eastAsia"/>
          <w:lang w:val="en-US" w:eastAsia="zh-CN"/>
        </w:rPr>
        <w:t>2</w:t>
      </w:r>
      <w:r>
        <w:t xml:space="preserve"> 企业生产概况</w:t>
      </w:r>
      <w:bookmarkEnd w:id="92"/>
      <w:bookmarkEnd w:id="93"/>
      <w:bookmarkEnd w:id="94"/>
      <w:bookmarkEnd w:id="95"/>
    </w:p>
    <w:p>
      <w:pPr>
        <w:pStyle w:val="4"/>
        <w:rPr>
          <w:rFonts w:hint="eastAsia" w:eastAsia="宋体"/>
          <w:lang w:eastAsia="zh-CN"/>
        </w:rPr>
      </w:pPr>
      <w:bookmarkStart w:id="96" w:name="_Toc22132"/>
      <w:bookmarkStart w:id="97" w:name="_Toc31445"/>
      <w:bookmarkStart w:id="98" w:name="_Toc104113006"/>
      <w:r>
        <w:t>2.</w:t>
      </w:r>
      <w:r>
        <w:rPr>
          <w:rFonts w:hint="eastAsia"/>
          <w:lang w:val="en-US" w:eastAsia="zh-CN"/>
        </w:rPr>
        <w:t>2</w:t>
      </w:r>
      <w:r>
        <w:t>.1</w:t>
      </w:r>
      <w:bookmarkEnd w:id="96"/>
      <w:bookmarkEnd w:id="97"/>
      <w:r>
        <w:rPr>
          <w:rFonts w:hint="eastAsia"/>
          <w:lang w:eastAsia="zh-CN"/>
        </w:rPr>
        <w:t>基本情况</w:t>
      </w:r>
    </w:p>
    <w:p>
      <w:pPr>
        <w:pStyle w:val="17"/>
        <w:rPr>
          <w:rFonts w:hint="eastAsia" w:ascii="Times New Roman" w:hAnsi="Times New Roman"/>
          <w:szCs w:val="28"/>
          <w:lang w:eastAsia="zh-CN"/>
        </w:rPr>
      </w:pPr>
      <w:r>
        <w:rPr>
          <w:rFonts w:hint="eastAsia" w:ascii="Times New Roman" w:hAnsi="Times New Roman"/>
          <w:szCs w:val="28"/>
          <w:lang w:eastAsia="zh-CN"/>
        </w:rPr>
        <w:t>公司名称：中山市民东有机废物处理有限公司</w:t>
      </w:r>
    </w:p>
    <w:p>
      <w:pPr>
        <w:pStyle w:val="17"/>
        <w:rPr>
          <w:rFonts w:hint="eastAsia" w:ascii="Times New Roman" w:hAnsi="Times New Roman"/>
          <w:szCs w:val="28"/>
          <w:lang w:eastAsia="zh-CN"/>
        </w:rPr>
      </w:pPr>
      <w:r>
        <w:rPr>
          <w:rFonts w:hint="eastAsia" w:ascii="Times New Roman" w:hAnsi="Times New Roman"/>
          <w:szCs w:val="28"/>
          <w:lang w:eastAsia="zh-CN"/>
        </w:rPr>
        <w:t>企业性质：重点排污单位</w:t>
      </w:r>
    </w:p>
    <w:p>
      <w:pPr>
        <w:pStyle w:val="17"/>
        <w:rPr>
          <w:rFonts w:hint="eastAsia" w:ascii="Times New Roman" w:hAnsi="Times New Roman"/>
          <w:szCs w:val="28"/>
          <w:lang w:eastAsia="zh-CN"/>
        </w:rPr>
      </w:pPr>
      <w:r>
        <w:rPr>
          <w:rFonts w:hint="eastAsia" w:ascii="Times New Roman" w:hAnsi="Times New Roman"/>
          <w:szCs w:val="28"/>
          <w:lang w:eastAsia="zh-CN"/>
        </w:rPr>
        <w:t>建设地点：中山市民众镇沙仔村下围生态环保产业园内</w:t>
      </w:r>
    </w:p>
    <w:p>
      <w:pPr>
        <w:pStyle w:val="17"/>
        <w:rPr>
          <w:rFonts w:hint="eastAsia" w:ascii="Times New Roman" w:hAnsi="Times New Roman"/>
          <w:szCs w:val="28"/>
          <w:lang w:eastAsia="zh-CN"/>
        </w:rPr>
      </w:pPr>
      <w:r>
        <w:rPr>
          <w:rFonts w:hint="eastAsia" w:ascii="Times New Roman" w:hAnsi="Times New Roman"/>
          <w:szCs w:val="28"/>
          <w:lang w:eastAsia="zh-CN"/>
        </w:rPr>
        <w:t>占地面积：</w:t>
      </w:r>
      <w:r>
        <w:rPr>
          <w:rFonts w:hint="eastAsia" w:ascii="Times New Roman" w:hAnsi="Times New Roman"/>
          <w:szCs w:val="28"/>
          <w:lang w:val="en-US" w:eastAsia="zh-CN"/>
        </w:rPr>
        <w:t>53333.3</w:t>
      </w:r>
      <w:r>
        <w:rPr>
          <w:rFonts w:hint="eastAsia" w:ascii="Times New Roman" w:hAnsi="Times New Roman"/>
          <w:szCs w:val="28"/>
          <w:lang w:eastAsia="zh-CN"/>
        </w:rPr>
        <w:t>平方米</w:t>
      </w:r>
    </w:p>
    <w:p>
      <w:pPr>
        <w:pStyle w:val="17"/>
        <w:rPr>
          <w:rFonts w:hint="eastAsia" w:ascii="Times New Roman" w:hAnsi="Times New Roman"/>
          <w:szCs w:val="28"/>
          <w:lang w:eastAsia="zh-CN"/>
        </w:rPr>
      </w:pPr>
      <w:r>
        <w:rPr>
          <w:rFonts w:hint="eastAsia" w:ascii="Times New Roman" w:hAnsi="Times New Roman"/>
          <w:szCs w:val="28"/>
          <w:lang w:eastAsia="zh-CN"/>
        </w:rPr>
        <w:t>工作制度：年生产</w:t>
      </w:r>
      <w:r>
        <w:rPr>
          <w:rFonts w:hint="eastAsia" w:ascii="Times New Roman" w:hAnsi="Times New Roman"/>
          <w:szCs w:val="28"/>
          <w:lang w:val="en-US" w:eastAsia="zh-CN"/>
        </w:rPr>
        <w:t>365</w:t>
      </w:r>
      <w:r>
        <w:rPr>
          <w:rFonts w:hint="eastAsia" w:ascii="Times New Roman" w:hAnsi="Times New Roman"/>
          <w:szCs w:val="28"/>
          <w:lang w:eastAsia="zh-CN"/>
        </w:rPr>
        <w:t>天，每天</w:t>
      </w:r>
      <w:r>
        <w:rPr>
          <w:rFonts w:hint="eastAsia" w:ascii="Times New Roman" w:hAnsi="Times New Roman"/>
          <w:szCs w:val="28"/>
          <w:lang w:val="en-US" w:eastAsia="zh-CN"/>
        </w:rPr>
        <w:t>3</w:t>
      </w:r>
      <w:r>
        <w:rPr>
          <w:rFonts w:hint="eastAsia" w:ascii="Times New Roman" w:hAnsi="Times New Roman"/>
          <w:szCs w:val="28"/>
          <w:lang w:eastAsia="zh-CN"/>
        </w:rPr>
        <w:t>班制，每班</w:t>
      </w:r>
      <w:r>
        <w:rPr>
          <w:rFonts w:hint="eastAsia" w:ascii="Times New Roman" w:hAnsi="Times New Roman"/>
          <w:szCs w:val="28"/>
          <w:lang w:val="en-US" w:eastAsia="zh-CN"/>
        </w:rPr>
        <w:t>8</w:t>
      </w:r>
      <w:r>
        <w:rPr>
          <w:rFonts w:hint="eastAsia" w:ascii="Times New Roman" w:hAnsi="Times New Roman"/>
          <w:szCs w:val="28"/>
          <w:lang w:eastAsia="zh-CN"/>
        </w:rPr>
        <w:t>小时</w:t>
      </w:r>
    </w:p>
    <w:p>
      <w:pPr>
        <w:pStyle w:val="17"/>
        <w:ind w:left="0" w:leftChars="0" w:firstLine="0" w:firstLineChars="0"/>
        <w:jc w:val="center"/>
        <w:rPr>
          <w:rFonts w:hint="eastAsia" w:ascii="Times New Roman" w:hAnsi="Times New Roman"/>
          <w:b/>
          <w:bCs/>
          <w:szCs w:val="28"/>
          <w:lang w:eastAsia="zh-CN"/>
        </w:rPr>
      </w:pPr>
      <w:r>
        <w:rPr>
          <w:rFonts w:hint="eastAsia" w:ascii="Times New Roman" w:hAnsi="Times New Roman"/>
          <w:b/>
          <w:bCs/>
          <w:szCs w:val="28"/>
          <w:lang w:eastAsia="zh-CN"/>
        </w:rPr>
        <w:t>表</w:t>
      </w:r>
      <w:r>
        <w:rPr>
          <w:rFonts w:hint="eastAsia" w:ascii="Times New Roman" w:hAnsi="Times New Roman"/>
          <w:b/>
          <w:bCs/>
          <w:szCs w:val="28"/>
          <w:lang w:val="en-US" w:eastAsia="zh-CN"/>
        </w:rPr>
        <w:t>2-1 企业</w:t>
      </w:r>
      <w:r>
        <w:rPr>
          <w:rFonts w:hint="eastAsia" w:ascii="Times New Roman" w:hAnsi="Times New Roman"/>
          <w:b/>
          <w:bCs/>
          <w:szCs w:val="28"/>
          <w:lang w:eastAsia="zh-CN"/>
        </w:rPr>
        <w:t>处理规模及综合利用生产规模一览表</w:t>
      </w:r>
    </w:p>
    <w:tbl>
      <w:tblPr>
        <w:tblStyle w:val="42"/>
        <w:tblW w:w="9080" w:type="dxa"/>
        <w:tblInd w:w="-6"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594"/>
        <w:gridCol w:w="1088"/>
        <w:gridCol w:w="3233"/>
        <w:gridCol w:w="216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trPr>
        <w:tc>
          <w:tcPr>
            <w:tcW w:w="6915" w:type="dxa"/>
            <w:gridSpan w:val="3"/>
            <w:tcBorders>
              <w:tl2br w:val="nil"/>
              <w:tr2bl w:val="nil"/>
            </w:tcBorders>
            <w:vAlign w:val="center"/>
          </w:tcPr>
          <w:p>
            <w:pPr>
              <w:jc w:val="center"/>
              <w:rPr>
                <w:rFonts w:hint="eastAsia" w:eastAsiaTheme="minorEastAsia"/>
                <w:sz w:val="24"/>
                <w:szCs w:val="24"/>
              </w:rPr>
            </w:pPr>
            <w:r>
              <w:rPr>
                <w:rFonts w:hint="eastAsia" w:eastAsiaTheme="minorEastAsia"/>
                <w:sz w:val="24"/>
                <w:szCs w:val="24"/>
              </w:rPr>
              <w:t>项目</w:t>
            </w:r>
          </w:p>
        </w:tc>
        <w:tc>
          <w:tcPr>
            <w:tcW w:w="2165" w:type="dxa"/>
            <w:tcBorders>
              <w:tl2br w:val="nil"/>
              <w:tr2bl w:val="nil"/>
            </w:tcBorders>
            <w:vAlign w:val="center"/>
          </w:tcPr>
          <w:p>
            <w:pPr>
              <w:jc w:val="center"/>
              <w:rPr>
                <w:rFonts w:hint="eastAsia" w:eastAsiaTheme="minorEastAsia"/>
                <w:sz w:val="24"/>
                <w:szCs w:val="24"/>
                <w:lang w:eastAsia="zh-CN"/>
              </w:rPr>
            </w:pPr>
            <w:r>
              <w:rPr>
                <w:rFonts w:hint="eastAsia" w:eastAsiaTheme="minorEastAsia"/>
                <w:sz w:val="24"/>
                <w:szCs w:val="24"/>
                <w:lang w:eastAsia="zh-CN"/>
              </w:rPr>
              <w:t>处理规模</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trPr>
        <w:tc>
          <w:tcPr>
            <w:tcW w:w="2594" w:type="dxa"/>
            <w:tcBorders>
              <w:tl2br w:val="nil"/>
              <w:tr2bl w:val="nil"/>
            </w:tcBorders>
            <w:vAlign w:val="center"/>
          </w:tcPr>
          <w:p>
            <w:pPr>
              <w:jc w:val="center"/>
              <w:rPr>
                <w:rFonts w:hint="eastAsia" w:eastAsiaTheme="minorEastAsia"/>
                <w:sz w:val="24"/>
                <w:szCs w:val="24"/>
              </w:rPr>
            </w:pPr>
            <w:r>
              <w:rPr>
                <w:rFonts w:hint="eastAsia" w:eastAsiaTheme="minorEastAsia"/>
                <w:sz w:val="24"/>
                <w:szCs w:val="24"/>
              </w:rPr>
              <w:t>污泥处理规模</w:t>
            </w:r>
          </w:p>
        </w:tc>
        <w:tc>
          <w:tcPr>
            <w:tcW w:w="4321" w:type="dxa"/>
            <w:gridSpan w:val="2"/>
            <w:tcBorders>
              <w:tl2br w:val="nil"/>
              <w:tr2bl w:val="nil"/>
            </w:tcBorders>
            <w:vAlign w:val="center"/>
          </w:tcPr>
          <w:p>
            <w:pPr>
              <w:jc w:val="center"/>
              <w:rPr>
                <w:rFonts w:hint="eastAsia" w:eastAsiaTheme="minorEastAsia"/>
                <w:sz w:val="24"/>
                <w:szCs w:val="24"/>
              </w:rPr>
            </w:pPr>
            <w:r>
              <w:rPr>
                <w:rFonts w:hint="eastAsia" w:eastAsiaTheme="minorEastAsia"/>
                <w:sz w:val="24"/>
                <w:szCs w:val="24"/>
              </w:rPr>
              <w:t>城市生活污水污泥</w:t>
            </w:r>
          </w:p>
        </w:tc>
        <w:tc>
          <w:tcPr>
            <w:tcW w:w="2165" w:type="dxa"/>
            <w:tcBorders>
              <w:tl2br w:val="nil"/>
              <w:tr2bl w:val="nil"/>
            </w:tcBorders>
            <w:vAlign w:val="center"/>
          </w:tcPr>
          <w:p>
            <w:pPr>
              <w:jc w:val="center"/>
              <w:rPr>
                <w:rFonts w:hint="eastAsia" w:eastAsiaTheme="minorEastAsia"/>
                <w:sz w:val="24"/>
                <w:szCs w:val="24"/>
              </w:rPr>
            </w:pPr>
            <w:r>
              <w:rPr>
                <w:rFonts w:hint="eastAsia" w:eastAsiaTheme="minorEastAsia"/>
                <w:sz w:val="24"/>
                <w:szCs w:val="24"/>
              </w:rPr>
              <w:t>300吨/日</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trPr>
        <w:tc>
          <w:tcPr>
            <w:tcW w:w="2594" w:type="dxa"/>
            <w:vMerge w:val="restart"/>
            <w:tcBorders>
              <w:tl2br w:val="nil"/>
              <w:tr2bl w:val="nil"/>
            </w:tcBorders>
            <w:vAlign w:val="center"/>
          </w:tcPr>
          <w:p>
            <w:pPr>
              <w:jc w:val="center"/>
              <w:rPr>
                <w:rFonts w:hint="eastAsia" w:eastAsiaTheme="minorEastAsia"/>
                <w:sz w:val="24"/>
                <w:szCs w:val="24"/>
              </w:rPr>
            </w:pPr>
            <w:r>
              <w:rPr>
                <w:rFonts w:hint="eastAsia" w:eastAsiaTheme="minorEastAsia"/>
                <w:sz w:val="24"/>
                <w:szCs w:val="24"/>
              </w:rPr>
              <w:t>生产规模</w:t>
            </w:r>
          </w:p>
        </w:tc>
        <w:tc>
          <w:tcPr>
            <w:tcW w:w="1088" w:type="dxa"/>
            <w:vMerge w:val="restart"/>
            <w:tcBorders>
              <w:tl2br w:val="nil"/>
              <w:tr2bl w:val="nil"/>
            </w:tcBorders>
            <w:vAlign w:val="center"/>
          </w:tcPr>
          <w:p>
            <w:pPr>
              <w:jc w:val="center"/>
              <w:rPr>
                <w:rFonts w:hint="eastAsia" w:eastAsiaTheme="minorEastAsia"/>
                <w:sz w:val="24"/>
                <w:szCs w:val="24"/>
                <w:lang w:eastAsia="zh-CN"/>
              </w:rPr>
            </w:pPr>
            <w:r>
              <w:rPr>
                <w:rFonts w:hint="eastAsia" w:eastAsiaTheme="minorEastAsia"/>
                <w:sz w:val="24"/>
                <w:szCs w:val="24"/>
                <w:lang w:eastAsia="zh-CN"/>
              </w:rPr>
              <w:t>沼气</w:t>
            </w:r>
          </w:p>
        </w:tc>
        <w:tc>
          <w:tcPr>
            <w:tcW w:w="3233" w:type="dxa"/>
            <w:tcBorders>
              <w:tl2br w:val="nil"/>
              <w:tr2bl w:val="nil"/>
            </w:tcBorders>
            <w:vAlign w:val="center"/>
          </w:tcPr>
          <w:p>
            <w:pPr>
              <w:jc w:val="center"/>
              <w:rPr>
                <w:rFonts w:hint="eastAsia" w:eastAsiaTheme="minorEastAsia"/>
                <w:sz w:val="24"/>
                <w:szCs w:val="24"/>
              </w:rPr>
            </w:pPr>
            <w:r>
              <w:rPr>
                <w:rFonts w:hint="eastAsia" w:eastAsiaTheme="minorEastAsia"/>
                <w:sz w:val="24"/>
                <w:szCs w:val="24"/>
              </w:rPr>
              <w:t>总产生量</w:t>
            </w:r>
          </w:p>
        </w:tc>
        <w:tc>
          <w:tcPr>
            <w:tcW w:w="2165" w:type="dxa"/>
            <w:tcBorders>
              <w:tl2br w:val="nil"/>
              <w:tr2bl w:val="nil"/>
            </w:tcBorders>
            <w:vAlign w:val="center"/>
          </w:tcPr>
          <w:p>
            <w:pPr>
              <w:jc w:val="center"/>
              <w:rPr>
                <w:rFonts w:hint="eastAsia" w:eastAsiaTheme="minorEastAsia"/>
                <w:sz w:val="24"/>
                <w:szCs w:val="24"/>
              </w:rPr>
            </w:pPr>
            <w:r>
              <w:rPr>
                <w:rFonts w:hint="eastAsia" w:eastAsiaTheme="minorEastAsia"/>
                <w:sz w:val="24"/>
                <w:szCs w:val="24"/>
              </w:rPr>
              <w:t>340万m3/年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trPr>
        <w:tc>
          <w:tcPr>
            <w:tcW w:w="2594" w:type="dxa"/>
            <w:vMerge w:val="continue"/>
            <w:tcBorders>
              <w:tl2br w:val="nil"/>
              <w:tr2bl w:val="nil"/>
            </w:tcBorders>
            <w:vAlign w:val="center"/>
          </w:tcPr>
          <w:p>
            <w:pPr>
              <w:jc w:val="center"/>
              <w:rPr>
                <w:rFonts w:hint="eastAsia" w:eastAsiaTheme="minorEastAsia"/>
                <w:sz w:val="24"/>
                <w:szCs w:val="24"/>
              </w:rPr>
            </w:pPr>
          </w:p>
        </w:tc>
        <w:tc>
          <w:tcPr>
            <w:tcW w:w="1088" w:type="dxa"/>
            <w:vMerge w:val="continue"/>
            <w:tcBorders>
              <w:tl2br w:val="nil"/>
              <w:tr2bl w:val="nil"/>
            </w:tcBorders>
            <w:vAlign w:val="center"/>
          </w:tcPr>
          <w:p>
            <w:pPr>
              <w:jc w:val="center"/>
              <w:rPr>
                <w:rFonts w:hint="eastAsia" w:eastAsiaTheme="minorEastAsia"/>
                <w:sz w:val="24"/>
                <w:szCs w:val="24"/>
              </w:rPr>
            </w:pPr>
          </w:p>
        </w:tc>
        <w:tc>
          <w:tcPr>
            <w:tcW w:w="3233" w:type="dxa"/>
            <w:tcBorders>
              <w:tl2br w:val="nil"/>
              <w:tr2bl w:val="nil"/>
            </w:tcBorders>
            <w:vAlign w:val="center"/>
          </w:tcPr>
          <w:p>
            <w:pPr>
              <w:jc w:val="center"/>
              <w:rPr>
                <w:rFonts w:hint="eastAsia" w:eastAsiaTheme="minorEastAsia"/>
                <w:sz w:val="24"/>
                <w:szCs w:val="24"/>
              </w:rPr>
            </w:pPr>
            <w:r>
              <w:rPr>
                <w:rFonts w:hint="eastAsia" w:eastAsiaTheme="minorEastAsia"/>
                <w:sz w:val="24"/>
                <w:szCs w:val="24"/>
              </w:rPr>
              <w:t>锅炉燃烧沼气量</w:t>
            </w:r>
          </w:p>
        </w:tc>
        <w:tc>
          <w:tcPr>
            <w:tcW w:w="2165" w:type="dxa"/>
            <w:tcBorders>
              <w:tl2br w:val="nil"/>
              <w:tr2bl w:val="nil"/>
            </w:tcBorders>
            <w:vAlign w:val="center"/>
          </w:tcPr>
          <w:p>
            <w:pPr>
              <w:jc w:val="center"/>
              <w:rPr>
                <w:rFonts w:hint="eastAsia" w:eastAsiaTheme="minorEastAsia"/>
                <w:sz w:val="24"/>
                <w:szCs w:val="24"/>
              </w:rPr>
            </w:pPr>
            <w:r>
              <w:rPr>
                <w:rFonts w:hint="eastAsia" w:eastAsiaTheme="minorEastAsia"/>
                <w:sz w:val="24"/>
                <w:szCs w:val="24"/>
              </w:rPr>
              <w:t>210万m3/年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trPr>
        <w:tc>
          <w:tcPr>
            <w:tcW w:w="2594" w:type="dxa"/>
            <w:vMerge w:val="continue"/>
            <w:tcBorders>
              <w:tl2br w:val="nil"/>
              <w:tr2bl w:val="nil"/>
            </w:tcBorders>
            <w:vAlign w:val="center"/>
          </w:tcPr>
          <w:p>
            <w:pPr>
              <w:jc w:val="center"/>
              <w:rPr>
                <w:rFonts w:hint="eastAsia" w:eastAsiaTheme="minorEastAsia"/>
                <w:sz w:val="24"/>
                <w:szCs w:val="24"/>
              </w:rPr>
            </w:pPr>
          </w:p>
        </w:tc>
        <w:tc>
          <w:tcPr>
            <w:tcW w:w="1088" w:type="dxa"/>
            <w:vMerge w:val="continue"/>
            <w:tcBorders>
              <w:tl2br w:val="nil"/>
              <w:tr2bl w:val="nil"/>
            </w:tcBorders>
            <w:vAlign w:val="center"/>
          </w:tcPr>
          <w:p>
            <w:pPr>
              <w:jc w:val="center"/>
              <w:rPr>
                <w:rFonts w:hint="eastAsia" w:eastAsiaTheme="minorEastAsia"/>
                <w:sz w:val="24"/>
                <w:szCs w:val="24"/>
              </w:rPr>
            </w:pPr>
          </w:p>
        </w:tc>
        <w:tc>
          <w:tcPr>
            <w:tcW w:w="3233" w:type="dxa"/>
            <w:tcBorders>
              <w:tl2br w:val="nil"/>
              <w:tr2bl w:val="nil"/>
            </w:tcBorders>
            <w:vAlign w:val="center"/>
          </w:tcPr>
          <w:p>
            <w:pPr>
              <w:jc w:val="center"/>
              <w:rPr>
                <w:rFonts w:hint="eastAsia" w:eastAsiaTheme="minorEastAsia"/>
                <w:sz w:val="24"/>
                <w:szCs w:val="24"/>
              </w:rPr>
            </w:pPr>
            <w:r>
              <w:rPr>
                <w:rFonts w:hint="eastAsia" w:eastAsiaTheme="minorEastAsia"/>
                <w:sz w:val="24"/>
                <w:szCs w:val="24"/>
              </w:rPr>
              <w:t>火炬燃烧沼气量</w:t>
            </w:r>
          </w:p>
        </w:tc>
        <w:tc>
          <w:tcPr>
            <w:tcW w:w="2165" w:type="dxa"/>
            <w:tcBorders>
              <w:tl2br w:val="nil"/>
              <w:tr2bl w:val="nil"/>
            </w:tcBorders>
            <w:vAlign w:val="center"/>
          </w:tcPr>
          <w:p>
            <w:pPr>
              <w:jc w:val="center"/>
              <w:rPr>
                <w:rFonts w:hint="eastAsia" w:eastAsiaTheme="minorEastAsia"/>
                <w:sz w:val="24"/>
                <w:szCs w:val="24"/>
              </w:rPr>
            </w:pPr>
            <w:r>
              <w:rPr>
                <w:rFonts w:hint="eastAsia" w:eastAsiaTheme="minorEastAsia"/>
                <w:sz w:val="24"/>
                <w:szCs w:val="24"/>
              </w:rPr>
              <w:t>130万m3/年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trPr>
        <w:tc>
          <w:tcPr>
            <w:tcW w:w="2594" w:type="dxa"/>
            <w:vMerge w:val="continue"/>
            <w:tcBorders>
              <w:tl2br w:val="nil"/>
              <w:tr2bl w:val="nil"/>
            </w:tcBorders>
            <w:vAlign w:val="center"/>
          </w:tcPr>
          <w:p>
            <w:pPr>
              <w:jc w:val="center"/>
              <w:rPr>
                <w:rFonts w:hint="eastAsia" w:eastAsiaTheme="minorEastAsia"/>
                <w:sz w:val="24"/>
                <w:szCs w:val="24"/>
              </w:rPr>
            </w:pPr>
          </w:p>
        </w:tc>
        <w:tc>
          <w:tcPr>
            <w:tcW w:w="4321" w:type="dxa"/>
            <w:gridSpan w:val="2"/>
            <w:tcBorders>
              <w:tl2br w:val="nil"/>
              <w:tr2bl w:val="nil"/>
            </w:tcBorders>
            <w:vAlign w:val="center"/>
          </w:tcPr>
          <w:p>
            <w:pPr>
              <w:jc w:val="center"/>
              <w:rPr>
                <w:rFonts w:hint="eastAsia" w:eastAsiaTheme="minorEastAsia"/>
                <w:sz w:val="24"/>
                <w:szCs w:val="24"/>
              </w:rPr>
            </w:pPr>
            <w:r>
              <w:rPr>
                <w:rFonts w:hint="eastAsia" w:eastAsiaTheme="minorEastAsia"/>
                <w:sz w:val="24"/>
                <w:szCs w:val="24"/>
              </w:rPr>
              <w:t>干化沼渣</w:t>
            </w:r>
          </w:p>
        </w:tc>
        <w:tc>
          <w:tcPr>
            <w:tcW w:w="2165" w:type="dxa"/>
            <w:tcBorders>
              <w:tl2br w:val="nil"/>
              <w:tr2bl w:val="nil"/>
            </w:tcBorders>
            <w:vAlign w:val="center"/>
          </w:tcPr>
          <w:p>
            <w:pPr>
              <w:jc w:val="center"/>
              <w:rPr>
                <w:rFonts w:hint="eastAsia" w:eastAsiaTheme="minorEastAsia"/>
                <w:sz w:val="24"/>
                <w:szCs w:val="24"/>
              </w:rPr>
            </w:pPr>
            <w:r>
              <w:rPr>
                <w:rFonts w:hint="eastAsia" w:eastAsiaTheme="minorEastAsia"/>
                <w:sz w:val="24"/>
                <w:szCs w:val="24"/>
              </w:rPr>
              <w:t>4380</w:t>
            </w:r>
            <w:r>
              <w:rPr>
                <w:rFonts w:hint="eastAsia" w:eastAsiaTheme="minorEastAsia"/>
                <w:sz w:val="24"/>
                <w:szCs w:val="24"/>
                <w:lang w:val="en-US" w:eastAsia="zh-CN"/>
              </w:rPr>
              <w:t>0</w:t>
            </w:r>
            <w:r>
              <w:rPr>
                <w:rFonts w:hint="eastAsia" w:eastAsiaTheme="minorEastAsia"/>
                <w:sz w:val="24"/>
                <w:szCs w:val="24"/>
              </w:rPr>
              <w:t>吨/年</w:t>
            </w:r>
          </w:p>
        </w:tc>
      </w:tr>
    </w:tbl>
    <w:p>
      <w:pPr>
        <w:pStyle w:val="17"/>
        <w:rPr>
          <w:rFonts w:hint="eastAsia" w:ascii="Times New Roman" w:hAnsi="Times New Roman"/>
          <w:szCs w:val="28"/>
          <w:lang w:eastAsia="zh-CN"/>
        </w:rPr>
      </w:pPr>
    </w:p>
    <w:p>
      <w:pPr>
        <w:pStyle w:val="4"/>
        <w:rPr>
          <w:rFonts w:hint="eastAsia" w:eastAsia="宋体"/>
          <w:lang w:eastAsia="zh-CN"/>
        </w:rPr>
      </w:pPr>
      <w:r>
        <w:t>2.</w:t>
      </w:r>
      <w:r>
        <w:rPr>
          <w:rFonts w:hint="eastAsia"/>
          <w:lang w:val="en-US" w:eastAsia="zh-CN"/>
        </w:rPr>
        <w:t>2</w:t>
      </w:r>
      <w:r>
        <w:t>.</w:t>
      </w:r>
      <w:r>
        <w:rPr>
          <w:rFonts w:hint="eastAsia"/>
          <w:lang w:val="en-US" w:eastAsia="zh-CN"/>
        </w:rPr>
        <w:t>2</w:t>
      </w:r>
      <w:r>
        <w:rPr>
          <w:rFonts w:hint="eastAsia"/>
          <w:lang w:eastAsia="zh-CN"/>
        </w:rPr>
        <w:t>平面布置</w:t>
      </w:r>
    </w:p>
    <w:p>
      <w:pPr>
        <w:pStyle w:val="17"/>
        <w:rPr>
          <w:rFonts w:hint="eastAsia" w:ascii="Times New Roman" w:hAnsi="Times New Roman"/>
          <w:szCs w:val="28"/>
          <w:lang w:eastAsia="zh-CN"/>
        </w:rPr>
      </w:pPr>
      <w:r>
        <w:rPr>
          <w:rFonts w:hint="eastAsia" w:ascii="Times New Roman" w:hAnsi="Times New Roman"/>
          <w:szCs w:val="28"/>
          <w:lang w:eastAsia="zh-CN"/>
        </w:rPr>
        <w:t>民东公司总用地面积为53333.3m</w:t>
      </w:r>
      <w:r>
        <w:rPr>
          <w:rFonts w:hint="eastAsia" w:ascii="Times New Roman" w:hAnsi="Times New Roman"/>
          <w:szCs w:val="28"/>
          <w:vertAlign w:val="superscript"/>
          <w:lang w:eastAsia="zh-CN"/>
        </w:rPr>
        <w:t>2</w:t>
      </w:r>
      <w:r>
        <w:rPr>
          <w:rFonts w:hint="eastAsia" w:ascii="Times New Roman" w:hAnsi="Times New Roman"/>
          <w:szCs w:val="28"/>
          <w:lang w:eastAsia="zh-CN"/>
        </w:rPr>
        <w:t>，总建筑面积为16050m</w:t>
      </w:r>
      <w:r>
        <w:rPr>
          <w:rFonts w:hint="eastAsia" w:ascii="Times New Roman" w:hAnsi="Times New Roman"/>
          <w:szCs w:val="28"/>
          <w:vertAlign w:val="superscript"/>
          <w:lang w:eastAsia="zh-CN"/>
        </w:rPr>
        <w:t>2</w:t>
      </w:r>
      <w:r>
        <w:rPr>
          <w:rFonts w:hint="eastAsia" w:ascii="Times New Roman" w:hAnsi="Times New Roman"/>
          <w:szCs w:val="28"/>
          <w:lang w:eastAsia="zh-CN"/>
        </w:rPr>
        <w:t>，共设有1栋5层综合楼、1栋2层前处理单元、1个厌氧罐区、1座热水解处理站、1栋2层脱水单元、1栋3层板框压滤间及泥棚、1栋1层沼气净化压缩处理单元、1栋1层变电房、1栋1层锅炉房、1栋1层消防泵房。公司平面布置见图2-</w:t>
      </w:r>
      <w:r>
        <w:rPr>
          <w:rFonts w:hint="eastAsia" w:ascii="Times New Roman" w:hAnsi="Times New Roman"/>
          <w:szCs w:val="28"/>
          <w:lang w:val="en-US" w:eastAsia="zh-CN"/>
        </w:rPr>
        <w:t>4。</w:t>
      </w:r>
      <w:r>
        <w:rPr>
          <w:rFonts w:hint="eastAsia" w:ascii="Times New Roman" w:hAnsi="Times New Roman"/>
          <w:szCs w:val="28"/>
          <w:lang w:eastAsia="zh-CN"/>
        </w:rPr>
        <w:t>公司主要构筑物见下表：</w:t>
      </w:r>
    </w:p>
    <w:p>
      <w:pPr>
        <w:pStyle w:val="17"/>
        <w:jc w:val="center"/>
        <w:rPr>
          <w:rFonts w:hint="default" w:ascii="Times New Roman" w:hAnsi="Times New Roman"/>
          <w:b/>
          <w:bCs/>
          <w:szCs w:val="28"/>
          <w:lang w:val="en-US" w:eastAsia="zh-CN"/>
        </w:rPr>
      </w:pPr>
      <w:r>
        <w:rPr>
          <w:rFonts w:hint="eastAsia" w:ascii="Times New Roman" w:hAnsi="Times New Roman"/>
          <w:b/>
          <w:bCs/>
          <w:szCs w:val="28"/>
          <w:lang w:eastAsia="zh-CN"/>
        </w:rPr>
        <w:t>表</w:t>
      </w:r>
      <w:r>
        <w:rPr>
          <w:rFonts w:hint="eastAsia" w:ascii="Times New Roman" w:hAnsi="Times New Roman"/>
          <w:b/>
          <w:bCs/>
          <w:szCs w:val="28"/>
          <w:lang w:val="en-US" w:eastAsia="zh-CN"/>
        </w:rPr>
        <w:t>2-2 公司主要构（建）筑物明细表</w:t>
      </w:r>
    </w:p>
    <w:tbl>
      <w:tblPr>
        <w:tblStyle w:val="42"/>
        <w:tblW w:w="9080" w:type="dxa"/>
        <w:tblInd w:w="-5" w:type="dxa"/>
        <w:tblLayout w:type="fixed"/>
        <w:tblCellMar>
          <w:top w:w="0" w:type="dxa"/>
          <w:left w:w="0" w:type="dxa"/>
          <w:bottom w:w="0" w:type="dxa"/>
          <w:right w:w="0" w:type="dxa"/>
        </w:tblCellMar>
      </w:tblPr>
      <w:tblGrid>
        <w:gridCol w:w="891"/>
        <w:gridCol w:w="2667"/>
        <w:gridCol w:w="1548"/>
        <w:gridCol w:w="1859"/>
        <w:gridCol w:w="1064"/>
        <w:gridCol w:w="1051"/>
      </w:tblGrid>
      <w:tr>
        <w:tblPrEx>
          <w:tblLayout w:type="fixed"/>
          <w:tblCellMar>
            <w:top w:w="0" w:type="dxa"/>
            <w:left w:w="0" w:type="dxa"/>
            <w:bottom w:w="0" w:type="dxa"/>
            <w:right w:w="0" w:type="dxa"/>
          </w:tblCellMar>
        </w:tblPrEx>
        <w:trPr>
          <w:trHeight w:val="634" w:hRule="exact"/>
        </w:trPr>
        <w:tc>
          <w:tcPr>
            <w:tcW w:w="891"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4"/>
                <w:szCs w:val="24"/>
              </w:rPr>
            </w:pPr>
            <w:r>
              <w:rPr>
                <w:rFonts w:hint="eastAsia" w:eastAsiaTheme="minorEastAsia"/>
                <w:sz w:val="24"/>
                <w:szCs w:val="24"/>
              </w:rPr>
              <w:t>序号</w:t>
            </w:r>
          </w:p>
        </w:tc>
        <w:tc>
          <w:tcPr>
            <w:tcW w:w="2667"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4"/>
                <w:szCs w:val="24"/>
              </w:rPr>
            </w:pPr>
            <w:r>
              <w:rPr>
                <w:rFonts w:hint="eastAsia" w:eastAsiaTheme="minorEastAsia"/>
                <w:sz w:val="24"/>
                <w:szCs w:val="24"/>
              </w:rPr>
              <w:t>建筑物名称</w:t>
            </w:r>
          </w:p>
        </w:tc>
        <w:tc>
          <w:tcPr>
            <w:tcW w:w="1548"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4"/>
                <w:szCs w:val="24"/>
              </w:rPr>
            </w:pPr>
            <w:r>
              <w:rPr>
                <w:rFonts w:hint="eastAsia" w:eastAsiaTheme="minorEastAsia"/>
                <w:sz w:val="24"/>
                <w:szCs w:val="24"/>
              </w:rPr>
              <w:t>用地面积（m2）</w:t>
            </w:r>
          </w:p>
        </w:tc>
        <w:tc>
          <w:tcPr>
            <w:tcW w:w="1859"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4"/>
                <w:szCs w:val="24"/>
              </w:rPr>
            </w:pPr>
            <w:r>
              <w:rPr>
                <w:rFonts w:hint="eastAsia" w:eastAsiaTheme="minorEastAsia"/>
                <w:sz w:val="24"/>
                <w:szCs w:val="24"/>
              </w:rPr>
              <w:t>总建筑面积（m2）</w:t>
            </w:r>
          </w:p>
        </w:tc>
        <w:tc>
          <w:tcPr>
            <w:tcW w:w="1064"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4"/>
                <w:szCs w:val="24"/>
              </w:rPr>
            </w:pPr>
            <w:r>
              <w:rPr>
                <w:rFonts w:hint="eastAsia" w:eastAsiaTheme="minorEastAsia"/>
                <w:sz w:val="24"/>
                <w:szCs w:val="24"/>
              </w:rPr>
              <w:t>层数（层）</w:t>
            </w:r>
          </w:p>
        </w:tc>
        <w:tc>
          <w:tcPr>
            <w:tcW w:w="1051"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4"/>
                <w:szCs w:val="24"/>
              </w:rPr>
            </w:pPr>
            <w:r>
              <w:rPr>
                <w:rFonts w:hint="eastAsia" w:eastAsiaTheme="minorEastAsia"/>
                <w:sz w:val="24"/>
                <w:szCs w:val="24"/>
              </w:rPr>
              <w:t>楼高（m）</w:t>
            </w:r>
          </w:p>
        </w:tc>
      </w:tr>
      <w:tr>
        <w:tblPrEx>
          <w:tblLayout w:type="fixed"/>
          <w:tblCellMar>
            <w:top w:w="0" w:type="dxa"/>
            <w:left w:w="0" w:type="dxa"/>
            <w:bottom w:w="0" w:type="dxa"/>
            <w:right w:w="0" w:type="dxa"/>
          </w:tblCellMar>
        </w:tblPrEx>
        <w:trPr>
          <w:trHeight w:val="350" w:hRule="exact"/>
        </w:trPr>
        <w:tc>
          <w:tcPr>
            <w:tcW w:w="891"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4"/>
                <w:szCs w:val="24"/>
              </w:rPr>
            </w:pPr>
            <w:r>
              <w:rPr>
                <w:rFonts w:hint="eastAsia" w:eastAsiaTheme="minorEastAsia"/>
                <w:sz w:val="24"/>
                <w:szCs w:val="24"/>
              </w:rPr>
              <w:t>1</w:t>
            </w:r>
          </w:p>
        </w:tc>
        <w:tc>
          <w:tcPr>
            <w:tcW w:w="2667"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4"/>
                <w:szCs w:val="24"/>
              </w:rPr>
            </w:pPr>
            <w:r>
              <w:rPr>
                <w:rFonts w:hint="eastAsia" w:eastAsiaTheme="minorEastAsia"/>
                <w:sz w:val="24"/>
                <w:szCs w:val="24"/>
              </w:rPr>
              <w:t>综合楼</w:t>
            </w:r>
          </w:p>
        </w:tc>
        <w:tc>
          <w:tcPr>
            <w:tcW w:w="1548"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4"/>
                <w:szCs w:val="24"/>
              </w:rPr>
            </w:pPr>
            <w:r>
              <w:rPr>
                <w:rFonts w:hint="eastAsia" w:eastAsiaTheme="minorEastAsia"/>
                <w:sz w:val="24"/>
                <w:szCs w:val="24"/>
              </w:rPr>
              <w:t>1000</w:t>
            </w:r>
          </w:p>
        </w:tc>
        <w:tc>
          <w:tcPr>
            <w:tcW w:w="1859"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4"/>
                <w:szCs w:val="24"/>
              </w:rPr>
            </w:pPr>
            <w:r>
              <w:rPr>
                <w:rFonts w:hint="eastAsia" w:eastAsiaTheme="minorEastAsia"/>
                <w:sz w:val="24"/>
                <w:szCs w:val="24"/>
              </w:rPr>
              <w:t>5000</w:t>
            </w:r>
          </w:p>
        </w:tc>
        <w:tc>
          <w:tcPr>
            <w:tcW w:w="1064"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4"/>
                <w:szCs w:val="24"/>
              </w:rPr>
            </w:pPr>
            <w:r>
              <w:rPr>
                <w:rFonts w:hint="eastAsia" w:eastAsiaTheme="minorEastAsia"/>
                <w:sz w:val="24"/>
                <w:szCs w:val="24"/>
              </w:rPr>
              <w:t>5</w:t>
            </w:r>
          </w:p>
        </w:tc>
        <w:tc>
          <w:tcPr>
            <w:tcW w:w="1051"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4"/>
                <w:szCs w:val="24"/>
              </w:rPr>
            </w:pPr>
            <w:r>
              <w:rPr>
                <w:rFonts w:hint="eastAsia" w:eastAsiaTheme="minorEastAsia"/>
                <w:sz w:val="24"/>
                <w:szCs w:val="24"/>
              </w:rPr>
              <w:t>20</w:t>
            </w:r>
          </w:p>
        </w:tc>
      </w:tr>
      <w:tr>
        <w:tblPrEx>
          <w:tblLayout w:type="fixed"/>
          <w:tblCellMar>
            <w:top w:w="0" w:type="dxa"/>
            <w:left w:w="0" w:type="dxa"/>
            <w:bottom w:w="0" w:type="dxa"/>
            <w:right w:w="0" w:type="dxa"/>
          </w:tblCellMar>
        </w:tblPrEx>
        <w:trPr>
          <w:trHeight w:val="350" w:hRule="exact"/>
        </w:trPr>
        <w:tc>
          <w:tcPr>
            <w:tcW w:w="891"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4"/>
                <w:szCs w:val="24"/>
              </w:rPr>
            </w:pPr>
            <w:r>
              <w:rPr>
                <w:rFonts w:hint="eastAsia" w:eastAsiaTheme="minorEastAsia"/>
                <w:sz w:val="24"/>
                <w:szCs w:val="24"/>
              </w:rPr>
              <w:t>2</w:t>
            </w:r>
          </w:p>
        </w:tc>
        <w:tc>
          <w:tcPr>
            <w:tcW w:w="2667"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4"/>
                <w:szCs w:val="24"/>
              </w:rPr>
            </w:pPr>
            <w:r>
              <w:rPr>
                <w:rFonts w:hint="eastAsia" w:eastAsiaTheme="minorEastAsia"/>
                <w:sz w:val="24"/>
                <w:szCs w:val="24"/>
              </w:rPr>
              <w:t>热水解处理站</w:t>
            </w:r>
          </w:p>
        </w:tc>
        <w:tc>
          <w:tcPr>
            <w:tcW w:w="1548"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4"/>
                <w:szCs w:val="24"/>
              </w:rPr>
            </w:pPr>
            <w:r>
              <w:rPr>
                <w:rFonts w:hint="eastAsia" w:eastAsiaTheme="minorEastAsia"/>
                <w:sz w:val="24"/>
                <w:szCs w:val="24"/>
              </w:rPr>
              <w:t>525</w:t>
            </w:r>
          </w:p>
        </w:tc>
        <w:tc>
          <w:tcPr>
            <w:tcW w:w="1859"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4"/>
                <w:szCs w:val="24"/>
              </w:rPr>
            </w:pPr>
            <w:r>
              <w:rPr>
                <w:rFonts w:hint="eastAsia" w:eastAsiaTheme="minorEastAsia"/>
                <w:sz w:val="24"/>
                <w:szCs w:val="24"/>
              </w:rPr>
              <w:t>530</w:t>
            </w:r>
          </w:p>
        </w:tc>
        <w:tc>
          <w:tcPr>
            <w:tcW w:w="1064"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4"/>
                <w:szCs w:val="24"/>
              </w:rPr>
            </w:pPr>
            <w:r>
              <w:rPr>
                <w:rFonts w:hint="eastAsia" w:eastAsiaTheme="minorEastAsia"/>
                <w:sz w:val="24"/>
                <w:szCs w:val="24"/>
              </w:rPr>
              <w:t>1</w:t>
            </w:r>
          </w:p>
        </w:tc>
        <w:tc>
          <w:tcPr>
            <w:tcW w:w="1051"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4"/>
                <w:szCs w:val="24"/>
              </w:rPr>
            </w:pPr>
            <w:r>
              <w:rPr>
                <w:rFonts w:hint="eastAsia" w:eastAsiaTheme="minorEastAsia"/>
                <w:sz w:val="24"/>
                <w:szCs w:val="24"/>
              </w:rPr>
              <w:t>5</w:t>
            </w:r>
          </w:p>
        </w:tc>
      </w:tr>
      <w:tr>
        <w:tblPrEx>
          <w:tblLayout w:type="fixed"/>
          <w:tblCellMar>
            <w:top w:w="0" w:type="dxa"/>
            <w:left w:w="0" w:type="dxa"/>
            <w:bottom w:w="0" w:type="dxa"/>
            <w:right w:w="0" w:type="dxa"/>
          </w:tblCellMar>
        </w:tblPrEx>
        <w:trPr>
          <w:trHeight w:val="350" w:hRule="exact"/>
        </w:trPr>
        <w:tc>
          <w:tcPr>
            <w:tcW w:w="891"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4"/>
                <w:szCs w:val="24"/>
              </w:rPr>
            </w:pPr>
            <w:r>
              <w:rPr>
                <w:rFonts w:hint="eastAsia" w:eastAsiaTheme="minorEastAsia"/>
                <w:sz w:val="24"/>
                <w:szCs w:val="24"/>
              </w:rPr>
              <w:t>3</w:t>
            </w:r>
          </w:p>
        </w:tc>
        <w:tc>
          <w:tcPr>
            <w:tcW w:w="2667"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4"/>
                <w:szCs w:val="24"/>
              </w:rPr>
            </w:pPr>
            <w:r>
              <w:rPr>
                <w:rFonts w:hint="eastAsia" w:eastAsiaTheme="minorEastAsia"/>
                <w:sz w:val="24"/>
                <w:szCs w:val="24"/>
              </w:rPr>
              <w:t>前处理单元</w:t>
            </w:r>
          </w:p>
        </w:tc>
        <w:tc>
          <w:tcPr>
            <w:tcW w:w="1548"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4"/>
                <w:szCs w:val="24"/>
              </w:rPr>
            </w:pPr>
            <w:r>
              <w:rPr>
                <w:rFonts w:hint="eastAsia" w:eastAsiaTheme="minorEastAsia"/>
                <w:sz w:val="24"/>
                <w:szCs w:val="24"/>
              </w:rPr>
              <w:t>1650</w:t>
            </w:r>
          </w:p>
        </w:tc>
        <w:tc>
          <w:tcPr>
            <w:tcW w:w="1859"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4"/>
                <w:szCs w:val="24"/>
              </w:rPr>
            </w:pPr>
            <w:r>
              <w:rPr>
                <w:rFonts w:hint="eastAsia" w:eastAsiaTheme="minorEastAsia"/>
                <w:sz w:val="24"/>
                <w:szCs w:val="24"/>
              </w:rPr>
              <w:t>2790</w:t>
            </w:r>
          </w:p>
        </w:tc>
        <w:tc>
          <w:tcPr>
            <w:tcW w:w="1064"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4"/>
                <w:szCs w:val="24"/>
              </w:rPr>
            </w:pPr>
            <w:r>
              <w:rPr>
                <w:rFonts w:hint="eastAsia" w:eastAsiaTheme="minorEastAsia"/>
                <w:sz w:val="24"/>
                <w:szCs w:val="24"/>
              </w:rPr>
              <w:t>2</w:t>
            </w:r>
          </w:p>
        </w:tc>
        <w:tc>
          <w:tcPr>
            <w:tcW w:w="1051"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4"/>
                <w:szCs w:val="24"/>
              </w:rPr>
            </w:pPr>
            <w:r>
              <w:rPr>
                <w:rFonts w:hint="eastAsia" w:eastAsiaTheme="minorEastAsia"/>
                <w:sz w:val="24"/>
                <w:szCs w:val="24"/>
              </w:rPr>
              <w:t>16</w:t>
            </w:r>
          </w:p>
        </w:tc>
      </w:tr>
      <w:tr>
        <w:tblPrEx>
          <w:tblLayout w:type="fixed"/>
          <w:tblCellMar>
            <w:top w:w="0" w:type="dxa"/>
            <w:left w:w="0" w:type="dxa"/>
            <w:bottom w:w="0" w:type="dxa"/>
            <w:right w:w="0" w:type="dxa"/>
          </w:tblCellMar>
        </w:tblPrEx>
        <w:trPr>
          <w:trHeight w:val="348" w:hRule="exact"/>
        </w:trPr>
        <w:tc>
          <w:tcPr>
            <w:tcW w:w="891"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4"/>
                <w:szCs w:val="24"/>
              </w:rPr>
            </w:pPr>
            <w:r>
              <w:rPr>
                <w:rFonts w:hint="eastAsia" w:eastAsiaTheme="minorEastAsia"/>
                <w:sz w:val="24"/>
                <w:szCs w:val="24"/>
              </w:rPr>
              <w:t>4</w:t>
            </w:r>
          </w:p>
        </w:tc>
        <w:tc>
          <w:tcPr>
            <w:tcW w:w="2667"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4"/>
                <w:szCs w:val="24"/>
              </w:rPr>
            </w:pPr>
            <w:r>
              <w:rPr>
                <w:rFonts w:hint="eastAsia" w:eastAsiaTheme="minorEastAsia"/>
                <w:sz w:val="24"/>
                <w:szCs w:val="24"/>
              </w:rPr>
              <w:t>厌氧罐区</w:t>
            </w:r>
          </w:p>
        </w:tc>
        <w:tc>
          <w:tcPr>
            <w:tcW w:w="1548"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4"/>
                <w:szCs w:val="24"/>
              </w:rPr>
            </w:pPr>
            <w:r>
              <w:rPr>
                <w:rFonts w:hint="eastAsia" w:eastAsiaTheme="minorEastAsia"/>
                <w:sz w:val="24"/>
                <w:szCs w:val="24"/>
              </w:rPr>
              <w:t>3000</w:t>
            </w:r>
          </w:p>
        </w:tc>
        <w:tc>
          <w:tcPr>
            <w:tcW w:w="1859"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4"/>
                <w:szCs w:val="24"/>
              </w:rPr>
            </w:pPr>
            <w:r>
              <w:rPr>
                <w:rFonts w:hint="eastAsia" w:eastAsiaTheme="minorEastAsia"/>
                <w:sz w:val="24"/>
                <w:szCs w:val="24"/>
              </w:rPr>
              <w:t>/</w:t>
            </w:r>
          </w:p>
        </w:tc>
        <w:tc>
          <w:tcPr>
            <w:tcW w:w="1064"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4"/>
                <w:szCs w:val="24"/>
              </w:rPr>
            </w:pPr>
            <w:r>
              <w:rPr>
                <w:rFonts w:hint="eastAsia" w:eastAsiaTheme="minorEastAsia"/>
                <w:sz w:val="24"/>
                <w:szCs w:val="24"/>
              </w:rPr>
              <w:t>/</w:t>
            </w:r>
          </w:p>
        </w:tc>
        <w:tc>
          <w:tcPr>
            <w:tcW w:w="1051"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4"/>
                <w:szCs w:val="24"/>
              </w:rPr>
            </w:pPr>
            <w:r>
              <w:rPr>
                <w:rFonts w:hint="eastAsia" w:eastAsiaTheme="minorEastAsia"/>
                <w:sz w:val="24"/>
                <w:szCs w:val="24"/>
              </w:rPr>
              <w:t>/</w:t>
            </w:r>
          </w:p>
        </w:tc>
      </w:tr>
      <w:tr>
        <w:tblPrEx>
          <w:tblLayout w:type="fixed"/>
          <w:tblCellMar>
            <w:top w:w="0" w:type="dxa"/>
            <w:left w:w="0" w:type="dxa"/>
            <w:bottom w:w="0" w:type="dxa"/>
            <w:right w:w="0" w:type="dxa"/>
          </w:tblCellMar>
        </w:tblPrEx>
        <w:trPr>
          <w:trHeight w:val="351" w:hRule="exact"/>
        </w:trPr>
        <w:tc>
          <w:tcPr>
            <w:tcW w:w="891"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4"/>
                <w:szCs w:val="24"/>
              </w:rPr>
            </w:pPr>
            <w:r>
              <w:rPr>
                <w:rFonts w:hint="eastAsia" w:eastAsiaTheme="minorEastAsia"/>
                <w:sz w:val="24"/>
                <w:szCs w:val="24"/>
              </w:rPr>
              <w:t>5</w:t>
            </w:r>
          </w:p>
        </w:tc>
        <w:tc>
          <w:tcPr>
            <w:tcW w:w="2667"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4"/>
                <w:szCs w:val="24"/>
              </w:rPr>
            </w:pPr>
            <w:r>
              <w:rPr>
                <w:rFonts w:hint="eastAsia" w:eastAsiaTheme="minorEastAsia"/>
                <w:sz w:val="24"/>
                <w:szCs w:val="24"/>
              </w:rPr>
              <w:t>脱水单元</w:t>
            </w:r>
          </w:p>
        </w:tc>
        <w:tc>
          <w:tcPr>
            <w:tcW w:w="1548"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4"/>
                <w:szCs w:val="24"/>
              </w:rPr>
            </w:pPr>
            <w:r>
              <w:rPr>
                <w:rFonts w:hint="eastAsia" w:eastAsiaTheme="minorEastAsia"/>
                <w:sz w:val="24"/>
                <w:szCs w:val="24"/>
              </w:rPr>
              <w:t>1000</w:t>
            </w:r>
          </w:p>
        </w:tc>
        <w:tc>
          <w:tcPr>
            <w:tcW w:w="1859"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4"/>
                <w:szCs w:val="24"/>
              </w:rPr>
            </w:pPr>
            <w:r>
              <w:rPr>
                <w:rFonts w:hint="eastAsia" w:eastAsiaTheme="minorEastAsia"/>
                <w:sz w:val="24"/>
                <w:szCs w:val="24"/>
              </w:rPr>
              <w:t>1300</w:t>
            </w:r>
          </w:p>
        </w:tc>
        <w:tc>
          <w:tcPr>
            <w:tcW w:w="1064"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4"/>
                <w:szCs w:val="24"/>
              </w:rPr>
            </w:pPr>
            <w:r>
              <w:rPr>
                <w:rFonts w:hint="eastAsia" w:eastAsiaTheme="minorEastAsia"/>
                <w:sz w:val="24"/>
                <w:szCs w:val="24"/>
              </w:rPr>
              <w:t>2</w:t>
            </w:r>
          </w:p>
        </w:tc>
        <w:tc>
          <w:tcPr>
            <w:tcW w:w="1051"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4"/>
                <w:szCs w:val="24"/>
              </w:rPr>
            </w:pPr>
            <w:r>
              <w:rPr>
                <w:rFonts w:hint="eastAsia" w:eastAsiaTheme="minorEastAsia"/>
                <w:sz w:val="24"/>
                <w:szCs w:val="24"/>
              </w:rPr>
              <w:t>8</w:t>
            </w:r>
          </w:p>
        </w:tc>
      </w:tr>
      <w:tr>
        <w:tblPrEx>
          <w:tblLayout w:type="fixed"/>
          <w:tblCellMar>
            <w:top w:w="0" w:type="dxa"/>
            <w:left w:w="0" w:type="dxa"/>
            <w:bottom w:w="0" w:type="dxa"/>
            <w:right w:w="0" w:type="dxa"/>
          </w:tblCellMar>
        </w:tblPrEx>
        <w:trPr>
          <w:trHeight w:val="370" w:hRule="exact"/>
        </w:trPr>
        <w:tc>
          <w:tcPr>
            <w:tcW w:w="891"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4"/>
                <w:szCs w:val="24"/>
              </w:rPr>
            </w:pPr>
            <w:r>
              <w:rPr>
                <w:rFonts w:hint="eastAsia" w:eastAsiaTheme="minorEastAsia"/>
                <w:sz w:val="24"/>
                <w:szCs w:val="24"/>
              </w:rPr>
              <w:t>6</w:t>
            </w:r>
          </w:p>
        </w:tc>
        <w:tc>
          <w:tcPr>
            <w:tcW w:w="2667"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4"/>
                <w:szCs w:val="24"/>
              </w:rPr>
            </w:pPr>
            <w:r>
              <w:rPr>
                <w:rFonts w:hint="eastAsia" w:eastAsiaTheme="minorEastAsia"/>
                <w:sz w:val="24"/>
                <w:szCs w:val="24"/>
              </w:rPr>
              <w:t>板框压滤间及泥棚</w:t>
            </w:r>
          </w:p>
        </w:tc>
        <w:tc>
          <w:tcPr>
            <w:tcW w:w="1548"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4"/>
                <w:szCs w:val="24"/>
              </w:rPr>
            </w:pPr>
            <w:r>
              <w:rPr>
                <w:rFonts w:hint="eastAsia" w:eastAsiaTheme="minorEastAsia"/>
                <w:sz w:val="24"/>
                <w:szCs w:val="24"/>
              </w:rPr>
              <w:t>4000</w:t>
            </w:r>
          </w:p>
        </w:tc>
        <w:tc>
          <w:tcPr>
            <w:tcW w:w="1859"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4"/>
                <w:szCs w:val="24"/>
              </w:rPr>
            </w:pPr>
            <w:r>
              <w:rPr>
                <w:rFonts w:hint="eastAsia" w:eastAsiaTheme="minorEastAsia"/>
                <w:sz w:val="24"/>
                <w:szCs w:val="24"/>
              </w:rPr>
              <w:t>4590</w:t>
            </w:r>
          </w:p>
        </w:tc>
        <w:tc>
          <w:tcPr>
            <w:tcW w:w="1064"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4"/>
                <w:szCs w:val="24"/>
              </w:rPr>
            </w:pPr>
            <w:r>
              <w:rPr>
                <w:rFonts w:hint="eastAsia" w:eastAsiaTheme="minorEastAsia"/>
                <w:sz w:val="24"/>
                <w:szCs w:val="24"/>
              </w:rPr>
              <w:t>3</w:t>
            </w:r>
          </w:p>
        </w:tc>
        <w:tc>
          <w:tcPr>
            <w:tcW w:w="1051"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4"/>
                <w:szCs w:val="24"/>
              </w:rPr>
            </w:pPr>
            <w:r>
              <w:rPr>
                <w:rFonts w:hint="eastAsia" w:eastAsiaTheme="minorEastAsia"/>
                <w:sz w:val="24"/>
                <w:szCs w:val="24"/>
              </w:rPr>
              <w:t>17</w:t>
            </w:r>
          </w:p>
        </w:tc>
      </w:tr>
      <w:tr>
        <w:tblPrEx>
          <w:tblLayout w:type="fixed"/>
          <w:tblCellMar>
            <w:top w:w="0" w:type="dxa"/>
            <w:left w:w="0" w:type="dxa"/>
            <w:bottom w:w="0" w:type="dxa"/>
            <w:right w:w="0" w:type="dxa"/>
          </w:tblCellMar>
        </w:tblPrEx>
        <w:trPr>
          <w:trHeight w:val="370" w:hRule="exact"/>
        </w:trPr>
        <w:tc>
          <w:tcPr>
            <w:tcW w:w="891"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4"/>
                <w:szCs w:val="24"/>
              </w:rPr>
            </w:pPr>
            <w:r>
              <w:rPr>
                <w:rFonts w:hint="eastAsia" w:eastAsiaTheme="minorEastAsia"/>
                <w:sz w:val="24"/>
                <w:szCs w:val="24"/>
              </w:rPr>
              <w:t>7</w:t>
            </w:r>
          </w:p>
        </w:tc>
        <w:tc>
          <w:tcPr>
            <w:tcW w:w="2667"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4"/>
                <w:szCs w:val="24"/>
              </w:rPr>
            </w:pPr>
            <w:r>
              <w:rPr>
                <w:rFonts w:hint="eastAsia" w:eastAsiaTheme="minorEastAsia"/>
                <w:sz w:val="24"/>
                <w:szCs w:val="24"/>
              </w:rPr>
              <w:t>锅炉房</w:t>
            </w:r>
          </w:p>
        </w:tc>
        <w:tc>
          <w:tcPr>
            <w:tcW w:w="1548"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4"/>
                <w:szCs w:val="24"/>
              </w:rPr>
            </w:pPr>
            <w:r>
              <w:rPr>
                <w:rFonts w:hint="eastAsia" w:eastAsiaTheme="minorEastAsia"/>
                <w:sz w:val="24"/>
                <w:szCs w:val="24"/>
              </w:rPr>
              <w:t>1200</w:t>
            </w:r>
          </w:p>
        </w:tc>
        <w:tc>
          <w:tcPr>
            <w:tcW w:w="1859"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4"/>
                <w:szCs w:val="24"/>
              </w:rPr>
            </w:pPr>
            <w:r>
              <w:rPr>
                <w:rFonts w:hint="eastAsia" w:eastAsiaTheme="minorEastAsia"/>
                <w:sz w:val="24"/>
                <w:szCs w:val="24"/>
              </w:rPr>
              <w:t>900</w:t>
            </w:r>
          </w:p>
        </w:tc>
        <w:tc>
          <w:tcPr>
            <w:tcW w:w="1064"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4"/>
                <w:szCs w:val="24"/>
              </w:rPr>
            </w:pPr>
            <w:r>
              <w:rPr>
                <w:rFonts w:hint="eastAsia" w:eastAsiaTheme="minorEastAsia"/>
                <w:sz w:val="24"/>
                <w:szCs w:val="24"/>
              </w:rPr>
              <w:t>1</w:t>
            </w:r>
          </w:p>
        </w:tc>
        <w:tc>
          <w:tcPr>
            <w:tcW w:w="1051"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4"/>
                <w:szCs w:val="24"/>
              </w:rPr>
            </w:pPr>
            <w:r>
              <w:rPr>
                <w:rFonts w:hint="eastAsia" w:eastAsiaTheme="minorEastAsia"/>
                <w:sz w:val="24"/>
                <w:szCs w:val="24"/>
              </w:rPr>
              <w:t>4</w:t>
            </w:r>
          </w:p>
        </w:tc>
      </w:tr>
      <w:tr>
        <w:tblPrEx>
          <w:tblLayout w:type="fixed"/>
          <w:tblCellMar>
            <w:top w:w="0" w:type="dxa"/>
            <w:left w:w="0" w:type="dxa"/>
            <w:bottom w:w="0" w:type="dxa"/>
            <w:right w:w="0" w:type="dxa"/>
          </w:tblCellMar>
        </w:tblPrEx>
        <w:trPr>
          <w:trHeight w:val="370" w:hRule="exact"/>
        </w:trPr>
        <w:tc>
          <w:tcPr>
            <w:tcW w:w="891"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4"/>
                <w:szCs w:val="24"/>
              </w:rPr>
            </w:pPr>
            <w:r>
              <w:rPr>
                <w:rFonts w:hint="eastAsia" w:eastAsiaTheme="minorEastAsia"/>
                <w:sz w:val="24"/>
                <w:szCs w:val="24"/>
              </w:rPr>
              <w:t>8</w:t>
            </w:r>
          </w:p>
        </w:tc>
        <w:tc>
          <w:tcPr>
            <w:tcW w:w="2667"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4"/>
                <w:szCs w:val="24"/>
              </w:rPr>
            </w:pPr>
            <w:r>
              <w:rPr>
                <w:rFonts w:hint="eastAsia" w:eastAsiaTheme="minorEastAsia"/>
                <w:sz w:val="24"/>
                <w:szCs w:val="24"/>
              </w:rPr>
              <w:t>沼气净化压缩处理 单元</w:t>
            </w:r>
          </w:p>
        </w:tc>
        <w:tc>
          <w:tcPr>
            <w:tcW w:w="1548"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4"/>
                <w:szCs w:val="24"/>
              </w:rPr>
            </w:pPr>
            <w:r>
              <w:rPr>
                <w:rFonts w:hint="eastAsia" w:eastAsiaTheme="minorEastAsia"/>
                <w:sz w:val="24"/>
                <w:szCs w:val="24"/>
              </w:rPr>
              <w:t>1200</w:t>
            </w:r>
          </w:p>
        </w:tc>
        <w:tc>
          <w:tcPr>
            <w:tcW w:w="1859"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4"/>
                <w:szCs w:val="24"/>
              </w:rPr>
            </w:pPr>
            <w:r>
              <w:rPr>
                <w:rFonts w:hint="eastAsia" w:eastAsiaTheme="minorEastAsia"/>
                <w:sz w:val="24"/>
                <w:szCs w:val="24"/>
              </w:rPr>
              <w:t>350</w:t>
            </w:r>
          </w:p>
        </w:tc>
        <w:tc>
          <w:tcPr>
            <w:tcW w:w="1064"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4"/>
                <w:szCs w:val="24"/>
              </w:rPr>
            </w:pPr>
            <w:r>
              <w:rPr>
                <w:rFonts w:hint="eastAsia" w:eastAsiaTheme="minorEastAsia"/>
                <w:sz w:val="24"/>
                <w:szCs w:val="24"/>
              </w:rPr>
              <w:t>1</w:t>
            </w:r>
          </w:p>
        </w:tc>
        <w:tc>
          <w:tcPr>
            <w:tcW w:w="1051"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4"/>
                <w:szCs w:val="24"/>
              </w:rPr>
            </w:pPr>
            <w:r>
              <w:rPr>
                <w:rFonts w:hint="eastAsia" w:eastAsiaTheme="minorEastAsia"/>
                <w:sz w:val="24"/>
                <w:szCs w:val="24"/>
              </w:rPr>
              <w:t>4</w:t>
            </w:r>
          </w:p>
        </w:tc>
      </w:tr>
      <w:tr>
        <w:tblPrEx>
          <w:tblLayout w:type="fixed"/>
          <w:tblCellMar>
            <w:top w:w="0" w:type="dxa"/>
            <w:left w:w="0" w:type="dxa"/>
            <w:bottom w:w="0" w:type="dxa"/>
            <w:right w:w="0" w:type="dxa"/>
          </w:tblCellMar>
        </w:tblPrEx>
        <w:trPr>
          <w:trHeight w:val="370" w:hRule="exact"/>
        </w:trPr>
        <w:tc>
          <w:tcPr>
            <w:tcW w:w="891"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4"/>
                <w:szCs w:val="24"/>
              </w:rPr>
            </w:pPr>
            <w:r>
              <w:rPr>
                <w:rFonts w:hint="eastAsia" w:eastAsiaTheme="minorEastAsia"/>
                <w:sz w:val="24"/>
                <w:szCs w:val="24"/>
              </w:rPr>
              <w:t>9</w:t>
            </w:r>
          </w:p>
        </w:tc>
        <w:tc>
          <w:tcPr>
            <w:tcW w:w="2667"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4"/>
                <w:szCs w:val="24"/>
              </w:rPr>
            </w:pPr>
            <w:r>
              <w:rPr>
                <w:rFonts w:hint="eastAsia" w:eastAsiaTheme="minorEastAsia"/>
                <w:sz w:val="24"/>
                <w:szCs w:val="24"/>
              </w:rPr>
              <w:t>消防泵房</w:t>
            </w:r>
          </w:p>
        </w:tc>
        <w:tc>
          <w:tcPr>
            <w:tcW w:w="1548"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4"/>
                <w:szCs w:val="24"/>
              </w:rPr>
            </w:pPr>
            <w:r>
              <w:rPr>
                <w:rFonts w:hint="eastAsia" w:eastAsiaTheme="minorEastAsia"/>
                <w:sz w:val="24"/>
                <w:szCs w:val="24"/>
              </w:rPr>
              <w:t>300</w:t>
            </w:r>
          </w:p>
        </w:tc>
        <w:tc>
          <w:tcPr>
            <w:tcW w:w="1859"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4"/>
                <w:szCs w:val="24"/>
              </w:rPr>
            </w:pPr>
            <w:r>
              <w:rPr>
                <w:rFonts w:hint="eastAsia" w:eastAsiaTheme="minorEastAsia"/>
                <w:sz w:val="24"/>
                <w:szCs w:val="24"/>
              </w:rPr>
              <w:t>200</w:t>
            </w:r>
          </w:p>
        </w:tc>
        <w:tc>
          <w:tcPr>
            <w:tcW w:w="1064"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4"/>
                <w:szCs w:val="24"/>
              </w:rPr>
            </w:pPr>
            <w:r>
              <w:rPr>
                <w:rFonts w:hint="eastAsia" w:eastAsiaTheme="minorEastAsia"/>
                <w:sz w:val="24"/>
                <w:szCs w:val="24"/>
              </w:rPr>
              <w:t>1</w:t>
            </w:r>
          </w:p>
        </w:tc>
        <w:tc>
          <w:tcPr>
            <w:tcW w:w="1051"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4"/>
                <w:szCs w:val="24"/>
              </w:rPr>
            </w:pPr>
            <w:r>
              <w:rPr>
                <w:rFonts w:hint="eastAsia" w:eastAsiaTheme="minorEastAsia"/>
                <w:sz w:val="24"/>
                <w:szCs w:val="24"/>
              </w:rPr>
              <w:t>4</w:t>
            </w:r>
          </w:p>
        </w:tc>
      </w:tr>
      <w:tr>
        <w:tblPrEx>
          <w:tblLayout w:type="fixed"/>
          <w:tblCellMar>
            <w:top w:w="0" w:type="dxa"/>
            <w:left w:w="0" w:type="dxa"/>
            <w:bottom w:w="0" w:type="dxa"/>
            <w:right w:w="0" w:type="dxa"/>
          </w:tblCellMar>
        </w:tblPrEx>
        <w:trPr>
          <w:trHeight w:val="370" w:hRule="exact"/>
        </w:trPr>
        <w:tc>
          <w:tcPr>
            <w:tcW w:w="891"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4"/>
                <w:szCs w:val="24"/>
              </w:rPr>
            </w:pPr>
            <w:r>
              <w:rPr>
                <w:rFonts w:hint="eastAsia" w:eastAsiaTheme="minorEastAsia"/>
                <w:sz w:val="24"/>
                <w:szCs w:val="24"/>
              </w:rPr>
              <w:t>10</w:t>
            </w:r>
          </w:p>
        </w:tc>
        <w:tc>
          <w:tcPr>
            <w:tcW w:w="2667"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4"/>
                <w:szCs w:val="24"/>
              </w:rPr>
            </w:pPr>
            <w:r>
              <w:rPr>
                <w:rFonts w:hint="eastAsia" w:eastAsiaTheme="minorEastAsia"/>
                <w:sz w:val="24"/>
                <w:szCs w:val="24"/>
              </w:rPr>
              <w:t>变电房</w:t>
            </w:r>
          </w:p>
        </w:tc>
        <w:tc>
          <w:tcPr>
            <w:tcW w:w="1548"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4"/>
                <w:szCs w:val="24"/>
              </w:rPr>
            </w:pPr>
            <w:r>
              <w:rPr>
                <w:rFonts w:hint="eastAsia" w:eastAsiaTheme="minorEastAsia"/>
                <w:sz w:val="24"/>
                <w:szCs w:val="24"/>
              </w:rPr>
              <w:t>400</w:t>
            </w:r>
          </w:p>
        </w:tc>
        <w:tc>
          <w:tcPr>
            <w:tcW w:w="1859"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4"/>
                <w:szCs w:val="24"/>
              </w:rPr>
            </w:pPr>
            <w:r>
              <w:rPr>
                <w:rFonts w:hint="eastAsia" w:eastAsiaTheme="minorEastAsia"/>
                <w:sz w:val="24"/>
                <w:szCs w:val="24"/>
              </w:rPr>
              <w:t>300</w:t>
            </w:r>
          </w:p>
        </w:tc>
        <w:tc>
          <w:tcPr>
            <w:tcW w:w="1064"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4"/>
                <w:szCs w:val="24"/>
              </w:rPr>
            </w:pPr>
            <w:r>
              <w:rPr>
                <w:rFonts w:hint="eastAsia" w:eastAsiaTheme="minorEastAsia"/>
                <w:sz w:val="24"/>
                <w:szCs w:val="24"/>
              </w:rPr>
              <w:t>1</w:t>
            </w:r>
          </w:p>
        </w:tc>
        <w:tc>
          <w:tcPr>
            <w:tcW w:w="1051"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4"/>
                <w:szCs w:val="24"/>
              </w:rPr>
            </w:pPr>
            <w:r>
              <w:rPr>
                <w:rFonts w:hint="eastAsia" w:eastAsiaTheme="minorEastAsia"/>
                <w:sz w:val="24"/>
                <w:szCs w:val="24"/>
              </w:rPr>
              <w:t>4</w:t>
            </w:r>
          </w:p>
        </w:tc>
      </w:tr>
      <w:tr>
        <w:tblPrEx>
          <w:tblLayout w:type="fixed"/>
          <w:tblCellMar>
            <w:top w:w="0" w:type="dxa"/>
            <w:left w:w="0" w:type="dxa"/>
            <w:bottom w:w="0" w:type="dxa"/>
            <w:right w:w="0" w:type="dxa"/>
          </w:tblCellMar>
        </w:tblPrEx>
        <w:trPr>
          <w:trHeight w:val="370" w:hRule="exact"/>
        </w:trPr>
        <w:tc>
          <w:tcPr>
            <w:tcW w:w="891"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4"/>
                <w:szCs w:val="24"/>
              </w:rPr>
            </w:pPr>
            <w:r>
              <w:rPr>
                <w:rFonts w:hint="eastAsia" w:eastAsiaTheme="minorEastAsia"/>
                <w:sz w:val="24"/>
                <w:szCs w:val="24"/>
              </w:rPr>
              <w:t>11</w:t>
            </w:r>
          </w:p>
        </w:tc>
        <w:tc>
          <w:tcPr>
            <w:tcW w:w="2667"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4"/>
                <w:szCs w:val="24"/>
              </w:rPr>
            </w:pPr>
            <w:r>
              <w:rPr>
                <w:rFonts w:hint="eastAsia" w:eastAsiaTheme="minorEastAsia"/>
                <w:sz w:val="24"/>
                <w:szCs w:val="24"/>
              </w:rPr>
              <w:t>门卫室</w:t>
            </w:r>
          </w:p>
        </w:tc>
        <w:tc>
          <w:tcPr>
            <w:tcW w:w="1548"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4"/>
                <w:szCs w:val="24"/>
              </w:rPr>
            </w:pPr>
            <w:r>
              <w:rPr>
                <w:rFonts w:hint="eastAsia" w:eastAsiaTheme="minorEastAsia"/>
                <w:sz w:val="24"/>
                <w:szCs w:val="24"/>
              </w:rPr>
              <w:t>60</w:t>
            </w:r>
          </w:p>
        </w:tc>
        <w:tc>
          <w:tcPr>
            <w:tcW w:w="1859"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4"/>
                <w:szCs w:val="24"/>
              </w:rPr>
            </w:pPr>
            <w:r>
              <w:rPr>
                <w:rFonts w:hint="eastAsia" w:eastAsiaTheme="minorEastAsia"/>
                <w:sz w:val="24"/>
                <w:szCs w:val="24"/>
              </w:rPr>
              <w:t>60</w:t>
            </w:r>
          </w:p>
        </w:tc>
        <w:tc>
          <w:tcPr>
            <w:tcW w:w="1064"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4"/>
                <w:szCs w:val="24"/>
              </w:rPr>
            </w:pPr>
            <w:r>
              <w:rPr>
                <w:rFonts w:hint="eastAsia" w:eastAsiaTheme="minorEastAsia"/>
                <w:sz w:val="24"/>
                <w:szCs w:val="24"/>
              </w:rPr>
              <w:t>1</w:t>
            </w:r>
          </w:p>
        </w:tc>
        <w:tc>
          <w:tcPr>
            <w:tcW w:w="1051"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4"/>
                <w:szCs w:val="24"/>
              </w:rPr>
            </w:pPr>
            <w:r>
              <w:rPr>
                <w:rFonts w:hint="eastAsia" w:eastAsiaTheme="minorEastAsia"/>
                <w:sz w:val="24"/>
                <w:szCs w:val="24"/>
              </w:rPr>
              <w:t>4</w:t>
            </w:r>
          </w:p>
        </w:tc>
      </w:tr>
      <w:tr>
        <w:tblPrEx>
          <w:tblLayout w:type="fixed"/>
          <w:tblCellMar>
            <w:top w:w="0" w:type="dxa"/>
            <w:left w:w="0" w:type="dxa"/>
            <w:bottom w:w="0" w:type="dxa"/>
            <w:right w:w="0" w:type="dxa"/>
          </w:tblCellMar>
        </w:tblPrEx>
        <w:trPr>
          <w:trHeight w:val="370" w:hRule="exact"/>
        </w:trPr>
        <w:tc>
          <w:tcPr>
            <w:tcW w:w="891"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4"/>
                <w:szCs w:val="24"/>
              </w:rPr>
            </w:pPr>
            <w:r>
              <w:rPr>
                <w:rFonts w:hint="eastAsia" w:eastAsiaTheme="minorEastAsia"/>
                <w:sz w:val="24"/>
                <w:szCs w:val="24"/>
              </w:rPr>
              <w:t>12</w:t>
            </w:r>
          </w:p>
        </w:tc>
        <w:tc>
          <w:tcPr>
            <w:tcW w:w="2667"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4"/>
                <w:szCs w:val="24"/>
              </w:rPr>
            </w:pPr>
            <w:r>
              <w:rPr>
                <w:rFonts w:hint="eastAsia" w:eastAsiaTheme="minorEastAsia"/>
                <w:sz w:val="24"/>
                <w:szCs w:val="24"/>
              </w:rPr>
              <w:t>通道及其余用地</w:t>
            </w:r>
          </w:p>
        </w:tc>
        <w:tc>
          <w:tcPr>
            <w:tcW w:w="1548"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4"/>
                <w:szCs w:val="24"/>
              </w:rPr>
            </w:pPr>
            <w:r>
              <w:rPr>
                <w:rFonts w:hint="eastAsia" w:eastAsiaTheme="minorEastAsia"/>
                <w:sz w:val="24"/>
                <w:szCs w:val="24"/>
              </w:rPr>
              <w:t>38998.3</w:t>
            </w:r>
          </w:p>
        </w:tc>
        <w:tc>
          <w:tcPr>
            <w:tcW w:w="1859"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4"/>
                <w:szCs w:val="24"/>
              </w:rPr>
            </w:pPr>
            <w:r>
              <w:rPr>
                <w:rFonts w:hint="eastAsia" w:eastAsiaTheme="minorEastAsia"/>
                <w:sz w:val="24"/>
                <w:szCs w:val="24"/>
              </w:rPr>
              <w:t>/</w:t>
            </w:r>
          </w:p>
        </w:tc>
        <w:tc>
          <w:tcPr>
            <w:tcW w:w="1064"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4"/>
                <w:szCs w:val="24"/>
              </w:rPr>
            </w:pPr>
            <w:r>
              <w:rPr>
                <w:rFonts w:hint="eastAsia" w:eastAsiaTheme="minorEastAsia"/>
                <w:sz w:val="24"/>
                <w:szCs w:val="24"/>
              </w:rPr>
              <w:t>/</w:t>
            </w:r>
          </w:p>
        </w:tc>
        <w:tc>
          <w:tcPr>
            <w:tcW w:w="1051"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4"/>
                <w:szCs w:val="24"/>
              </w:rPr>
            </w:pPr>
            <w:r>
              <w:rPr>
                <w:rFonts w:hint="eastAsia" w:eastAsiaTheme="minorEastAsia"/>
                <w:sz w:val="24"/>
                <w:szCs w:val="24"/>
              </w:rPr>
              <w:t>/</w:t>
            </w:r>
          </w:p>
        </w:tc>
      </w:tr>
      <w:tr>
        <w:tblPrEx>
          <w:tblLayout w:type="fixed"/>
          <w:tblCellMar>
            <w:top w:w="0" w:type="dxa"/>
            <w:left w:w="0" w:type="dxa"/>
            <w:bottom w:w="0" w:type="dxa"/>
            <w:right w:w="0" w:type="dxa"/>
          </w:tblCellMar>
        </w:tblPrEx>
        <w:trPr>
          <w:trHeight w:val="370" w:hRule="exact"/>
        </w:trPr>
        <w:tc>
          <w:tcPr>
            <w:tcW w:w="3558"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4"/>
                <w:szCs w:val="24"/>
              </w:rPr>
            </w:pPr>
            <w:r>
              <w:rPr>
                <w:rFonts w:hint="eastAsia" w:eastAsiaTheme="minorEastAsia"/>
                <w:sz w:val="24"/>
                <w:szCs w:val="24"/>
              </w:rPr>
              <w:t>合计</w:t>
            </w:r>
          </w:p>
        </w:tc>
        <w:tc>
          <w:tcPr>
            <w:tcW w:w="1548"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4"/>
                <w:szCs w:val="24"/>
              </w:rPr>
            </w:pPr>
            <w:r>
              <w:rPr>
                <w:rFonts w:hint="eastAsia" w:eastAsiaTheme="minorEastAsia"/>
                <w:sz w:val="24"/>
                <w:szCs w:val="24"/>
              </w:rPr>
              <w:t>53333.3</w:t>
            </w:r>
          </w:p>
        </w:tc>
        <w:tc>
          <w:tcPr>
            <w:tcW w:w="1859"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4"/>
                <w:szCs w:val="24"/>
              </w:rPr>
            </w:pPr>
            <w:r>
              <w:rPr>
                <w:rFonts w:hint="eastAsia" w:eastAsiaTheme="minorEastAsia"/>
                <w:sz w:val="24"/>
                <w:szCs w:val="24"/>
              </w:rPr>
              <w:t>16020</w:t>
            </w:r>
          </w:p>
        </w:tc>
        <w:tc>
          <w:tcPr>
            <w:tcW w:w="1064"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4"/>
                <w:szCs w:val="24"/>
              </w:rPr>
            </w:pPr>
            <w:r>
              <w:rPr>
                <w:rFonts w:hint="eastAsia" w:eastAsiaTheme="minorEastAsia"/>
                <w:sz w:val="24"/>
                <w:szCs w:val="24"/>
              </w:rPr>
              <w:t>/</w:t>
            </w:r>
          </w:p>
        </w:tc>
        <w:tc>
          <w:tcPr>
            <w:tcW w:w="1051"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4"/>
                <w:szCs w:val="24"/>
              </w:rPr>
            </w:pPr>
            <w:r>
              <w:rPr>
                <w:rFonts w:hint="eastAsia" w:eastAsiaTheme="minorEastAsia"/>
                <w:sz w:val="24"/>
                <w:szCs w:val="24"/>
              </w:rPr>
              <w:t>/</w:t>
            </w:r>
          </w:p>
        </w:tc>
      </w:tr>
    </w:tbl>
    <w:p>
      <w:pPr>
        <w:pStyle w:val="17"/>
        <w:ind w:left="0" w:leftChars="0" w:firstLine="0" w:firstLineChars="0"/>
      </w:pPr>
    </w:p>
    <w:p>
      <w:pPr>
        <w:pStyle w:val="17"/>
        <w:ind w:left="0" w:leftChars="0" w:firstLine="0" w:firstLineChars="0"/>
      </w:pPr>
    </w:p>
    <w:p>
      <w:pPr>
        <w:pStyle w:val="17"/>
        <w:ind w:left="0" w:leftChars="0" w:firstLine="0" w:firstLineChars="0"/>
      </w:pPr>
    </w:p>
    <w:p>
      <w:pPr>
        <w:pStyle w:val="17"/>
        <w:ind w:left="0" w:leftChars="0" w:firstLine="0" w:firstLineChars="0"/>
      </w:pPr>
    </w:p>
    <w:p>
      <w:pPr>
        <w:pStyle w:val="17"/>
        <w:ind w:left="0" w:leftChars="0" w:firstLine="0" w:firstLineChars="0"/>
      </w:pPr>
    </w:p>
    <w:p>
      <w:pPr>
        <w:pStyle w:val="17"/>
        <w:ind w:left="0" w:leftChars="0" w:firstLine="0" w:firstLineChars="0"/>
      </w:pPr>
    </w:p>
    <w:p>
      <w:pPr>
        <w:pStyle w:val="17"/>
        <w:ind w:left="0" w:leftChars="0" w:firstLine="0" w:firstLineChars="0"/>
      </w:pPr>
    </w:p>
    <w:p>
      <w:pPr>
        <w:pStyle w:val="17"/>
        <w:ind w:left="0" w:leftChars="0" w:firstLine="0" w:firstLineChars="0"/>
      </w:pPr>
    </w:p>
    <w:p>
      <w:pPr>
        <w:pStyle w:val="17"/>
        <w:ind w:left="0" w:leftChars="0" w:firstLine="0" w:firstLineChars="0"/>
      </w:pPr>
    </w:p>
    <w:p>
      <w:pPr>
        <w:pStyle w:val="17"/>
        <w:ind w:left="0" w:leftChars="0" w:firstLine="0" w:firstLineChars="0"/>
        <w:jc w:val="center"/>
        <w:rPr>
          <w:rFonts w:hint="eastAsia"/>
          <w:lang w:eastAsia="zh-CN"/>
        </w:rPr>
      </w:pPr>
      <w:r>
        <w:rPr>
          <w:rFonts w:hint="eastAsia" w:ascii="Times New Roman" w:hAnsi="Times New Roman"/>
          <w:b/>
          <w:bCs/>
          <w:szCs w:val="28"/>
          <w:lang w:eastAsia="zh-CN"/>
        </w:rPr>
        <w:t>表</w:t>
      </w:r>
      <w:r>
        <w:rPr>
          <w:rFonts w:hint="eastAsia" w:ascii="Times New Roman" w:hAnsi="Times New Roman"/>
          <w:b/>
          <w:bCs/>
          <w:szCs w:val="28"/>
          <w:lang w:val="en-US" w:eastAsia="zh-CN"/>
        </w:rPr>
        <w:t>2-3 公司主要工程内容一览表</w:t>
      </w:r>
    </w:p>
    <w:tbl>
      <w:tblPr>
        <w:tblStyle w:val="42"/>
        <w:tblW w:w="9080" w:type="dxa"/>
        <w:tblInd w:w="-6"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754"/>
        <w:gridCol w:w="789"/>
        <w:gridCol w:w="876"/>
        <w:gridCol w:w="6661"/>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trPr>
        <w:tc>
          <w:tcPr>
            <w:tcW w:w="754" w:type="dxa"/>
            <w:tcBorders>
              <w:tl2br w:val="nil"/>
              <w:tr2bl w:val="nil"/>
            </w:tcBorders>
            <w:vAlign w:val="center"/>
          </w:tcPr>
          <w:p>
            <w:pPr>
              <w:pStyle w:val="141"/>
              <w:spacing w:line="240" w:lineRule="auto"/>
              <w:ind w:left="148" w:right="135"/>
              <w:jc w:val="center"/>
              <w:rPr>
                <w:rFonts w:ascii="宋体" w:hAnsi="宋体" w:eastAsia="宋体" w:cs="宋体"/>
                <w:b/>
                <w:bCs/>
                <w:sz w:val="21"/>
                <w:szCs w:val="21"/>
              </w:rPr>
            </w:pPr>
            <w:r>
              <w:rPr>
                <w:rFonts w:ascii="宋体" w:hAnsi="宋体" w:eastAsia="宋体" w:cs="宋体"/>
                <w:b/>
                <w:bCs/>
                <w:sz w:val="21"/>
                <w:szCs w:val="21"/>
              </w:rPr>
              <w:t>工程构成</w:t>
            </w:r>
          </w:p>
        </w:tc>
        <w:tc>
          <w:tcPr>
            <w:tcW w:w="8326" w:type="dxa"/>
            <w:gridSpan w:val="3"/>
            <w:tcBorders>
              <w:tl2br w:val="nil"/>
              <w:tr2bl w:val="nil"/>
            </w:tcBorders>
            <w:vAlign w:val="center"/>
          </w:tcPr>
          <w:p>
            <w:pPr>
              <w:spacing w:line="240" w:lineRule="auto"/>
              <w:jc w:val="center"/>
              <w:rPr>
                <w:rFonts w:hint="eastAsia" w:eastAsiaTheme="minorEastAsia"/>
                <w:b/>
                <w:bCs/>
                <w:sz w:val="21"/>
                <w:szCs w:val="21"/>
              </w:rPr>
            </w:pPr>
            <w:r>
              <w:rPr>
                <w:rFonts w:hint="eastAsia" w:eastAsiaTheme="minorEastAsia"/>
                <w:b/>
                <w:bCs/>
                <w:sz w:val="21"/>
                <w:szCs w:val="21"/>
              </w:rPr>
              <w:t>工程内容</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trPr>
        <w:tc>
          <w:tcPr>
            <w:tcW w:w="754" w:type="dxa"/>
            <w:vMerge w:val="restart"/>
            <w:tcBorders>
              <w:tl2br w:val="nil"/>
              <w:tr2bl w:val="nil"/>
            </w:tcBorders>
            <w:vAlign w:val="center"/>
          </w:tcPr>
          <w:p>
            <w:pPr>
              <w:pStyle w:val="141"/>
              <w:spacing w:line="240" w:lineRule="auto"/>
              <w:ind w:left="151" w:right="133"/>
              <w:jc w:val="center"/>
              <w:rPr>
                <w:rFonts w:ascii="宋体" w:hAnsi="宋体" w:eastAsia="宋体" w:cs="宋体"/>
                <w:sz w:val="21"/>
                <w:szCs w:val="21"/>
              </w:rPr>
            </w:pPr>
            <w:r>
              <w:rPr>
                <w:rFonts w:ascii="宋体" w:hAnsi="宋体" w:eastAsia="宋体" w:cs="宋体"/>
                <w:sz w:val="21"/>
                <w:szCs w:val="21"/>
              </w:rPr>
              <w:t>主体工程</w:t>
            </w:r>
          </w:p>
        </w:tc>
        <w:tc>
          <w:tcPr>
            <w:tcW w:w="1665" w:type="dxa"/>
            <w:gridSpan w:val="2"/>
            <w:tcBorders>
              <w:tl2br w:val="nil"/>
              <w:tr2bl w:val="nil"/>
            </w:tcBorders>
            <w:vAlign w:val="center"/>
          </w:tcPr>
          <w:p>
            <w:pPr>
              <w:spacing w:line="240" w:lineRule="auto"/>
              <w:jc w:val="center"/>
              <w:rPr>
                <w:rFonts w:hint="eastAsia" w:eastAsiaTheme="minorEastAsia"/>
                <w:sz w:val="21"/>
                <w:szCs w:val="21"/>
              </w:rPr>
            </w:pPr>
            <w:r>
              <w:rPr>
                <w:rFonts w:hint="eastAsia" w:eastAsiaTheme="minorEastAsia"/>
                <w:sz w:val="21"/>
                <w:szCs w:val="21"/>
              </w:rPr>
              <w:t>前处理单元</w:t>
            </w:r>
          </w:p>
        </w:tc>
        <w:tc>
          <w:tcPr>
            <w:tcW w:w="6661" w:type="dxa"/>
            <w:tcBorders>
              <w:tl2br w:val="nil"/>
              <w:tr2bl w:val="nil"/>
            </w:tcBorders>
            <w:vAlign w:val="center"/>
          </w:tcPr>
          <w:p>
            <w:pPr>
              <w:spacing w:line="240" w:lineRule="auto"/>
              <w:jc w:val="left"/>
              <w:rPr>
                <w:rFonts w:hint="eastAsia" w:eastAsiaTheme="minorEastAsia"/>
                <w:sz w:val="21"/>
                <w:szCs w:val="21"/>
              </w:rPr>
            </w:pPr>
            <w:r>
              <w:rPr>
                <w:rFonts w:hint="eastAsia" w:eastAsiaTheme="minorEastAsia"/>
                <w:sz w:val="21"/>
                <w:szCs w:val="21"/>
              </w:rPr>
              <w:t>2座原污泥泥仓（4.2m×4.5m×5.6m梯形池体，有效容积40m3），2座预热池（7.8m×4.5m×5.6m方形池体，有效容积160m3），2座泥浆池（7.8m×4.5m×5.6m方形池体，有效容积160m3）；4座备用池，其中3座为梯形池体（4.2m×4.5m×5.6m，有效容积40m3），1座为方形池体（7.8m×4.5m×5.6m，有效容积160m3）；1个泵房（4.2m×4.5m×5.6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trPr>
        <w:tc>
          <w:tcPr>
            <w:tcW w:w="754" w:type="dxa"/>
            <w:vMerge w:val="continue"/>
            <w:tcBorders>
              <w:tl2br w:val="nil"/>
              <w:tr2bl w:val="nil"/>
            </w:tcBorders>
            <w:vAlign w:val="center"/>
          </w:tcPr>
          <w:p>
            <w:pPr>
              <w:spacing w:line="240" w:lineRule="auto"/>
              <w:jc w:val="center"/>
              <w:rPr>
                <w:sz w:val="21"/>
                <w:szCs w:val="21"/>
              </w:rPr>
            </w:pPr>
          </w:p>
        </w:tc>
        <w:tc>
          <w:tcPr>
            <w:tcW w:w="1665" w:type="dxa"/>
            <w:gridSpan w:val="2"/>
            <w:tcBorders>
              <w:tl2br w:val="nil"/>
              <w:tr2bl w:val="nil"/>
            </w:tcBorders>
            <w:vAlign w:val="center"/>
          </w:tcPr>
          <w:p>
            <w:pPr>
              <w:spacing w:line="240" w:lineRule="auto"/>
              <w:jc w:val="center"/>
              <w:rPr>
                <w:rFonts w:hint="eastAsia" w:eastAsiaTheme="minorEastAsia"/>
                <w:sz w:val="21"/>
                <w:szCs w:val="21"/>
              </w:rPr>
            </w:pPr>
            <w:r>
              <w:rPr>
                <w:rFonts w:hint="eastAsia" w:eastAsiaTheme="minorEastAsia"/>
                <w:sz w:val="21"/>
                <w:szCs w:val="21"/>
              </w:rPr>
              <w:t>热水解处理站</w:t>
            </w:r>
          </w:p>
        </w:tc>
        <w:tc>
          <w:tcPr>
            <w:tcW w:w="6661" w:type="dxa"/>
            <w:tcBorders>
              <w:tl2br w:val="nil"/>
              <w:tr2bl w:val="nil"/>
            </w:tcBorders>
            <w:vAlign w:val="center"/>
          </w:tcPr>
          <w:p>
            <w:pPr>
              <w:spacing w:line="240" w:lineRule="auto"/>
              <w:jc w:val="left"/>
              <w:rPr>
                <w:rFonts w:hint="eastAsia" w:eastAsiaTheme="minorEastAsia"/>
                <w:sz w:val="21"/>
                <w:szCs w:val="21"/>
              </w:rPr>
            </w:pPr>
            <w:r>
              <w:rPr>
                <w:rFonts w:hint="eastAsia" w:eastAsiaTheme="minorEastAsia"/>
                <w:sz w:val="21"/>
                <w:szCs w:val="21"/>
              </w:rPr>
              <w:t>2个热水解反应器（单个反应器规格为∅1800，11m3），2个预热反应器（单个反应器规格为∅2300，23m3），4个闪蒸反应器（单个反应器规格为∅1600，8m3），2个旋流除砂器（单个除砂器处理能力为15m3/h），1个工业型冷却塔（循环冷却水量340t/h）</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trPr>
        <w:tc>
          <w:tcPr>
            <w:tcW w:w="754" w:type="dxa"/>
            <w:vMerge w:val="continue"/>
            <w:tcBorders>
              <w:tl2br w:val="nil"/>
              <w:tr2bl w:val="nil"/>
            </w:tcBorders>
            <w:vAlign w:val="center"/>
          </w:tcPr>
          <w:p>
            <w:pPr>
              <w:spacing w:line="240" w:lineRule="auto"/>
              <w:jc w:val="center"/>
              <w:rPr>
                <w:sz w:val="21"/>
                <w:szCs w:val="21"/>
              </w:rPr>
            </w:pPr>
          </w:p>
        </w:tc>
        <w:tc>
          <w:tcPr>
            <w:tcW w:w="1665" w:type="dxa"/>
            <w:gridSpan w:val="2"/>
            <w:tcBorders>
              <w:tl2br w:val="nil"/>
              <w:tr2bl w:val="nil"/>
            </w:tcBorders>
            <w:vAlign w:val="center"/>
          </w:tcPr>
          <w:p>
            <w:pPr>
              <w:spacing w:line="240" w:lineRule="auto"/>
              <w:jc w:val="center"/>
              <w:rPr>
                <w:rFonts w:hint="eastAsia" w:eastAsiaTheme="minorEastAsia"/>
                <w:sz w:val="21"/>
                <w:szCs w:val="21"/>
              </w:rPr>
            </w:pPr>
            <w:r>
              <w:rPr>
                <w:rFonts w:hint="eastAsia" w:eastAsiaTheme="minorEastAsia"/>
                <w:sz w:val="21"/>
                <w:szCs w:val="21"/>
              </w:rPr>
              <w:t>厌氧罐区</w:t>
            </w:r>
          </w:p>
        </w:tc>
        <w:tc>
          <w:tcPr>
            <w:tcW w:w="6661" w:type="dxa"/>
            <w:tcBorders>
              <w:tl2br w:val="nil"/>
              <w:tr2bl w:val="nil"/>
            </w:tcBorders>
            <w:vAlign w:val="center"/>
          </w:tcPr>
          <w:p>
            <w:pPr>
              <w:spacing w:line="240" w:lineRule="auto"/>
              <w:jc w:val="left"/>
              <w:rPr>
                <w:rFonts w:hint="eastAsia" w:eastAsiaTheme="minorEastAsia"/>
                <w:sz w:val="21"/>
                <w:szCs w:val="21"/>
              </w:rPr>
            </w:pPr>
            <w:r>
              <w:rPr>
                <w:rFonts w:hint="eastAsia" w:eastAsiaTheme="minorEastAsia"/>
                <w:sz w:val="21"/>
                <w:szCs w:val="21"/>
              </w:rPr>
              <w:t>Lipp消化罐6个（单个罐体直径16m，高15m，有效高度11.2m，有效容积2230m3，罐内设有500m3常压沼气集气囊）</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trPr>
        <w:tc>
          <w:tcPr>
            <w:tcW w:w="754" w:type="dxa"/>
            <w:vMerge w:val="continue"/>
            <w:tcBorders>
              <w:tl2br w:val="nil"/>
              <w:tr2bl w:val="nil"/>
            </w:tcBorders>
            <w:vAlign w:val="center"/>
          </w:tcPr>
          <w:p>
            <w:pPr>
              <w:spacing w:line="240" w:lineRule="auto"/>
              <w:jc w:val="center"/>
              <w:rPr>
                <w:sz w:val="21"/>
                <w:szCs w:val="21"/>
              </w:rPr>
            </w:pPr>
          </w:p>
        </w:tc>
        <w:tc>
          <w:tcPr>
            <w:tcW w:w="1665" w:type="dxa"/>
            <w:gridSpan w:val="2"/>
            <w:tcBorders>
              <w:tl2br w:val="nil"/>
              <w:tr2bl w:val="nil"/>
            </w:tcBorders>
            <w:vAlign w:val="center"/>
          </w:tcPr>
          <w:p>
            <w:pPr>
              <w:spacing w:line="240" w:lineRule="auto"/>
              <w:jc w:val="center"/>
              <w:rPr>
                <w:rFonts w:hint="eastAsia" w:eastAsiaTheme="minorEastAsia"/>
                <w:sz w:val="21"/>
                <w:szCs w:val="21"/>
              </w:rPr>
            </w:pPr>
            <w:r>
              <w:rPr>
                <w:rFonts w:hint="eastAsia" w:eastAsiaTheme="minorEastAsia"/>
                <w:sz w:val="21"/>
                <w:szCs w:val="21"/>
              </w:rPr>
              <w:t>脱水单元</w:t>
            </w:r>
          </w:p>
        </w:tc>
        <w:tc>
          <w:tcPr>
            <w:tcW w:w="6661" w:type="dxa"/>
            <w:tcBorders>
              <w:tl2br w:val="nil"/>
              <w:tr2bl w:val="nil"/>
            </w:tcBorders>
            <w:vAlign w:val="center"/>
          </w:tcPr>
          <w:p>
            <w:pPr>
              <w:spacing w:line="240" w:lineRule="auto"/>
              <w:jc w:val="left"/>
              <w:rPr>
                <w:rFonts w:hint="eastAsia" w:eastAsiaTheme="minorEastAsia"/>
                <w:sz w:val="21"/>
                <w:szCs w:val="21"/>
              </w:rPr>
            </w:pPr>
            <w:r>
              <w:rPr>
                <w:rFonts w:hint="eastAsia" w:eastAsiaTheme="minorEastAsia"/>
                <w:sz w:val="21"/>
                <w:szCs w:val="21"/>
              </w:rPr>
              <w:t>消化污泥贮池2座（13.8m×6.0m×6.0m方形池体，有效容积420m3），沼液缓冲池（15.0m×13.9m×6.0m方形池体，有效容积1000m3）；污泥调配池（7.2m×6.0m×5.0m方形池体，有效容积170m3）和沼液沉淀池（15m</w:t>
            </w:r>
          </w:p>
          <w:p>
            <w:pPr>
              <w:spacing w:line="240" w:lineRule="auto"/>
              <w:jc w:val="left"/>
              <w:rPr>
                <w:rFonts w:hint="eastAsia" w:eastAsiaTheme="minorEastAsia"/>
                <w:sz w:val="21"/>
                <w:szCs w:val="21"/>
              </w:rPr>
            </w:pPr>
            <w:r>
              <w:rPr>
                <w:rFonts w:hint="eastAsia" w:eastAsiaTheme="minorEastAsia"/>
                <w:sz w:val="21"/>
                <w:szCs w:val="21"/>
              </w:rPr>
              <w:t>×7.2m×6.0m方形池体，有效容积300m3）不再使用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trPr>
        <w:tc>
          <w:tcPr>
            <w:tcW w:w="754" w:type="dxa"/>
            <w:vMerge w:val="continue"/>
            <w:tcBorders>
              <w:tl2br w:val="nil"/>
              <w:tr2bl w:val="nil"/>
            </w:tcBorders>
            <w:vAlign w:val="center"/>
          </w:tcPr>
          <w:p>
            <w:pPr>
              <w:spacing w:line="240" w:lineRule="auto"/>
              <w:jc w:val="center"/>
              <w:rPr>
                <w:sz w:val="21"/>
                <w:szCs w:val="21"/>
              </w:rPr>
            </w:pPr>
          </w:p>
        </w:tc>
        <w:tc>
          <w:tcPr>
            <w:tcW w:w="1665" w:type="dxa"/>
            <w:gridSpan w:val="2"/>
            <w:tcBorders>
              <w:tl2br w:val="nil"/>
              <w:tr2bl w:val="nil"/>
            </w:tcBorders>
            <w:vAlign w:val="center"/>
          </w:tcPr>
          <w:p>
            <w:pPr>
              <w:spacing w:line="240" w:lineRule="auto"/>
              <w:jc w:val="center"/>
              <w:rPr>
                <w:rFonts w:hint="eastAsia" w:eastAsiaTheme="minorEastAsia"/>
                <w:sz w:val="21"/>
                <w:szCs w:val="21"/>
              </w:rPr>
            </w:pPr>
            <w:r>
              <w:rPr>
                <w:rFonts w:hint="eastAsia" w:eastAsiaTheme="minorEastAsia"/>
                <w:sz w:val="21"/>
                <w:szCs w:val="21"/>
              </w:rPr>
              <w:t>板框压滤间及泥棚</w:t>
            </w:r>
          </w:p>
        </w:tc>
        <w:tc>
          <w:tcPr>
            <w:tcW w:w="6661" w:type="dxa"/>
            <w:tcBorders>
              <w:tl2br w:val="nil"/>
              <w:tr2bl w:val="nil"/>
            </w:tcBorders>
            <w:vAlign w:val="center"/>
          </w:tcPr>
          <w:p>
            <w:pPr>
              <w:spacing w:line="240" w:lineRule="auto"/>
              <w:jc w:val="left"/>
              <w:rPr>
                <w:rFonts w:hint="eastAsia" w:eastAsiaTheme="minorEastAsia"/>
                <w:sz w:val="21"/>
                <w:szCs w:val="21"/>
              </w:rPr>
            </w:pPr>
            <w:r>
              <w:rPr>
                <w:rFonts w:hint="eastAsia" w:eastAsiaTheme="minorEastAsia"/>
                <w:sz w:val="21"/>
                <w:szCs w:val="21"/>
              </w:rPr>
              <w:t>3台板框压滤机（每台处理能力为14m3/d）及其配套设备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trPr>
        <w:tc>
          <w:tcPr>
            <w:tcW w:w="754" w:type="dxa"/>
            <w:vMerge w:val="restart"/>
            <w:tcBorders>
              <w:tl2br w:val="nil"/>
              <w:tr2bl w:val="nil"/>
            </w:tcBorders>
            <w:vAlign w:val="center"/>
          </w:tcPr>
          <w:p>
            <w:pPr>
              <w:pStyle w:val="141"/>
              <w:spacing w:line="240" w:lineRule="auto"/>
              <w:ind w:right="0"/>
              <w:jc w:val="center"/>
              <w:rPr>
                <w:rFonts w:ascii="Times New Roman" w:hAnsi="Times New Roman" w:eastAsia="Times New Roman" w:cs="Times New Roman"/>
                <w:sz w:val="21"/>
                <w:szCs w:val="21"/>
              </w:rPr>
            </w:pPr>
          </w:p>
          <w:p>
            <w:pPr>
              <w:pStyle w:val="141"/>
              <w:spacing w:line="240" w:lineRule="auto"/>
              <w:ind w:right="0"/>
              <w:jc w:val="center"/>
              <w:rPr>
                <w:rFonts w:ascii="Times New Roman" w:hAnsi="Times New Roman" w:eastAsia="Times New Roman" w:cs="Times New Roman"/>
                <w:sz w:val="21"/>
                <w:szCs w:val="21"/>
              </w:rPr>
            </w:pPr>
          </w:p>
          <w:p>
            <w:pPr>
              <w:pStyle w:val="141"/>
              <w:spacing w:before="2" w:line="240" w:lineRule="auto"/>
              <w:ind w:right="0"/>
              <w:jc w:val="center"/>
              <w:rPr>
                <w:rFonts w:ascii="Times New Roman" w:hAnsi="Times New Roman" w:eastAsia="Times New Roman" w:cs="Times New Roman"/>
                <w:sz w:val="21"/>
                <w:szCs w:val="21"/>
              </w:rPr>
            </w:pPr>
          </w:p>
          <w:p>
            <w:pPr>
              <w:pStyle w:val="141"/>
              <w:spacing w:line="240" w:lineRule="auto"/>
              <w:ind w:left="151" w:leftChars="0" w:right="126" w:rightChars="0"/>
              <w:jc w:val="center"/>
              <w:rPr>
                <w:sz w:val="21"/>
                <w:szCs w:val="21"/>
              </w:rPr>
            </w:pPr>
            <w:r>
              <w:rPr>
                <w:rFonts w:ascii="宋体" w:hAnsi="宋体" w:eastAsia="宋体" w:cs="宋体"/>
                <w:sz w:val="21"/>
                <w:szCs w:val="21"/>
              </w:rPr>
              <w:t>辅助工程</w:t>
            </w:r>
          </w:p>
        </w:tc>
        <w:tc>
          <w:tcPr>
            <w:tcW w:w="1665" w:type="dxa"/>
            <w:gridSpan w:val="2"/>
            <w:tcBorders>
              <w:tl2br w:val="nil"/>
              <w:tr2bl w:val="nil"/>
            </w:tcBorders>
            <w:vAlign w:val="center"/>
          </w:tcPr>
          <w:p>
            <w:pPr>
              <w:spacing w:line="240" w:lineRule="auto"/>
              <w:jc w:val="center"/>
              <w:rPr>
                <w:rFonts w:hint="eastAsia" w:eastAsiaTheme="minorEastAsia"/>
                <w:sz w:val="21"/>
                <w:szCs w:val="21"/>
              </w:rPr>
            </w:pPr>
            <w:r>
              <w:rPr>
                <w:rFonts w:hint="eastAsia" w:eastAsiaTheme="minorEastAsia"/>
                <w:sz w:val="21"/>
                <w:szCs w:val="21"/>
              </w:rPr>
              <w:t>沼气净化压缩</w:t>
            </w:r>
          </w:p>
          <w:p>
            <w:pPr>
              <w:spacing w:line="240" w:lineRule="auto"/>
              <w:jc w:val="center"/>
              <w:rPr>
                <w:rFonts w:hint="eastAsia" w:eastAsiaTheme="minorEastAsia"/>
                <w:sz w:val="21"/>
                <w:szCs w:val="21"/>
              </w:rPr>
            </w:pPr>
            <w:r>
              <w:rPr>
                <w:rFonts w:hint="eastAsia" w:eastAsiaTheme="minorEastAsia"/>
                <w:sz w:val="21"/>
                <w:szCs w:val="21"/>
              </w:rPr>
              <w:t>处理单元</w:t>
            </w:r>
          </w:p>
        </w:tc>
        <w:tc>
          <w:tcPr>
            <w:tcW w:w="6661" w:type="dxa"/>
            <w:tcBorders>
              <w:tl2br w:val="nil"/>
              <w:tr2bl w:val="nil"/>
            </w:tcBorders>
            <w:vAlign w:val="center"/>
          </w:tcPr>
          <w:p>
            <w:pPr>
              <w:spacing w:line="240" w:lineRule="auto"/>
              <w:jc w:val="left"/>
              <w:rPr>
                <w:rFonts w:hint="eastAsia" w:eastAsiaTheme="minorEastAsia"/>
                <w:sz w:val="21"/>
                <w:szCs w:val="21"/>
              </w:rPr>
            </w:pPr>
            <w:r>
              <w:rPr>
                <w:rFonts w:hint="eastAsia" w:eastAsiaTheme="minorEastAsia"/>
                <w:sz w:val="21"/>
                <w:szCs w:val="21"/>
              </w:rPr>
              <w:t>干燥脱硫系统1套，∅2000×10000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trPr>
        <w:tc>
          <w:tcPr>
            <w:tcW w:w="754" w:type="dxa"/>
            <w:vMerge w:val="continue"/>
            <w:tcBorders>
              <w:tl2br w:val="nil"/>
              <w:tr2bl w:val="nil"/>
            </w:tcBorders>
            <w:vAlign w:val="center"/>
          </w:tcPr>
          <w:p>
            <w:pPr>
              <w:spacing w:line="240" w:lineRule="auto"/>
              <w:jc w:val="center"/>
              <w:rPr>
                <w:sz w:val="21"/>
                <w:szCs w:val="21"/>
              </w:rPr>
            </w:pPr>
          </w:p>
        </w:tc>
        <w:tc>
          <w:tcPr>
            <w:tcW w:w="1665" w:type="dxa"/>
            <w:gridSpan w:val="2"/>
            <w:tcBorders>
              <w:tl2br w:val="nil"/>
              <w:tr2bl w:val="nil"/>
            </w:tcBorders>
            <w:vAlign w:val="center"/>
          </w:tcPr>
          <w:p>
            <w:pPr>
              <w:spacing w:line="240" w:lineRule="auto"/>
              <w:jc w:val="center"/>
              <w:rPr>
                <w:rFonts w:hint="eastAsia" w:eastAsiaTheme="minorEastAsia"/>
                <w:sz w:val="21"/>
                <w:szCs w:val="21"/>
              </w:rPr>
            </w:pPr>
            <w:r>
              <w:rPr>
                <w:rFonts w:hint="eastAsia" w:eastAsiaTheme="minorEastAsia"/>
                <w:sz w:val="21"/>
                <w:szCs w:val="21"/>
              </w:rPr>
              <w:t>锅炉房</w:t>
            </w:r>
          </w:p>
        </w:tc>
        <w:tc>
          <w:tcPr>
            <w:tcW w:w="6661" w:type="dxa"/>
            <w:tcBorders>
              <w:tl2br w:val="nil"/>
              <w:tr2bl w:val="nil"/>
            </w:tcBorders>
            <w:vAlign w:val="center"/>
          </w:tcPr>
          <w:p>
            <w:pPr>
              <w:spacing w:line="240" w:lineRule="auto"/>
              <w:jc w:val="left"/>
              <w:rPr>
                <w:rFonts w:hint="eastAsia" w:eastAsiaTheme="minorEastAsia"/>
                <w:sz w:val="21"/>
                <w:szCs w:val="21"/>
              </w:rPr>
            </w:pPr>
            <w:r>
              <w:rPr>
                <w:rFonts w:hint="eastAsia" w:eastAsiaTheme="minorEastAsia"/>
                <w:sz w:val="21"/>
                <w:szCs w:val="21"/>
              </w:rPr>
              <w:t>蒸汽锅炉3台（本项目锅炉均为临时锅炉，待集中供热后需关闭停用），额定蒸发量均为4t/h，工作时间均为8h/d</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trPr>
        <w:tc>
          <w:tcPr>
            <w:tcW w:w="754" w:type="dxa"/>
            <w:vMerge w:val="continue"/>
            <w:tcBorders>
              <w:tl2br w:val="nil"/>
              <w:tr2bl w:val="nil"/>
            </w:tcBorders>
            <w:vAlign w:val="center"/>
          </w:tcPr>
          <w:p>
            <w:pPr>
              <w:spacing w:line="240" w:lineRule="auto"/>
              <w:jc w:val="center"/>
              <w:rPr>
                <w:sz w:val="21"/>
                <w:szCs w:val="21"/>
              </w:rPr>
            </w:pPr>
          </w:p>
        </w:tc>
        <w:tc>
          <w:tcPr>
            <w:tcW w:w="1665" w:type="dxa"/>
            <w:gridSpan w:val="2"/>
            <w:tcBorders>
              <w:tl2br w:val="nil"/>
              <w:tr2bl w:val="nil"/>
            </w:tcBorders>
            <w:vAlign w:val="center"/>
          </w:tcPr>
          <w:p>
            <w:pPr>
              <w:spacing w:line="240" w:lineRule="auto"/>
              <w:jc w:val="center"/>
              <w:rPr>
                <w:rFonts w:hint="eastAsia" w:eastAsiaTheme="minorEastAsia"/>
                <w:sz w:val="21"/>
                <w:szCs w:val="21"/>
              </w:rPr>
            </w:pPr>
            <w:r>
              <w:rPr>
                <w:rFonts w:hint="eastAsia" w:eastAsiaTheme="minorEastAsia"/>
                <w:sz w:val="21"/>
                <w:szCs w:val="21"/>
              </w:rPr>
              <w:t>变电房</w:t>
            </w:r>
          </w:p>
        </w:tc>
        <w:tc>
          <w:tcPr>
            <w:tcW w:w="6661" w:type="dxa"/>
            <w:tcBorders>
              <w:tl2br w:val="nil"/>
              <w:tr2bl w:val="nil"/>
            </w:tcBorders>
            <w:vAlign w:val="center"/>
          </w:tcPr>
          <w:p>
            <w:pPr>
              <w:spacing w:line="240" w:lineRule="auto"/>
              <w:jc w:val="left"/>
              <w:rPr>
                <w:rFonts w:hint="eastAsia" w:eastAsiaTheme="minorEastAsia"/>
                <w:sz w:val="21"/>
                <w:szCs w:val="21"/>
              </w:rPr>
            </w:pPr>
            <w:r>
              <w:rPr>
                <w:rFonts w:hint="eastAsia" w:eastAsiaTheme="minorEastAsia"/>
                <w:sz w:val="21"/>
                <w:szCs w:val="21"/>
              </w:rPr>
              <w:t>电力控制系统</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trPr>
        <w:tc>
          <w:tcPr>
            <w:tcW w:w="754" w:type="dxa"/>
            <w:vMerge w:val="continue"/>
            <w:tcBorders>
              <w:tl2br w:val="nil"/>
              <w:tr2bl w:val="nil"/>
            </w:tcBorders>
            <w:vAlign w:val="center"/>
          </w:tcPr>
          <w:p>
            <w:pPr>
              <w:spacing w:line="240" w:lineRule="auto"/>
              <w:jc w:val="center"/>
              <w:rPr>
                <w:sz w:val="21"/>
                <w:szCs w:val="21"/>
              </w:rPr>
            </w:pPr>
          </w:p>
        </w:tc>
        <w:tc>
          <w:tcPr>
            <w:tcW w:w="1665" w:type="dxa"/>
            <w:gridSpan w:val="2"/>
            <w:tcBorders>
              <w:tl2br w:val="nil"/>
              <w:tr2bl w:val="nil"/>
            </w:tcBorders>
            <w:vAlign w:val="center"/>
          </w:tcPr>
          <w:p>
            <w:pPr>
              <w:spacing w:line="240" w:lineRule="auto"/>
              <w:jc w:val="center"/>
              <w:rPr>
                <w:rFonts w:hint="eastAsia" w:eastAsiaTheme="minorEastAsia"/>
                <w:sz w:val="21"/>
                <w:szCs w:val="21"/>
              </w:rPr>
            </w:pPr>
            <w:r>
              <w:rPr>
                <w:rFonts w:hint="eastAsia" w:eastAsiaTheme="minorEastAsia"/>
                <w:sz w:val="21"/>
                <w:szCs w:val="21"/>
              </w:rPr>
              <w:t>地磅</w:t>
            </w:r>
          </w:p>
        </w:tc>
        <w:tc>
          <w:tcPr>
            <w:tcW w:w="6661" w:type="dxa"/>
            <w:tcBorders>
              <w:tl2br w:val="nil"/>
              <w:tr2bl w:val="nil"/>
            </w:tcBorders>
            <w:vAlign w:val="center"/>
          </w:tcPr>
          <w:p>
            <w:pPr>
              <w:spacing w:line="240" w:lineRule="auto"/>
              <w:jc w:val="left"/>
              <w:rPr>
                <w:rFonts w:hint="eastAsia" w:eastAsiaTheme="minorEastAsia"/>
                <w:sz w:val="21"/>
                <w:szCs w:val="21"/>
              </w:rPr>
            </w:pPr>
            <w:r>
              <w:rPr>
                <w:rFonts w:hint="eastAsia" w:eastAsiaTheme="minorEastAsia"/>
                <w:sz w:val="21"/>
                <w:szCs w:val="21"/>
              </w:rPr>
              <w:t>40t电子汽车衡1台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trPr>
        <w:tc>
          <w:tcPr>
            <w:tcW w:w="754" w:type="dxa"/>
            <w:vMerge w:val="restart"/>
            <w:tcBorders>
              <w:tl2br w:val="nil"/>
              <w:tr2bl w:val="nil"/>
            </w:tcBorders>
            <w:vAlign w:val="center"/>
          </w:tcPr>
          <w:p>
            <w:pPr>
              <w:pStyle w:val="141"/>
              <w:spacing w:line="240" w:lineRule="auto"/>
              <w:ind w:right="0"/>
              <w:jc w:val="center"/>
              <w:rPr>
                <w:rFonts w:ascii="Times New Roman" w:hAnsi="Times New Roman" w:eastAsia="Times New Roman" w:cs="Times New Roman"/>
                <w:sz w:val="21"/>
                <w:szCs w:val="21"/>
              </w:rPr>
            </w:pPr>
          </w:p>
          <w:p>
            <w:pPr>
              <w:pStyle w:val="141"/>
              <w:spacing w:line="240" w:lineRule="auto"/>
              <w:ind w:right="0"/>
              <w:jc w:val="center"/>
              <w:rPr>
                <w:rFonts w:ascii="Times New Roman" w:hAnsi="Times New Roman" w:eastAsia="Times New Roman" w:cs="Times New Roman"/>
                <w:sz w:val="21"/>
                <w:szCs w:val="21"/>
              </w:rPr>
            </w:pPr>
          </w:p>
          <w:p>
            <w:pPr>
              <w:pStyle w:val="141"/>
              <w:spacing w:before="5" w:line="240" w:lineRule="auto"/>
              <w:ind w:right="0"/>
              <w:jc w:val="center"/>
              <w:rPr>
                <w:rFonts w:ascii="Times New Roman" w:hAnsi="Times New Roman" w:eastAsia="Times New Roman" w:cs="Times New Roman"/>
                <w:sz w:val="21"/>
                <w:szCs w:val="21"/>
              </w:rPr>
            </w:pPr>
          </w:p>
          <w:p>
            <w:pPr>
              <w:pStyle w:val="141"/>
              <w:spacing w:line="240" w:lineRule="auto"/>
              <w:ind w:left="151" w:leftChars="0" w:right="126" w:rightChars="0"/>
              <w:jc w:val="center"/>
              <w:rPr>
                <w:sz w:val="21"/>
                <w:szCs w:val="21"/>
              </w:rPr>
            </w:pPr>
            <w:r>
              <w:rPr>
                <w:rFonts w:ascii="宋体" w:hAnsi="宋体" w:eastAsia="宋体" w:cs="宋体"/>
                <w:sz w:val="21"/>
                <w:szCs w:val="21"/>
              </w:rPr>
              <w:t>公用工程</w:t>
            </w:r>
          </w:p>
        </w:tc>
        <w:tc>
          <w:tcPr>
            <w:tcW w:w="1665" w:type="dxa"/>
            <w:gridSpan w:val="2"/>
            <w:tcBorders>
              <w:tl2br w:val="nil"/>
              <w:tr2bl w:val="nil"/>
            </w:tcBorders>
            <w:vAlign w:val="center"/>
          </w:tcPr>
          <w:p>
            <w:pPr>
              <w:spacing w:line="240" w:lineRule="auto"/>
              <w:jc w:val="center"/>
              <w:rPr>
                <w:rFonts w:hint="eastAsia" w:eastAsiaTheme="minorEastAsia"/>
                <w:sz w:val="21"/>
                <w:szCs w:val="21"/>
              </w:rPr>
            </w:pPr>
            <w:r>
              <w:rPr>
                <w:rFonts w:hint="eastAsia" w:eastAsiaTheme="minorEastAsia"/>
                <w:sz w:val="21"/>
                <w:szCs w:val="21"/>
              </w:rPr>
              <w:t>供配电系统</w:t>
            </w:r>
          </w:p>
        </w:tc>
        <w:tc>
          <w:tcPr>
            <w:tcW w:w="6661" w:type="dxa"/>
            <w:tcBorders>
              <w:tl2br w:val="nil"/>
              <w:tr2bl w:val="nil"/>
            </w:tcBorders>
            <w:vAlign w:val="center"/>
          </w:tcPr>
          <w:p>
            <w:pPr>
              <w:spacing w:line="240" w:lineRule="auto"/>
              <w:jc w:val="left"/>
              <w:rPr>
                <w:rFonts w:hint="eastAsia" w:eastAsiaTheme="minorEastAsia"/>
                <w:sz w:val="21"/>
                <w:szCs w:val="21"/>
              </w:rPr>
            </w:pPr>
            <w:r>
              <w:rPr>
                <w:rFonts w:hint="eastAsia" w:eastAsiaTheme="minorEastAsia"/>
                <w:sz w:val="21"/>
                <w:szCs w:val="21"/>
              </w:rPr>
              <w:t>市政电网供给，250万度/年，设一台60kW备用柴油发电机</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trPr>
        <w:tc>
          <w:tcPr>
            <w:tcW w:w="754" w:type="dxa"/>
            <w:vMerge w:val="continue"/>
            <w:tcBorders>
              <w:tl2br w:val="nil"/>
              <w:tr2bl w:val="nil"/>
            </w:tcBorders>
            <w:vAlign w:val="center"/>
          </w:tcPr>
          <w:p>
            <w:pPr>
              <w:spacing w:line="240" w:lineRule="auto"/>
              <w:jc w:val="center"/>
              <w:rPr>
                <w:sz w:val="21"/>
                <w:szCs w:val="21"/>
              </w:rPr>
            </w:pPr>
          </w:p>
        </w:tc>
        <w:tc>
          <w:tcPr>
            <w:tcW w:w="1665" w:type="dxa"/>
            <w:gridSpan w:val="2"/>
            <w:tcBorders>
              <w:tl2br w:val="nil"/>
              <w:tr2bl w:val="nil"/>
            </w:tcBorders>
            <w:vAlign w:val="center"/>
          </w:tcPr>
          <w:p>
            <w:pPr>
              <w:spacing w:line="240" w:lineRule="auto"/>
              <w:jc w:val="center"/>
              <w:rPr>
                <w:rFonts w:hint="eastAsia" w:eastAsiaTheme="minorEastAsia"/>
                <w:sz w:val="21"/>
                <w:szCs w:val="21"/>
              </w:rPr>
            </w:pPr>
            <w:r>
              <w:rPr>
                <w:rFonts w:hint="eastAsia" w:eastAsiaTheme="minorEastAsia"/>
                <w:sz w:val="21"/>
                <w:szCs w:val="21"/>
              </w:rPr>
              <w:t>生活供排水管网</w:t>
            </w:r>
          </w:p>
        </w:tc>
        <w:tc>
          <w:tcPr>
            <w:tcW w:w="6661" w:type="dxa"/>
            <w:tcBorders>
              <w:tl2br w:val="nil"/>
              <w:tr2bl w:val="nil"/>
            </w:tcBorders>
            <w:vAlign w:val="center"/>
          </w:tcPr>
          <w:p>
            <w:pPr>
              <w:spacing w:line="240" w:lineRule="auto"/>
              <w:jc w:val="left"/>
              <w:rPr>
                <w:rFonts w:hint="eastAsia" w:eastAsiaTheme="minorEastAsia"/>
                <w:sz w:val="21"/>
                <w:szCs w:val="21"/>
              </w:rPr>
            </w:pPr>
            <w:r>
              <w:rPr>
                <w:rFonts w:hint="eastAsia" w:eastAsiaTheme="minorEastAsia"/>
                <w:sz w:val="21"/>
                <w:szCs w:val="21"/>
              </w:rPr>
              <w:t>市政自来水管网，15m3/d（5475m3/a）</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trPr>
        <w:tc>
          <w:tcPr>
            <w:tcW w:w="754" w:type="dxa"/>
            <w:vMerge w:val="continue"/>
            <w:tcBorders>
              <w:tl2br w:val="nil"/>
              <w:tr2bl w:val="nil"/>
            </w:tcBorders>
            <w:vAlign w:val="center"/>
          </w:tcPr>
          <w:p>
            <w:pPr>
              <w:spacing w:line="240" w:lineRule="auto"/>
              <w:jc w:val="center"/>
              <w:rPr>
                <w:sz w:val="21"/>
                <w:szCs w:val="21"/>
              </w:rPr>
            </w:pPr>
          </w:p>
        </w:tc>
        <w:tc>
          <w:tcPr>
            <w:tcW w:w="1665" w:type="dxa"/>
            <w:gridSpan w:val="2"/>
            <w:tcBorders>
              <w:tl2br w:val="nil"/>
              <w:tr2bl w:val="nil"/>
            </w:tcBorders>
            <w:vAlign w:val="center"/>
          </w:tcPr>
          <w:p>
            <w:pPr>
              <w:spacing w:line="240" w:lineRule="auto"/>
              <w:jc w:val="center"/>
              <w:rPr>
                <w:rFonts w:hint="eastAsia" w:eastAsiaTheme="minorEastAsia"/>
                <w:sz w:val="21"/>
                <w:szCs w:val="21"/>
              </w:rPr>
            </w:pPr>
            <w:r>
              <w:rPr>
                <w:rFonts w:hint="eastAsia" w:eastAsiaTheme="minorEastAsia"/>
                <w:sz w:val="21"/>
                <w:szCs w:val="21"/>
              </w:rPr>
              <w:t>工业供排水管网</w:t>
            </w:r>
          </w:p>
        </w:tc>
        <w:tc>
          <w:tcPr>
            <w:tcW w:w="6661" w:type="dxa"/>
            <w:tcBorders>
              <w:tl2br w:val="nil"/>
              <w:tr2bl w:val="nil"/>
            </w:tcBorders>
            <w:vAlign w:val="center"/>
          </w:tcPr>
          <w:p>
            <w:pPr>
              <w:spacing w:line="240" w:lineRule="auto"/>
              <w:jc w:val="left"/>
              <w:rPr>
                <w:rFonts w:hint="eastAsia" w:eastAsiaTheme="minorEastAsia"/>
                <w:sz w:val="21"/>
                <w:szCs w:val="21"/>
              </w:rPr>
            </w:pPr>
            <w:r>
              <w:rPr>
                <w:rFonts w:hint="eastAsia" w:eastAsiaTheme="minorEastAsia"/>
                <w:sz w:val="21"/>
                <w:szCs w:val="21"/>
              </w:rPr>
              <w:t>市政自来水管网，325.6m3/d（118844m3/a）</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trPr>
        <w:tc>
          <w:tcPr>
            <w:tcW w:w="754" w:type="dxa"/>
            <w:vMerge w:val="continue"/>
            <w:tcBorders>
              <w:tl2br w:val="nil"/>
              <w:tr2bl w:val="nil"/>
            </w:tcBorders>
            <w:vAlign w:val="center"/>
          </w:tcPr>
          <w:p>
            <w:pPr>
              <w:spacing w:line="240" w:lineRule="auto"/>
              <w:jc w:val="center"/>
              <w:rPr>
                <w:sz w:val="21"/>
                <w:szCs w:val="21"/>
              </w:rPr>
            </w:pPr>
          </w:p>
        </w:tc>
        <w:tc>
          <w:tcPr>
            <w:tcW w:w="1665" w:type="dxa"/>
            <w:gridSpan w:val="2"/>
            <w:tcBorders>
              <w:tl2br w:val="nil"/>
              <w:tr2bl w:val="nil"/>
            </w:tcBorders>
            <w:vAlign w:val="center"/>
          </w:tcPr>
          <w:p>
            <w:pPr>
              <w:spacing w:line="240" w:lineRule="auto"/>
              <w:jc w:val="center"/>
              <w:rPr>
                <w:rFonts w:hint="eastAsia" w:eastAsiaTheme="minorEastAsia"/>
                <w:sz w:val="21"/>
                <w:szCs w:val="21"/>
              </w:rPr>
            </w:pPr>
            <w:r>
              <w:rPr>
                <w:rFonts w:hint="eastAsia" w:eastAsiaTheme="minorEastAsia"/>
                <w:sz w:val="21"/>
                <w:szCs w:val="21"/>
              </w:rPr>
              <w:t>工艺热能供给</w:t>
            </w:r>
          </w:p>
        </w:tc>
        <w:tc>
          <w:tcPr>
            <w:tcW w:w="6661" w:type="dxa"/>
            <w:tcBorders>
              <w:tl2br w:val="nil"/>
              <w:tr2bl w:val="nil"/>
            </w:tcBorders>
            <w:vAlign w:val="center"/>
          </w:tcPr>
          <w:p>
            <w:pPr>
              <w:spacing w:line="240" w:lineRule="auto"/>
              <w:jc w:val="left"/>
              <w:rPr>
                <w:rFonts w:hint="eastAsia" w:eastAsiaTheme="minorEastAsia"/>
                <w:sz w:val="21"/>
                <w:szCs w:val="21"/>
              </w:rPr>
            </w:pPr>
            <w:r>
              <w:rPr>
                <w:rFonts w:hint="eastAsia" w:eastAsiaTheme="minorEastAsia"/>
                <w:sz w:val="21"/>
                <w:szCs w:val="21"/>
              </w:rPr>
              <w:t>锅炉房蒸汽锅炉供给</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trPr>
        <w:tc>
          <w:tcPr>
            <w:tcW w:w="754" w:type="dxa"/>
            <w:vMerge w:val="continue"/>
            <w:tcBorders>
              <w:tl2br w:val="nil"/>
              <w:tr2bl w:val="nil"/>
            </w:tcBorders>
            <w:vAlign w:val="center"/>
          </w:tcPr>
          <w:p>
            <w:pPr>
              <w:spacing w:line="240" w:lineRule="auto"/>
              <w:jc w:val="center"/>
              <w:rPr>
                <w:sz w:val="21"/>
                <w:szCs w:val="21"/>
              </w:rPr>
            </w:pPr>
          </w:p>
        </w:tc>
        <w:tc>
          <w:tcPr>
            <w:tcW w:w="1665" w:type="dxa"/>
            <w:gridSpan w:val="2"/>
            <w:tcBorders>
              <w:tl2br w:val="nil"/>
              <w:tr2bl w:val="nil"/>
            </w:tcBorders>
            <w:vAlign w:val="center"/>
          </w:tcPr>
          <w:p>
            <w:pPr>
              <w:spacing w:line="240" w:lineRule="auto"/>
              <w:jc w:val="center"/>
              <w:rPr>
                <w:rFonts w:hint="eastAsia" w:eastAsiaTheme="minorEastAsia"/>
                <w:sz w:val="21"/>
                <w:szCs w:val="21"/>
              </w:rPr>
            </w:pPr>
            <w:r>
              <w:rPr>
                <w:rFonts w:hint="eastAsia" w:eastAsiaTheme="minorEastAsia"/>
                <w:sz w:val="21"/>
                <w:szCs w:val="21"/>
              </w:rPr>
              <w:t>消防泵房</w:t>
            </w:r>
          </w:p>
        </w:tc>
        <w:tc>
          <w:tcPr>
            <w:tcW w:w="6661" w:type="dxa"/>
            <w:tcBorders>
              <w:tl2br w:val="nil"/>
              <w:tr2bl w:val="nil"/>
            </w:tcBorders>
            <w:vAlign w:val="center"/>
          </w:tcPr>
          <w:p>
            <w:pPr>
              <w:spacing w:line="240" w:lineRule="auto"/>
              <w:jc w:val="left"/>
              <w:rPr>
                <w:rFonts w:hint="eastAsia" w:eastAsiaTheme="minorEastAsia"/>
                <w:sz w:val="21"/>
                <w:szCs w:val="21"/>
              </w:rPr>
            </w:pPr>
            <w:r>
              <w:rPr>
                <w:rFonts w:hint="eastAsia" w:eastAsiaTheme="minorEastAsia"/>
                <w:sz w:val="21"/>
                <w:szCs w:val="21"/>
              </w:rPr>
              <w:t>消防水池1个（20m×8m×1.5m方形池体，有效容积240m3）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trPr>
        <w:tc>
          <w:tcPr>
            <w:tcW w:w="754" w:type="dxa"/>
            <w:tcBorders>
              <w:tl2br w:val="nil"/>
              <w:tr2bl w:val="nil"/>
            </w:tcBorders>
            <w:vAlign w:val="center"/>
          </w:tcPr>
          <w:p>
            <w:pPr>
              <w:pStyle w:val="141"/>
              <w:spacing w:line="240" w:lineRule="auto"/>
              <w:ind w:left="151" w:leftChars="0" w:right="126" w:rightChars="0"/>
              <w:jc w:val="center"/>
              <w:rPr>
                <w:sz w:val="21"/>
                <w:szCs w:val="21"/>
              </w:rPr>
            </w:pPr>
            <w:r>
              <w:rPr>
                <w:rFonts w:ascii="宋体" w:hAnsi="宋体" w:eastAsia="宋体" w:cs="宋体"/>
                <w:sz w:val="21"/>
                <w:szCs w:val="21"/>
              </w:rPr>
              <w:t>行政生活设施</w:t>
            </w:r>
          </w:p>
        </w:tc>
        <w:tc>
          <w:tcPr>
            <w:tcW w:w="1665" w:type="dxa"/>
            <w:gridSpan w:val="2"/>
            <w:tcBorders>
              <w:tl2br w:val="nil"/>
              <w:tr2bl w:val="nil"/>
            </w:tcBorders>
            <w:vAlign w:val="center"/>
          </w:tcPr>
          <w:p>
            <w:pPr>
              <w:spacing w:line="240" w:lineRule="auto"/>
              <w:jc w:val="center"/>
              <w:rPr>
                <w:rFonts w:hint="eastAsia" w:eastAsiaTheme="minorEastAsia"/>
                <w:sz w:val="21"/>
                <w:szCs w:val="21"/>
              </w:rPr>
            </w:pPr>
            <w:r>
              <w:rPr>
                <w:rFonts w:hint="eastAsia" w:eastAsiaTheme="minorEastAsia"/>
                <w:sz w:val="21"/>
                <w:szCs w:val="21"/>
              </w:rPr>
              <w:t>综合楼</w:t>
            </w:r>
          </w:p>
        </w:tc>
        <w:tc>
          <w:tcPr>
            <w:tcW w:w="6661" w:type="dxa"/>
            <w:tcBorders>
              <w:tl2br w:val="nil"/>
              <w:tr2bl w:val="nil"/>
            </w:tcBorders>
            <w:vAlign w:val="center"/>
          </w:tcPr>
          <w:p>
            <w:pPr>
              <w:spacing w:line="240" w:lineRule="auto"/>
              <w:jc w:val="left"/>
              <w:rPr>
                <w:rFonts w:hint="eastAsia" w:eastAsiaTheme="minorEastAsia"/>
                <w:sz w:val="21"/>
                <w:szCs w:val="21"/>
              </w:rPr>
            </w:pPr>
            <w:r>
              <w:rPr>
                <w:rFonts w:hint="eastAsia" w:eastAsiaTheme="minorEastAsia"/>
                <w:sz w:val="21"/>
                <w:szCs w:val="21"/>
              </w:rPr>
              <w:t>主要用于办公、生活</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trPr>
        <w:tc>
          <w:tcPr>
            <w:tcW w:w="754" w:type="dxa"/>
            <w:vMerge w:val="restart"/>
            <w:tcBorders>
              <w:tl2br w:val="nil"/>
              <w:tr2bl w:val="nil"/>
            </w:tcBorders>
            <w:vAlign w:val="center"/>
          </w:tcPr>
          <w:p>
            <w:pPr>
              <w:pStyle w:val="141"/>
              <w:spacing w:before="176" w:line="240" w:lineRule="auto"/>
              <w:ind w:left="151" w:leftChars="0" w:right="126" w:rightChars="0"/>
              <w:jc w:val="center"/>
              <w:rPr>
                <w:sz w:val="21"/>
                <w:szCs w:val="21"/>
              </w:rPr>
            </w:pPr>
            <w:r>
              <w:rPr>
                <w:rFonts w:ascii="宋体" w:hAnsi="宋体" w:eastAsia="宋体" w:cs="宋体"/>
                <w:sz w:val="21"/>
                <w:szCs w:val="21"/>
              </w:rPr>
              <w:t>环保工程</w:t>
            </w:r>
          </w:p>
        </w:tc>
        <w:tc>
          <w:tcPr>
            <w:tcW w:w="1665" w:type="dxa"/>
            <w:gridSpan w:val="2"/>
            <w:tcBorders>
              <w:tl2br w:val="nil"/>
              <w:tr2bl w:val="nil"/>
            </w:tcBorders>
            <w:vAlign w:val="center"/>
          </w:tcPr>
          <w:p>
            <w:pPr>
              <w:spacing w:line="240" w:lineRule="auto"/>
              <w:jc w:val="center"/>
              <w:rPr>
                <w:rFonts w:hint="eastAsia" w:eastAsiaTheme="minorEastAsia"/>
                <w:sz w:val="21"/>
                <w:szCs w:val="21"/>
              </w:rPr>
            </w:pPr>
            <w:r>
              <w:rPr>
                <w:rFonts w:hint="eastAsia" w:eastAsiaTheme="minorEastAsia"/>
                <w:sz w:val="21"/>
                <w:szCs w:val="21"/>
              </w:rPr>
              <w:t>固废处理措施</w:t>
            </w:r>
          </w:p>
        </w:tc>
        <w:tc>
          <w:tcPr>
            <w:tcW w:w="6661" w:type="dxa"/>
            <w:tcBorders>
              <w:tl2br w:val="nil"/>
              <w:tr2bl w:val="nil"/>
            </w:tcBorders>
            <w:vAlign w:val="center"/>
          </w:tcPr>
          <w:p>
            <w:pPr>
              <w:spacing w:line="240" w:lineRule="auto"/>
              <w:jc w:val="left"/>
              <w:rPr>
                <w:rFonts w:hint="eastAsia" w:eastAsiaTheme="minorEastAsia"/>
                <w:sz w:val="21"/>
                <w:szCs w:val="21"/>
              </w:rPr>
            </w:pPr>
            <w:r>
              <w:rPr>
                <w:rFonts w:hint="eastAsia" w:eastAsiaTheme="minorEastAsia"/>
                <w:sz w:val="21"/>
                <w:szCs w:val="21"/>
              </w:rPr>
              <w:t>一般固废暂库存于泥棚，面积为1000m2；危险废物暂存库位于前处理单元面积为20m3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trPr>
        <w:tc>
          <w:tcPr>
            <w:tcW w:w="754" w:type="dxa"/>
            <w:vMerge w:val="continue"/>
            <w:tcBorders>
              <w:tl2br w:val="nil"/>
              <w:tr2bl w:val="nil"/>
            </w:tcBorders>
            <w:vAlign w:val="center"/>
          </w:tcPr>
          <w:p>
            <w:pPr>
              <w:spacing w:line="240" w:lineRule="auto"/>
              <w:jc w:val="center"/>
              <w:rPr>
                <w:sz w:val="21"/>
                <w:szCs w:val="21"/>
              </w:rPr>
            </w:pPr>
          </w:p>
        </w:tc>
        <w:tc>
          <w:tcPr>
            <w:tcW w:w="1665" w:type="dxa"/>
            <w:gridSpan w:val="2"/>
            <w:tcBorders>
              <w:tl2br w:val="nil"/>
              <w:tr2bl w:val="nil"/>
            </w:tcBorders>
            <w:vAlign w:val="center"/>
          </w:tcPr>
          <w:p>
            <w:pPr>
              <w:spacing w:line="240" w:lineRule="auto"/>
              <w:jc w:val="center"/>
              <w:rPr>
                <w:rFonts w:hint="eastAsia" w:eastAsiaTheme="minorEastAsia"/>
                <w:sz w:val="21"/>
                <w:szCs w:val="21"/>
              </w:rPr>
            </w:pPr>
            <w:r>
              <w:rPr>
                <w:rFonts w:hint="eastAsia" w:eastAsiaTheme="minorEastAsia"/>
                <w:sz w:val="21"/>
                <w:szCs w:val="21"/>
              </w:rPr>
              <w:t>废水处理系统</w:t>
            </w:r>
          </w:p>
        </w:tc>
        <w:tc>
          <w:tcPr>
            <w:tcW w:w="6661" w:type="dxa"/>
            <w:tcBorders>
              <w:tl2br w:val="nil"/>
              <w:tr2bl w:val="nil"/>
            </w:tcBorders>
            <w:vAlign w:val="center"/>
          </w:tcPr>
          <w:p>
            <w:pPr>
              <w:spacing w:line="240" w:lineRule="auto"/>
              <w:jc w:val="left"/>
              <w:rPr>
                <w:rFonts w:hint="eastAsia" w:eastAsiaTheme="minorEastAsia"/>
                <w:sz w:val="21"/>
                <w:szCs w:val="21"/>
              </w:rPr>
            </w:pPr>
            <w:r>
              <w:rPr>
                <w:rFonts w:hint="eastAsia" w:eastAsiaTheme="minorEastAsia"/>
                <w:sz w:val="21"/>
                <w:szCs w:val="21"/>
              </w:rPr>
              <w:t>废水存放于沼液缓冲池，定期泵入运输船，经水路运输排入珍家山污水处理厂处理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trPr>
        <w:tc>
          <w:tcPr>
            <w:tcW w:w="754" w:type="dxa"/>
            <w:vMerge w:val="continue"/>
            <w:tcBorders>
              <w:tl2br w:val="nil"/>
              <w:tr2bl w:val="nil"/>
            </w:tcBorders>
            <w:vAlign w:val="center"/>
          </w:tcPr>
          <w:p>
            <w:pPr>
              <w:spacing w:line="240" w:lineRule="auto"/>
              <w:jc w:val="center"/>
              <w:rPr>
                <w:sz w:val="21"/>
                <w:szCs w:val="21"/>
              </w:rPr>
            </w:pPr>
          </w:p>
        </w:tc>
        <w:tc>
          <w:tcPr>
            <w:tcW w:w="789" w:type="dxa"/>
            <w:vMerge w:val="restart"/>
            <w:tcBorders>
              <w:tl2br w:val="nil"/>
              <w:tr2bl w:val="nil"/>
            </w:tcBorders>
            <w:vAlign w:val="center"/>
          </w:tcPr>
          <w:p>
            <w:pPr>
              <w:spacing w:line="240" w:lineRule="auto"/>
              <w:jc w:val="center"/>
              <w:rPr>
                <w:rFonts w:hint="eastAsia" w:eastAsiaTheme="minorEastAsia"/>
                <w:sz w:val="21"/>
                <w:szCs w:val="21"/>
              </w:rPr>
            </w:pPr>
          </w:p>
          <w:p>
            <w:pPr>
              <w:spacing w:line="240" w:lineRule="auto"/>
              <w:jc w:val="center"/>
              <w:rPr>
                <w:rFonts w:hint="eastAsia" w:eastAsiaTheme="minorEastAsia"/>
                <w:sz w:val="21"/>
                <w:szCs w:val="21"/>
              </w:rPr>
            </w:pPr>
          </w:p>
          <w:p>
            <w:pPr>
              <w:spacing w:line="240" w:lineRule="auto"/>
              <w:jc w:val="center"/>
              <w:rPr>
                <w:rFonts w:hint="eastAsia" w:eastAsiaTheme="minorEastAsia"/>
                <w:sz w:val="21"/>
                <w:szCs w:val="21"/>
              </w:rPr>
            </w:pPr>
            <w:r>
              <w:rPr>
                <w:rFonts w:hint="eastAsia" w:eastAsiaTheme="minorEastAsia"/>
                <w:sz w:val="21"/>
                <w:szCs w:val="21"/>
              </w:rPr>
              <w:t>废气处理系统</w:t>
            </w:r>
          </w:p>
        </w:tc>
        <w:tc>
          <w:tcPr>
            <w:tcW w:w="876" w:type="dxa"/>
            <w:vMerge w:val="restart"/>
            <w:tcBorders>
              <w:tl2br w:val="nil"/>
              <w:tr2bl w:val="nil"/>
            </w:tcBorders>
            <w:vAlign w:val="center"/>
          </w:tcPr>
          <w:p>
            <w:pPr>
              <w:spacing w:line="240" w:lineRule="auto"/>
              <w:jc w:val="center"/>
              <w:rPr>
                <w:rFonts w:hint="eastAsia" w:eastAsiaTheme="minorEastAsia"/>
                <w:sz w:val="21"/>
                <w:szCs w:val="21"/>
              </w:rPr>
            </w:pPr>
            <w:r>
              <w:rPr>
                <w:rFonts w:hint="eastAsia" w:eastAsiaTheme="minorEastAsia"/>
                <w:sz w:val="21"/>
                <w:szCs w:val="21"/>
              </w:rPr>
              <w:t>燃烧废气</w:t>
            </w:r>
          </w:p>
        </w:tc>
        <w:tc>
          <w:tcPr>
            <w:tcW w:w="6661" w:type="dxa"/>
            <w:tcBorders>
              <w:tl2br w:val="nil"/>
              <w:tr2bl w:val="nil"/>
            </w:tcBorders>
            <w:vAlign w:val="center"/>
          </w:tcPr>
          <w:p>
            <w:pPr>
              <w:spacing w:line="240" w:lineRule="auto"/>
              <w:jc w:val="left"/>
              <w:rPr>
                <w:rFonts w:hint="eastAsia" w:eastAsiaTheme="minorEastAsia"/>
                <w:sz w:val="21"/>
                <w:szCs w:val="21"/>
              </w:rPr>
            </w:pPr>
            <w:r>
              <w:rPr>
                <w:rFonts w:hint="eastAsia" w:eastAsiaTheme="minorEastAsia"/>
                <w:sz w:val="21"/>
                <w:szCs w:val="21"/>
              </w:rPr>
              <w:t>燃气锅炉燃烧废气分别单独经1根不低于15m排气筒（共3根）直接排放</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trPr>
        <w:tc>
          <w:tcPr>
            <w:tcW w:w="754" w:type="dxa"/>
            <w:vMerge w:val="continue"/>
            <w:tcBorders>
              <w:tl2br w:val="nil"/>
              <w:tr2bl w:val="nil"/>
            </w:tcBorders>
            <w:vAlign w:val="center"/>
          </w:tcPr>
          <w:p>
            <w:pPr>
              <w:spacing w:line="240" w:lineRule="auto"/>
              <w:jc w:val="center"/>
              <w:rPr>
                <w:sz w:val="21"/>
                <w:szCs w:val="21"/>
              </w:rPr>
            </w:pPr>
          </w:p>
        </w:tc>
        <w:tc>
          <w:tcPr>
            <w:tcW w:w="789" w:type="dxa"/>
            <w:vMerge w:val="continue"/>
            <w:tcBorders>
              <w:tl2br w:val="nil"/>
              <w:tr2bl w:val="nil"/>
            </w:tcBorders>
            <w:vAlign w:val="center"/>
          </w:tcPr>
          <w:p>
            <w:pPr>
              <w:spacing w:line="240" w:lineRule="auto"/>
              <w:jc w:val="center"/>
              <w:rPr>
                <w:rFonts w:hint="eastAsia" w:eastAsiaTheme="minorEastAsia"/>
                <w:sz w:val="21"/>
                <w:szCs w:val="21"/>
              </w:rPr>
            </w:pPr>
          </w:p>
        </w:tc>
        <w:tc>
          <w:tcPr>
            <w:tcW w:w="876" w:type="dxa"/>
            <w:vMerge w:val="continue"/>
            <w:tcBorders>
              <w:tl2br w:val="nil"/>
              <w:tr2bl w:val="nil"/>
            </w:tcBorders>
            <w:vAlign w:val="center"/>
          </w:tcPr>
          <w:p>
            <w:pPr>
              <w:spacing w:line="240" w:lineRule="auto"/>
              <w:jc w:val="center"/>
              <w:rPr>
                <w:rFonts w:hint="eastAsia" w:eastAsiaTheme="minorEastAsia"/>
                <w:sz w:val="21"/>
                <w:szCs w:val="21"/>
              </w:rPr>
            </w:pPr>
          </w:p>
        </w:tc>
        <w:tc>
          <w:tcPr>
            <w:tcW w:w="6661" w:type="dxa"/>
            <w:tcBorders>
              <w:tl2br w:val="nil"/>
              <w:tr2bl w:val="nil"/>
            </w:tcBorders>
            <w:vAlign w:val="center"/>
          </w:tcPr>
          <w:p>
            <w:pPr>
              <w:spacing w:line="240" w:lineRule="auto"/>
              <w:jc w:val="left"/>
              <w:rPr>
                <w:rFonts w:hint="eastAsia" w:eastAsiaTheme="minorEastAsia"/>
                <w:sz w:val="21"/>
                <w:szCs w:val="21"/>
              </w:rPr>
            </w:pPr>
            <w:r>
              <w:rPr>
                <w:rFonts w:hint="eastAsia" w:eastAsiaTheme="minorEastAsia"/>
                <w:sz w:val="21"/>
                <w:szCs w:val="21"/>
              </w:rPr>
              <w:t>火炬燃烧废气通过1根不低于15m排气筒直接排放</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trPr>
        <w:tc>
          <w:tcPr>
            <w:tcW w:w="754" w:type="dxa"/>
            <w:vMerge w:val="continue"/>
            <w:tcBorders>
              <w:tl2br w:val="nil"/>
              <w:tr2bl w:val="nil"/>
            </w:tcBorders>
            <w:vAlign w:val="center"/>
          </w:tcPr>
          <w:p>
            <w:pPr>
              <w:spacing w:line="240" w:lineRule="auto"/>
              <w:jc w:val="center"/>
              <w:rPr>
                <w:sz w:val="21"/>
                <w:szCs w:val="21"/>
              </w:rPr>
            </w:pPr>
          </w:p>
        </w:tc>
        <w:tc>
          <w:tcPr>
            <w:tcW w:w="789" w:type="dxa"/>
            <w:vMerge w:val="continue"/>
            <w:tcBorders>
              <w:tl2br w:val="nil"/>
              <w:tr2bl w:val="nil"/>
            </w:tcBorders>
            <w:vAlign w:val="center"/>
          </w:tcPr>
          <w:p>
            <w:pPr>
              <w:spacing w:line="240" w:lineRule="auto"/>
              <w:jc w:val="center"/>
              <w:rPr>
                <w:rFonts w:hint="eastAsia" w:eastAsiaTheme="minorEastAsia"/>
                <w:sz w:val="21"/>
                <w:szCs w:val="21"/>
              </w:rPr>
            </w:pPr>
          </w:p>
        </w:tc>
        <w:tc>
          <w:tcPr>
            <w:tcW w:w="876" w:type="dxa"/>
            <w:vMerge w:val="restart"/>
            <w:tcBorders>
              <w:tl2br w:val="nil"/>
              <w:tr2bl w:val="nil"/>
            </w:tcBorders>
            <w:vAlign w:val="center"/>
          </w:tcPr>
          <w:p>
            <w:pPr>
              <w:spacing w:line="240" w:lineRule="auto"/>
              <w:jc w:val="center"/>
              <w:rPr>
                <w:rFonts w:hint="eastAsia" w:eastAsiaTheme="minorEastAsia"/>
                <w:sz w:val="21"/>
                <w:szCs w:val="21"/>
              </w:rPr>
            </w:pPr>
            <w:r>
              <w:rPr>
                <w:rFonts w:hint="eastAsia" w:eastAsiaTheme="minorEastAsia"/>
                <w:sz w:val="21"/>
                <w:szCs w:val="21"/>
              </w:rPr>
              <w:t>工艺废气</w:t>
            </w:r>
          </w:p>
        </w:tc>
        <w:tc>
          <w:tcPr>
            <w:tcW w:w="6661" w:type="dxa"/>
            <w:tcBorders>
              <w:tl2br w:val="nil"/>
              <w:tr2bl w:val="nil"/>
            </w:tcBorders>
            <w:vAlign w:val="center"/>
          </w:tcPr>
          <w:p>
            <w:pPr>
              <w:spacing w:line="240" w:lineRule="auto"/>
              <w:jc w:val="left"/>
              <w:rPr>
                <w:rFonts w:hint="eastAsia" w:eastAsiaTheme="minorEastAsia"/>
                <w:sz w:val="21"/>
                <w:szCs w:val="21"/>
              </w:rPr>
            </w:pPr>
            <w:r>
              <w:rPr>
                <w:rFonts w:hint="eastAsia" w:eastAsiaTheme="minorEastAsia"/>
                <w:sz w:val="21"/>
                <w:szCs w:val="21"/>
              </w:rPr>
              <w:t>前处理单元恶臭气体经“生物除臭”装置处理达标后通过不低于15m排气筒排放</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trPr>
        <w:tc>
          <w:tcPr>
            <w:tcW w:w="754" w:type="dxa"/>
            <w:vMerge w:val="continue"/>
            <w:tcBorders>
              <w:tl2br w:val="nil"/>
              <w:tr2bl w:val="nil"/>
            </w:tcBorders>
            <w:vAlign w:val="center"/>
          </w:tcPr>
          <w:p>
            <w:pPr>
              <w:spacing w:line="240" w:lineRule="auto"/>
              <w:jc w:val="center"/>
              <w:rPr>
                <w:sz w:val="21"/>
                <w:szCs w:val="21"/>
              </w:rPr>
            </w:pPr>
          </w:p>
        </w:tc>
        <w:tc>
          <w:tcPr>
            <w:tcW w:w="789" w:type="dxa"/>
            <w:vMerge w:val="continue"/>
            <w:tcBorders>
              <w:tl2br w:val="nil"/>
              <w:tr2bl w:val="nil"/>
            </w:tcBorders>
            <w:vAlign w:val="center"/>
          </w:tcPr>
          <w:p>
            <w:pPr>
              <w:spacing w:line="240" w:lineRule="auto"/>
              <w:jc w:val="center"/>
              <w:rPr>
                <w:rFonts w:hint="eastAsia" w:eastAsiaTheme="minorEastAsia"/>
                <w:sz w:val="21"/>
                <w:szCs w:val="21"/>
              </w:rPr>
            </w:pPr>
          </w:p>
        </w:tc>
        <w:tc>
          <w:tcPr>
            <w:tcW w:w="876" w:type="dxa"/>
            <w:vMerge w:val="continue"/>
            <w:tcBorders>
              <w:tl2br w:val="nil"/>
              <w:tr2bl w:val="nil"/>
            </w:tcBorders>
            <w:vAlign w:val="center"/>
          </w:tcPr>
          <w:p>
            <w:pPr>
              <w:spacing w:line="240" w:lineRule="auto"/>
              <w:jc w:val="center"/>
              <w:rPr>
                <w:rFonts w:hint="eastAsia" w:eastAsiaTheme="minorEastAsia"/>
                <w:sz w:val="21"/>
                <w:szCs w:val="21"/>
              </w:rPr>
            </w:pPr>
          </w:p>
        </w:tc>
        <w:tc>
          <w:tcPr>
            <w:tcW w:w="6661" w:type="dxa"/>
            <w:tcBorders>
              <w:tl2br w:val="nil"/>
              <w:tr2bl w:val="nil"/>
            </w:tcBorders>
            <w:vAlign w:val="center"/>
          </w:tcPr>
          <w:p>
            <w:pPr>
              <w:spacing w:line="240" w:lineRule="auto"/>
              <w:jc w:val="left"/>
              <w:rPr>
                <w:rFonts w:hint="eastAsia" w:eastAsiaTheme="minorEastAsia"/>
                <w:sz w:val="21"/>
                <w:szCs w:val="21"/>
              </w:rPr>
            </w:pPr>
            <w:r>
              <w:rPr>
                <w:rFonts w:hint="eastAsia" w:eastAsiaTheme="minorEastAsia"/>
                <w:sz w:val="21"/>
                <w:szCs w:val="21"/>
              </w:rPr>
              <w:t>板框压滤间恶臭气体经“光分解催化氧化除臭”装置处理达标后通过不低于15m排气筒排放</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trPr>
        <w:tc>
          <w:tcPr>
            <w:tcW w:w="754" w:type="dxa"/>
            <w:vMerge w:val="continue"/>
            <w:tcBorders>
              <w:tl2br w:val="nil"/>
              <w:tr2bl w:val="nil"/>
            </w:tcBorders>
            <w:vAlign w:val="center"/>
          </w:tcPr>
          <w:p>
            <w:pPr>
              <w:spacing w:line="240" w:lineRule="auto"/>
              <w:jc w:val="center"/>
              <w:rPr>
                <w:sz w:val="21"/>
                <w:szCs w:val="21"/>
              </w:rPr>
            </w:pPr>
          </w:p>
        </w:tc>
        <w:tc>
          <w:tcPr>
            <w:tcW w:w="789" w:type="dxa"/>
            <w:vMerge w:val="continue"/>
            <w:tcBorders>
              <w:tl2br w:val="nil"/>
              <w:tr2bl w:val="nil"/>
            </w:tcBorders>
            <w:vAlign w:val="center"/>
          </w:tcPr>
          <w:p>
            <w:pPr>
              <w:spacing w:line="240" w:lineRule="auto"/>
              <w:jc w:val="center"/>
              <w:rPr>
                <w:rFonts w:hint="eastAsia" w:eastAsiaTheme="minorEastAsia"/>
                <w:sz w:val="21"/>
                <w:szCs w:val="21"/>
              </w:rPr>
            </w:pPr>
          </w:p>
        </w:tc>
        <w:tc>
          <w:tcPr>
            <w:tcW w:w="876" w:type="dxa"/>
            <w:vMerge w:val="continue"/>
            <w:tcBorders>
              <w:tl2br w:val="nil"/>
              <w:tr2bl w:val="nil"/>
            </w:tcBorders>
            <w:vAlign w:val="center"/>
          </w:tcPr>
          <w:p>
            <w:pPr>
              <w:spacing w:line="240" w:lineRule="auto"/>
              <w:jc w:val="center"/>
              <w:rPr>
                <w:rFonts w:hint="eastAsia" w:eastAsiaTheme="minorEastAsia"/>
                <w:sz w:val="21"/>
                <w:szCs w:val="21"/>
              </w:rPr>
            </w:pPr>
          </w:p>
        </w:tc>
        <w:tc>
          <w:tcPr>
            <w:tcW w:w="6661" w:type="dxa"/>
            <w:tcBorders>
              <w:tl2br w:val="nil"/>
              <w:tr2bl w:val="nil"/>
            </w:tcBorders>
            <w:vAlign w:val="center"/>
          </w:tcPr>
          <w:p>
            <w:pPr>
              <w:spacing w:line="240" w:lineRule="auto"/>
              <w:jc w:val="left"/>
              <w:rPr>
                <w:rFonts w:hint="eastAsia" w:eastAsiaTheme="minorEastAsia"/>
                <w:sz w:val="21"/>
                <w:szCs w:val="21"/>
              </w:rPr>
            </w:pPr>
            <w:r>
              <w:rPr>
                <w:rFonts w:hint="eastAsia" w:eastAsiaTheme="minorEastAsia"/>
                <w:sz w:val="21"/>
                <w:szCs w:val="21"/>
              </w:rPr>
              <w:t>泥棚恶臭气体无组织排放，加强机械通风</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trPr>
        <w:tc>
          <w:tcPr>
            <w:tcW w:w="754" w:type="dxa"/>
            <w:vMerge w:val="continue"/>
            <w:tcBorders>
              <w:tl2br w:val="nil"/>
              <w:tr2bl w:val="nil"/>
            </w:tcBorders>
            <w:vAlign w:val="center"/>
          </w:tcPr>
          <w:p>
            <w:pPr>
              <w:spacing w:line="240" w:lineRule="auto"/>
              <w:jc w:val="center"/>
              <w:rPr>
                <w:sz w:val="21"/>
                <w:szCs w:val="21"/>
              </w:rPr>
            </w:pPr>
          </w:p>
        </w:tc>
        <w:tc>
          <w:tcPr>
            <w:tcW w:w="789" w:type="dxa"/>
            <w:vMerge w:val="continue"/>
            <w:tcBorders>
              <w:tl2br w:val="nil"/>
              <w:tr2bl w:val="nil"/>
            </w:tcBorders>
            <w:vAlign w:val="center"/>
          </w:tcPr>
          <w:p>
            <w:pPr>
              <w:spacing w:line="240" w:lineRule="auto"/>
              <w:jc w:val="center"/>
              <w:rPr>
                <w:rFonts w:hint="eastAsia" w:eastAsiaTheme="minorEastAsia"/>
                <w:sz w:val="21"/>
                <w:szCs w:val="21"/>
              </w:rPr>
            </w:pPr>
          </w:p>
        </w:tc>
        <w:tc>
          <w:tcPr>
            <w:tcW w:w="876" w:type="dxa"/>
            <w:tcBorders>
              <w:tl2br w:val="nil"/>
              <w:tr2bl w:val="nil"/>
            </w:tcBorders>
            <w:vAlign w:val="center"/>
          </w:tcPr>
          <w:p>
            <w:pPr>
              <w:spacing w:line="240" w:lineRule="auto"/>
              <w:jc w:val="center"/>
              <w:rPr>
                <w:rFonts w:hint="eastAsia" w:eastAsiaTheme="minorEastAsia"/>
                <w:sz w:val="21"/>
                <w:szCs w:val="21"/>
              </w:rPr>
            </w:pPr>
            <w:r>
              <w:rPr>
                <w:rFonts w:hint="eastAsia" w:eastAsiaTheme="minorEastAsia"/>
                <w:sz w:val="21"/>
                <w:szCs w:val="21"/>
              </w:rPr>
              <w:t>食堂油烟</w:t>
            </w:r>
          </w:p>
        </w:tc>
        <w:tc>
          <w:tcPr>
            <w:tcW w:w="6661" w:type="dxa"/>
            <w:tcBorders>
              <w:tl2br w:val="nil"/>
              <w:tr2bl w:val="nil"/>
            </w:tcBorders>
            <w:vAlign w:val="center"/>
          </w:tcPr>
          <w:p>
            <w:pPr>
              <w:spacing w:line="240" w:lineRule="auto"/>
              <w:jc w:val="left"/>
              <w:rPr>
                <w:rFonts w:hint="eastAsia" w:eastAsiaTheme="minorEastAsia"/>
                <w:sz w:val="21"/>
                <w:szCs w:val="21"/>
              </w:rPr>
            </w:pPr>
            <w:r>
              <w:rPr>
                <w:rFonts w:hint="eastAsia" w:eastAsiaTheme="minorEastAsia"/>
                <w:sz w:val="21"/>
                <w:szCs w:val="21"/>
              </w:rPr>
              <w:t>高效油烟净化器处理达标后通过专用烟道引至饭堂楼顶排放</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trPr>
        <w:tc>
          <w:tcPr>
            <w:tcW w:w="754" w:type="dxa"/>
            <w:vMerge w:val="continue"/>
            <w:tcBorders>
              <w:tl2br w:val="nil"/>
              <w:tr2bl w:val="nil"/>
            </w:tcBorders>
            <w:vAlign w:val="center"/>
          </w:tcPr>
          <w:p>
            <w:pPr>
              <w:spacing w:line="240" w:lineRule="auto"/>
              <w:jc w:val="center"/>
              <w:rPr>
                <w:sz w:val="21"/>
                <w:szCs w:val="21"/>
              </w:rPr>
            </w:pPr>
          </w:p>
        </w:tc>
        <w:tc>
          <w:tcPr>
            <w:tcW w:w="1665" w:type="dxa"/>
            <w:gridSpan w:val="2"/>
            <w:tcBorders>
              <w:tl2br w:val="nil"/>
              <w:tr2bl w:val="nil"/>
            </w:tcBorders>
            <w:vAlign w:val="center"/>
          </w:tcPr>
          <w:p>
            <w:pPr>
              <w:spacing w:line="240" w:lineRule="auto"/>
              <w:jc w:val="center"/>
              <w:rPr>
                <w:rFonts w:hint="eastAsia" w:eastAsiaTheme="minorEastAsia"/>
                <w:sz w:val="21"/>
                <w:szCs w:val="21"/>
              </w:rPr>
            </w:pPr>
            <w:r>
              <w:rPr>
                <w:rFonts w:hint="eastAsia" w:eastAsiaTheme="minorEastAsia"/>
                <w:sz w:val="21"/>
                <w:szCs w:val="21"/>
              </w:rPr>
              <w:t>噪声处理措施</w:t>
            </w:r>
          </w:p>
        </w:tc>
        <w:tc>
          <w:tcPr>
            <w:tcW w:w="6661" w:type="dxa"/>
            <w:tcBorders>
              <w:tl2br w:val="nil"/>
              <w:tr2bl w:val="nil"/>
            </w:tcBorders>
            <w:vAlign w:val="center"/>
          </w:tcPr>
          <w:p>
            <w:pPr>
              <w:spacing w:line="240" w:lineRule="auto"/>
              <w:jc w:val="left"/>
              <w:rPr>
                <w:rFonts w:hint="eastAsia" w:eastAsiaTheme="minorEastAsia"/>
                <w:sz w:val="21"/>
                <w:szCs w:val="21"/>
              </w:rPr>
            </w:pPr>
            <w:r>
              <w:rPr>
                <w:rFonts w:hint="eastAsia" w:eastAsiaTheme="minorEastAsia"/>
                <w:sz w:val="21"/>
                <w:szCs w:val="21"/>
              </w:rPr>
              <w:t>选用低噪声设备，设减震基础和隔声门窗，厂房密闭</w:t>
            </w:r>
          </w:p>
        </w:tc>
      </w:tr>
    </w:tbl>
    <w:p>
      <w:pPr>
        <w:pStyle w:val="17"/>
        <w:ind w:left="0" w:leftChars="0" w:firstLine="0" w:firstLineChars="0"/>
        <w:rPr>
          <w:rFonts w:hint="eastAsia" w:ascii="Times New Roman" w:hAnsi="Times New Roman"/>
          <w:szCs w:val="28"/>
          <w:lang w:eastAsia="zh-CN"/>
        </w:rPr>
      </w:pPr>
    </w:p>
    <w:p>
      <w:pPr>
        <w:pStyle w:val="17"/>
        <w:rPr>
          <w:rFonts w:hint="eastAsia" w:ascii="Times New Roman" w:hAnsi="Times New Roman"/>
          <w:szCs w:val="28"/>
          <w:lang w:eastAsia="zh-CN"/>
        </w:rPr>
        <w:sectPr>
          <w:pgSz w:w="11906" w:h="16838"/>
          <w:pgMar w:top="1418" w:right="1418" w:bottom="1418" w:left="1418" w:header="851" w:footer="959" w:gutter="0"/>
          <w:pgBorders>
            <w:top w:val="none" w:sz="0" w:space="0"/>
            <w:left w:val="none" w:sz="0" w:space="0"/>
            <w:bottom w:val="none" w:sz="0" w:space="0"/>
            <w:right w:val="none" w:sz="0" w:space="0"/>
          </w:pgBorders>
          <w:pgNumType w:fmt="decimal"/>
          <w:cols w:space="720" w:num="1"/>
          <w:docGrid w:linePitch="312" w:charSpace="0"/>
        </w:sectPr>
      </w:pPr>
    </w:p>
    <w:p>
      <w:pPr>
        <w:pStyle w:val="17"/>
        <w:ind w:left="0" w:leftChars="0" w:firstLine="0" w:firstLineChars="0"/>
        <w:jc w:val="center"/>
        <w:rPr>
          <w:rFonts w:hint="eastAsia" w:ascii="Times New Roman" w:hAnsi="Times New Roman"/>
          <w:szCs w:val="28"/>
          <w:lang w:eastAsia="zh-CN"/>
        </w:rPr>
      </w:pPr>
      <w:r>
        <w:rPr>
          <w:rFonts w:ascii="宋体" w:hAnsi="宋体" w:eastAsia="宋体" w:cs="宋体"/>
          <w:position w:val="-197"/>
          <w:sz w:val="20"/>
          <w:szCs w:val="20"/>
        </w:rPr>
        <w:drawing>
          <wp:inline distT="0" distB="0" distL="0" distR="0">
            <wp:extent cx="5724525" cy="5011420"/>
            <wp:effectExtent l="0" t="0" r="9525" b="17780"/>
            <wp:docPr id="9"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9.jpeg"/>
                    <pic:cNvPicPr>
                      <a:picLocks noChangeAspect="1"/>
                    </pic:cNvPicPr>
                  </pic:nvPicPr>
                  <pic:blipFill>
                    <a:blip r:embed="rId24" cstate="print"/>
                    <a:stretch>
                      <a:fillRect/>
                    </a:stretch>
                  </pic:blipFill>
                  <pic:spPr>
                    <a:xfrm>
                      <a:off x="0" y="0"/>
                      <a:ext cx="5724525" cy="5011420"/>
                    </a:xfrm>
                    <a:prstGeom prst="rect">
                      <a:avLst/>
                    </a:prstGeom>
                  </pic:spPr>
                </pic:pic>
              </a:graphicData>
            </a:graphic>
          </wp:inline>
        </w:drawing>
      </w:r>
    </w:p>
    <w:p>
      <w:pPr>
        <w:pStyle w:val="17"/>
        <w:jc w:val="center"/>
        <w:rPr>
          <w:rFonts w:hint="eastAsia" w:ascii="Times New Roman" w:hAnsi="Times New Roman"/>
          <w:szCs w:val="28"/>
          <w:lang w:eastAsia="zh-CN"/>
        </w:rPr>
        <w:sectPr>
          <w:pgSz w:w="11850" w:h="16783"/>
          <w:pgMar w:top="1418" w:right="1418" w:bottom="1418" w:left="1418" w:header="851" w:footer="959" w:gutter="0"/>
          <w:pgBorders>
            <w:top w:val="none" w:sz="0" w:space="0"/>
            <w:left w:val="none" w:sz="0" w:space="0"/>
            <w:bottom w:val="none" w:sz="0" w:space="0"/>
            <w:right w:val="none" w:sz="0" w:space="0"/>
          </w:pgBorders>
          <w:pgNumType w:fmt="decimal"/>
          <w:cols w:space="720" w:num="1"/>
          <w:docGrid w:linePitch="312" w:charSpace="0"/>
        </w:sectPr>
      </w:pPr>
      <w:r>
        <w:rPr>
          <w:rFonts w:hint="eastAsia" w:ascii="Times New Roman" w:hAnsi="Times New Roman"/>
          <w:szCs w:val="28"/>
          <w:lang w:eastAsia="zh-CN"/>
        </w:rPr>
        <w:t>图</w:t>
      </w:r>
      <w:r>
        <w:rPr>
          <w:rFonts w:hint="eastAsia" w:ascii="Times New Roman" w:hAnsi="Times New Roman"/>
          <w:szCs w:val="28"/>
          <w:lang w:val="en-US" w:eastAsia="zh-CN"/>
        </w:rPr>
        <w:t>2-4 公司平面布置图</w:t>
      </w:r>
    </w:p>
    <w:p>
      <w:pPr>
        <w:pStyle w:val="4"/>
      </w:pPr>
      <w:r>
        <w:t>2.</w:t>
      </w:r>
      <w:r>
        <w:rPr>
          <w:rFonts w:hint="eastAsia"/>
          <w:lang w:val="en-US" w:eastAsia="zh-CN"/>
        </w:rPr>
        <w:t>2</w:t>
      </w:r>
      <w:r>
        <w:t>.</w:t>
      </w:r>
      <w:r>
        <w:rPr>
          <w:rFonts w:hint="eastAsia"/>
          <w:lang w:val="en-US" w:eastAsia="zh-CN"/>
        </w:rPr>
        <w:t>3</w:t>
      </w:r>
      <w:r>
        <w:t>主要原辅材料</w:t>
      </w:r>
    </w:p>
    <w:p>
      <w:pPr>
        <w:pStyle w:val="17"/>
        <w:rPr>
          <w:rFonts w:ascii="Times New Roman" w:hAnsi="Times New Roman"/>
          <w:szCs w:val="28"/>
        </w:rPr>
      </w:pPr>
      <w:r>
        <w:rPr>
          <w:rFonts w:ascii="Times New Roman" w:hAnsi="Times New Roman"/>
          <w:szCs w:val="28"/>
        </w:rPr>
        <w:t>公司</w:t>
      </w:r>
      <w:r>
        <w:rPr>
          <w:rFonts w:ascii="Times New Roman" w:hAnsi="Times New Roman"/>
          <w:bCs/>
          <w:szCs w:val="28"/>
        </w:rPr>
        <w:t>主要</w:t>
      </w:r>
      <w:r>
        <w:rPr>
          <w:rFonts w:hint="eastAsia" w:ascii="Times New Roman" w:hAnsi="Times New Roman"/>
          <w:bCs/>
          <w:szCs w:val="28"/>
        </w:rPr>
        <w:t>从城市污水污泥</w:t>
      </w:r>
      <w:r>
        <w:rPr>
          <w:rFonts w:hint="eastAsia" w:ascii="Times New Roman" w:hAnsi="Times New Roman"/>
          <w:bCs/>
          <w:szCs w:val="28"/>
          <w:lang w:eastAsia="zh-CN"/>
        </w:rPr>
        <w:t>处理</w:t>
      </w:r>
      <w:r>
        <w:rPr>
          <w:rFonts w:ascii="Times New Roman" w:hAnsi="Times New Roman"/>
          <w:szCs w:val="28"/>
        </w:rPr>
        <w:t>，所使用的原辅材料见</w:t>
      </w:r>
      <w:r>
        <w:rPr>
          <w:rFonts w:hint="eastAsia" w:ascii="Times New Roman" w:hAnsi="Times New Roman"/>
          <w:szCs w:val="28"/>
          <w:lang w:eastAsia="zh-CN"/>
        </w:rPr>
        <w:t>下表</w:t>
      </w:r>
      <w:r>
        <w:rPr>
          <w:rFonts w:ascii="Times New Roman" w:hAnsi="Times New Roman"/>
          <w:szCs w:val="28"/>
        </w:rPr>
        <w:t>。</w:t>
      </w:r>
    </w:p>
    <w:p>
      <w:pPr>
        <w:spacing w:line="480" w:lineRule="exact"/>
        <w:ind w:left="-91" w:leftChars="-33" w:firstLine="583" w:firstLineChars="246"/>
        <w:jc w:val="center"/>
        <w:rPr>
          <w:b/>
          <w:sz w:val="24"/>
          <w:szCs w:val="24"/>
          <w:highlight w:val="none"/>
        </w:rPr>
      </w:pPr>
      <w:r>
        <w:rPr>
          <w:b/>
          <w:sz w:val="24"/>
          <w:szCs w:val="24"/>
          <w:highlight w:val="none"/>
        </w:rPr>
        <w:t>表2-</w:t>
      </w:r>
      <w:r>
        <w:rPr>
          <w:rFonts w:hint="eastAsia"/>
          <w:b/>
          <w:sz w:val="24"/>
          <w:szCs w:val="24"/>
          <w:highlight w:val="none"/>
          <w:lang w:val="en-US" w:eastAsia="zh-CN"/>
        </w:rPr>
        <w:t>4</w:t>
      </w:r>
      <w:r>
        <w:rPr>
          <w:b/>
          <w:sz w:val="24"/>
          <w:szCs w:val="24"/>
          <w:highlight w:val="none"/>
        </w:rPr>
        <w:t xml:space="preserve">  原材料耗用情况一览表</w:t>
      </w:r>
    </w:p>
    <w:tbl>
      <w:tblPr>
        <w:tblStyle w:val="42"/>
        <w:tblW w:w="6999" w:type="dxa"/>
        <w:jc w:val="center"/>
        <w:tblInd w:w="-8"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0" w:type="dxa"/>
          <w:bottom w:w="0" w:type="dxa"/>
          <w:right w:w="0" w:type="dxa"/>
        </w:tblCellMar>
      </w:tblPr>
      <w:tblGrid>
        <w:gridCol w:w="707"/>
        <w:gridCol w:w="1626"/>
        <w:gridCol w:w="1045"/>
        <w:gridCol w:w="1083"/>
        <w:gridCol w:w="1311"/>
        <w:gridCol w:w="1227"/>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0" w:type="dxa"/>
            <w:bottom w:w="0" w:type="dxa"/>
            <w:right w:w="0" w:type="dxa"/>
          </w:tblCellMar>
        </w:tblPrEx>
        <w:trPr>
          <w:trHeight w:val="624" w:hRule="exact"/>
          <w:tblHeader/>
          <w:jc w:val="center"/>
        </w:trPr>
        <w:tc>
          <w:tcPr>
            <w:tcW w:w="707" w:type="dxa"/>
            <w:noWrap w:val="0"/>
            <w:vAlign w:val="center"/>
          </w:tcPr>
          <w:p>
            <w:pPr>
              <w:jc w:val="center"/>
              <w:rPr>
                <w:rFonts w:hint="eastAsia" w:eastAsiaTheme="minorEastAsia"/>
                <w:sz w:val="21"/>
                <w:szCs w:val="21"/>
                <w:highlight w:val="none"/>
              </w:rPr>
            </w:pPr>
            <w:r>
              <w:rPr>
                <w:rFonts w:hint="eastAsia" w:eastAsiaTheme="minorEastAsia"/>
                <w:sz w:val="21"/>
                <w:szCs w:val="21"/>
                <w:highlight w:val="none"/>
              </w:rPr>
              <w:t>序号</w:t>
            </w:r>
          </w:p>
        </w:tc>
        <w:tc>
          <w:tcPr>
            <w:tcW w:w="1626" w:type="dxa"/>
            <w:noWrap w:val="0"/>
            <w:vAlign w:val="center"/>
          </w:tcPr>
          <w:p>
            <w:pPr>
              <w:jc w:val="center"/>
              <w:rPr>
                <w:rFonts w:hint="eastAsia" w:eastAsiaTheme="minorEastAsia"/>
                <w:sz w:val="21"/>
                <w:szCs w:val="21"/>
                <w:highlight w:val="none"/>
              </w:rPr>
            </w:pPr>
            <w:r>
              <w:rPr>
                <w:rFonts w:hint="eastAsia" w:eastAsiaTheme="minorEastAsia"/>
                <w:sz w:val="21"/>
                <w:szCs w:val="21"/>
                <w:highlight w:val="none"/>
              </w:rPr>
              <w:t>名称</w:t>
            </w:r>
          </w:p>
        </w:tc>
        <w:tc>
          <w:tcPr>
            <w:tcW w:w="1045" w:type="dxa"/>
            <w:noWrap w:val="0"/>
            <w:vAlign w:val="center"/>
          </w:tcPr>
          <w:p>
            <w:pPr>
              <w:jc w:val="center"/>
              <w:rPr>
                <w:rFonts w:hint="eastAsia" w:eastAsiaTheme="minorEastAsia"/>
                <w:sz w:val="21"/>
                <w:szCs w:val="21"/>
                <w:highlight w:val="none"/>
              </w:rPr>
            </w:pPr>
            <w:r>
              <w:rPr>
                <w:rFonts w:hint="eastAsia" w:eastAsiaTheme="minorEastAsia"/>
                <w:sz w:val="21"/>
                <w:szCs w:val="21"/>
                <w:highlight w:val="none"/>
              </w:rPr>
              <w:t>性状</w:t>
            </w:r>
          </w:p>
        </w:tc>
        <w:tc>
          <w:tcPr>
            <w:tcW w:w="1083" w:type="dxa"/>
            <w:noWrap w:val="0"/>
            <w:vAlign w:val="center"/>
          </w:tcPr>
          <w:p>
            <w:pPr>
              <w:jc w:val="center"/>
              <w:rPr>
                <w:rFonts w:hint="eastAsia" w:eastAsiaTheme="minorEastAsia"/>
                <w:sz w:val="21"/>
                <w:szCs w:val="21"/>
                <w:highlight w:val="none"/>
              </w:rPr>
            </w:pPr>
            <w:r>
              <w:rPr>
                <w:rFonts w:hint="eastAsia" w:eastAsiaTheme="minorEastAsia"/>
                <w:sz w:val="21"/>
                <w:szCs w:val="21"/>
                <w:highlight w:val="none"/>
              </w:rPr>
              <w:t>年用量</w:t>
            </w:r>
          </w:p>
          <w:p>
            <w:pPr>
              <w:jc w:val="center"/>
              <w:rPr>
                <w:rFonts w:hint="eastAsia" w:eastAsiaTheme="minorEastAsia"/>
                <w:sz w:val="21"/>
                <w:szCs w:val="21"/>
                <w:highlight w:val="none"/>
              </w:rPr>
            </w:pPr>
            <w:r>
              <w:rPr>
                <w:rFonts w:hint="eastAsia" w:eastAsiaTheme="minorEastAsia"/>
                <w:sz w:val="21"/>
                <w:szCs w:val="21"/>
                <w:highlight w:val="none"/>
              </w:rPr>
              <w:t>(吨)</w:t>
            </w:r>
          </w:p>
        </w:tc>
        <w:tc>
          <w:tcPr>
            <w:tcW w:w="1311" w:type="dxa"/>
            <w:noWrap w:val="0"/>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最大储</w:t>
            </w:r>
          </w:p>
          <w:p>
            <w:pPr>
              <w:spacing w:line="240" w:lineRule="auto"/>
              <w:jc w:val="center"/>
              <w:rPr>
                <w:rFonts w:hint="eastAsia" w:eastAsiaTheme="minorEastAsia"/>
                <w:sz w:val="21"/>
                <w:szCs w:val="21"/>
                <w:highlight w:val="none"/>
              </w:rPr>
            </w:pPr>
            <w:r>
              <w:rPr>
                <w:rFonts w:hint="eastAsia" w:eastAsiaTheme="minorEastAsia"/>
                <w:sz w:val="21"/>
                <w:szCs w:val="21"/>
                <w:highlight w:val="none"/>
              </w:rPr>
              <w:t>存量(吨)</w:t>
            </w:r>
          </w:p>
        </w:tc>
        <w:tc>
          <w:tcPr>
            <w:tcW w:w="1227" w:type="dxa"/>
            <w:tcBorders>
              <w:right w:val="single" w:color="auto" w:sz="4" w:space="0"/>
            </w:tcBorders>
            <w:noWrap w:val="0"/>
            <w:vAlign w:val="center"/>
          </w:tcPr>
          <w:p>
            <w:pPr>
              <w:jc w:val="center"/>
              <w:rPr>
                <w:rFonts w:hint="eastAsia" w:eastAsiaTheme="minorEastAsia"/>
                <w:sz w:val="21"/>
                <w:szCs w:val="21"/>
                <w:highlight w:val="none"/>
              </w:rPr>
            </w:pPr>
            <w:r>
              <w:rPr>
                <w:rFonts w:hint="eastAsia" w:eastAsiaTheme="minorEastAsia"/>
                <w:sz w:val="21"/>
                <w:szCs w:val="21"/>
                <w:highlight w:val="none"/>
              </w:rPr>
              <w:t>储存场所</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0" w:type="dxa"/>
            <w:bottom w:w="0" w:type="dxa"/>
            <w:right w:w="0" w:type="dxa"/>
          </w:tblCellMar>
        </w:tblPrEx>
        <w:trPr>
          <w:trHeight w:val="420" w:hRule="atLeast"/>
          <w:jc w:val="center"/>
        </w:trPr>
        <w:tc>
          <w:tcPr>
            <w:tcW w:w="707" w:type="dxa"/>
            <w:noWrap w:val="0"/>
            <w:vAlign w:val="center"/>
          </w:tcPr>
          <w:p>
            <w:pPr>
              <w:jc w:val="center"/>
              <w:rPr>
                <w:rFonts w:hint="eastAsia" w:eastAsiaTheme="minorEastAsia"/>
                <w:sz w:val="21"/>
                <w:szCs w:val="21"/>
                <w:highlight w:val="none"/>
              </w:rPr>
            </w:pPr>
            <w:r>
              <w:rPr>
                <w:rFonts w:hint="eastAsia" w:eastAsiaTheme="minorEastAsia"/>
                <w:sz w:val="21"/>
                <w:szCs w:val="21"/>
                <w:highlight w:val="none"/>
              </w:rPr>
              <w:t>1</w:t>
            </w:r>
          </w:p>
        </w:tc>
        <w:tc>
          <w:tcPr>
            <w:tcW w:w="1626" w:type="dxa"/>
            <w:noWrap w:val="0"/>
            <w:vAlign w:val="center"/>
          </w:tcPr>
          <w:p>
            <w:pPr>
              <w:jc w:val="center"/>
              <w:rPr>
                <w:rFonts w:hint="eastAsia" w:eastAsiaTheme="minorEastAsia"/>
                <w:sz w:val="21"/>
                <w:szCs w:val="21"/>
                <w:highlight w:val="none"/>
                <w:lang w:eastAsia="zh-CN"/>
              </w:rPr>
            </w:pPr>
            <w:r>
              <w:rPr>
                <w:rFonts w:hint="eastAsia" w:eastAsiaTheme="minorEastAsia"/>
                <w:sz w:val="21"/>
                <w:szCs w:val="21"/>
                <w:highlight w:val="none"/>
                <w:lang w:eastAsia="zh-CN"/>
              </w:rPr>
              <w:t>污泥</w:t>
            </w:r>
          </w:p>
          <w:p>
            <w:pPr>
              <w:jc w:val="center"/>
              <w:rPr>
                <w:rFonts w:hint="eastAsia" w:eastAsiaTheme="minorEastAsia"/>
                <w:sz w:val="21"/>
                <w:szCs w:val="21"/>
                <w:highlight w:val="none"/>
                <w:lang w:eastAsia="zh-CN"/>
              </w:rPr>
            </w:pPr>
            <w:r>
              <w:rPr>
                <w:rFonts w:ascii="宋体" w:hAnsi="宋体" w:eastAsia="宋体" w:cs="宋体"/>
                <w:sz w:val="21"/>
                <w:szCs w:val="21"/>
                <w:highlight w:val="none"/>
              </w:rPr>
              <w:t>（含水率</w:t>
            </w:r>
            <w:r>
              <w:rPr>
                <w:rFonts w:ascii="宋体" w:hAnsi="宋体" w:eastAsia="宋体" w:cs="宋体"/>
                <w:spacing w:val="-53"/>
                <w:sz w:val="21"/>
                <w:szCs w:val="21"/>
                <w:highlight w:val="none"/>
              </w:rPr>
              <w:t xml:space="preserve"> </w:t>
            </w:r>
            <w:r>
              <w:rPr>
                <w:rFonts w:ascii="Times New Roman" w:hAnsi="Times New Roman" w:eastAsia="Times New Roman" w:cs="Times New Roman"/>
                <w:sz w:val="21"/>
                <w:szCs w:val="21"/>
                <w:highlight w:val="none"/>
              </w:rPr>
              <w:t>80%</w:t>
            </w:r>
            <w:r>
              <w:rPr>
                <w:rFonts w:ascii="宋体" w:hAnsi="宋体" w:eastAsia="宋体" w:cs="宋体"/>
                <w:sz w:val="21"/>
                <w:szCs w:val="21"/>
                <w:highlight w:val="none"/>
              </w:rPr>
              <w:t>）</w:t>
            </w:r>
          </w:p>
        </w:tc>
        <w:tc>
          <w:tcPr>
            <w:tcW w:w="1045" w:type="dxa"/>
            <w:noWrap w:val="0"/>
            <w:vAlign w:val="center"/>
          </w:tcPr>
          <w:p>
            <w:pPr>
              <w:jc w:val="center"/>
              <w:rPr>
                <w:rFonts w:hint="eastAsia" w:eastAsiaTheme="minorEastAsia"/>
                <w:sz w:val="21"/>
                <w:szCs w:val="21"/>
                <w:highlight w:val="none"/>
              </w:rPr>
            </w:pPr>
            <w:r>
              <w:rPr>
                <w:rFonts w:hint="eastAsia" w:eastAsiaTheme="minorEastAsia"/>
                <w:sz w:val="21"/>
                <w:szCs w:val="21"/>
                <w:highlight w:val="none"/>
              </w:rPr>
              <w:t>固体</w:t>
            </w:r>
          </w:p>
        </w:tc>
        <w:tc>
          <w:tcPr>
            <w:tcW w:w="1083" w:type="dxa"/>
            <w:noWrap w:val="0"/>
            <w:vAlign w:val="center"/>
          </w:tcPr>
          <w:p>
            <w:pPr>
              <w:jc w:val="center"/>
              <w:rPr>
                <w:rFonts w:hint="default" w:eastAsiaTheme="minorEastAsia"/>
                <w:sz w:val="21"/>
                <w:szCs w:val="21"/>
                <w:highlight w:val="none"/>
                <w:lang w:val="en-US" w:eastAsia="zh-CN"/>
              </w:rPr>
            </w:pPr>
            <w:r>
              <w:rPr>
                <w:rFonts w:hint="eastAsia" w:eastAsiaTheme="minorEastAsia"/>
                <w:sz w:val="21"/>
                <w:szCs w:val="21"/>
                <w:highlight w:val="none"/>
                <w:lang w:val="en-US" w:eastAsia="zh-CN"/>
              </w:rPr>
              <w:t>109500</w:t>
            </w:r>
          </w:p>
        </w:tc>
        <w:tc>
          <w:tcPr>
            <w:tcW w:w="1311" w:type="dxa"/>
            <w:noWrap w:val="0"/>
            <w:vAlign w:val="center"/>
          </w:tcPr>
          <w:p>
            <w:pPr>
              <w:spacing w:line="240" w:lineRule="auto"/>
              <w:jc w:val="center"/>
              <w:rPr>
                <w:rFonts w:hint="eastAsia" w:eastAsiaTheme="minorEastAsia"/>
                <w:sz w:val="21"/>
                <w:szCs w:val="21"/>
                <w:highlight w:val="none"/>
                <w:lang w:val="en-US" w:eastAsia="zh-CN"/>
              </w:rPr>
            </w:pPr>
            <w:r>
              <w:rPr>
                <w:rFonts w:hint="eastAsia" w:eastAsiaTheme="minorEastAsia"/>
                <w:sz w:val="21"/>
                <w:szCs w:val="21"/>
                <w:highlight w:val="none"/>
                <w:lang w:val="en-US" w:eastAsia="zh-CN"/>
              </w:rPr>
              <w:t>13000</w:t>
            </w:r>
          </w:p>
          <w:p>
            <w:pPr>
              <w:spacing w:line="240" w:lineRule="auto"/>
              <w:jc w:val="center"/>
              <w:rPr>
                <w:rFonts w:hint="default" w:eastAsiaTheme="minorEastAsia"/>
                <w:sz w:val="21"/>
                <w:szCs w:val="21"/>
                <w:highlight w:val="none"/>
                <w:lang w:val="en-US" w:eastAsia="zh-CN"/>
              </w:rPr>
            </w:pPr>
            <w:r>
              <w:rPr>
                <w:rFonts w:hint="eastAsia" w:eastAsiaTheme="minorEastAsia"/>
                <w:sz w:val="21"/>
                <w:szCs w:val="21"/>
                <w:highlight w:val="none"/>
                <w:lang w:val="en-US" w:eastAsia="zh-CN"/>
              </w:rPr>
              <w:t>（消化污泥）</w:t>
            </w:r>
          </w:p>
        </w:tc>
        <w:tc>
          <w:tcPr>
            <w:tcW w:w="1227" w:type="dxa"/>
            <w:tcBorders>
              <w:right w:val="single" w:color="auto" w:sz="4" w:space="0"/>
            </w:tcBorders>
            <w:noWrap w:val="0"/>
            <w:vAlign w:val="center"/>
          </w:tcPr>
          <w:p>
            <w:pPr>
              <w:spacing w:line="240" w:lineRule="auto"/>
              <w:jc w:val="center"/>
              <w:rPr>
                <w:rFonts w:hint="eastAsia" w:eastAsiaTheme="minorEastAsia"/>
                <w:sz w:val="21"/>
                <w:szCs w:val="21"/>
                <w:highlight w:val="none"/>
                <w:lang w:eastAsia="zh-CN"/>
              </w:rPr>
            </w:pPr>
            <w:r>
              <w:rPr>
                <w:rFonts w:hint="eastAsia" w:eastAsiaTheme="minorEastAsia"/>
                <w:sz w:val="21"/>
                <w:szCs w:val="21"/>
                <w:highlight w:val="none"/>
                <w:lang w:eastAsia="zh-CN"/>
              </w:rPr>
              <w:t>厌氧罐区</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0" w:type="dxa"/>
            <w:bottom w:w="0" w:type="dxa"/>
            <w:right w:w="0" w:type="dxa"/>
          </w:tblCellMar>
        </w:tblPrEx>
        <w:trPr>
          <w:trHeight w:val="420" w:hRule="atLeast"/>
          <w:jc w:val="center"/>
        </w:trPr>
        <w:tc>
          <w:tcPr>
            <w:tcW w:w="707" w:type="dxa"/>
            <w:noWrap w:val="0"/>
            <w:vAlign w:val="center"/>
          </w:tcPr>
          <w:p>
            <w:pPr>
              <w:jc w:val="center"/>
              <w:rPr>
                <w:rFonts w:hint="eastAsia" w:eastAsiaTheme="minorEastAsia"/>
                <w:sz w:val="21"/>
                <w:szCs w:val="21"/>
                <w:highlight w:val="none"/>
              </w:rPr>
            </w:pPr>
            <w:r>
              <w:rPr>
                <w:rFonts w:hint="eastAsia" w:eastAsiaTheme="minorEastAsia"/>
                <w:sz w:val="21"/>
                <w:szCs w:val="21"/>
                <w:highlight w:val="none"/>
              </w:rPr>
              <w:t>2</w:t>
            </w:r>
          </w:p>
        </w:tc>
        <w:tc>
          <w:tcPr>
            <w:tcW w:w="1626" w:type="dxa"/>
            <w:noWrap w:val="0"/>
            <w:vAlign w:val="center"/>
          </w:tcPr>
          <w:p>
            <w:pPr>
              <w:jc w:val="center"/>
              <w:rPr>
                <w:rFonts w:hint="eastAsia" w:eastAsiaTheme="minorEastAsia"/>
                <w:sz w:val="21"/>
                <w:szCs w:val="21"/>
                <w:highlight w:val="none"/>
              </w:rPr>
            </w:pPr>
            <w:r>
              <w:rPr>
                <w:rFonts w:hint="eastAsia" w:eastAsiaTheme="minorEastAsia"/>
                <w:sz w:val="21"/>
                <w:szCs w:val="21"/>
                <w:highlight w:val="none"/>
              </w:rPr>
              <w:t>氧化铁</w:t>
            </w:r>
          </w:p>
        </w:tc>
        <w:tc>
          <w:tcPr>
            <w:tcW w:w="1045" w:type="dxa"/>
            <w:noWrap w:val="0"/>
            <w:vAlign w:val="center"/>
          </w:tcPr>
          <w:p>
            <w:pPr>
              <w:jc w:val="center"/>
              <w:rPr>
                <w:rFonts w:hint="eastAsia" w:eastAsiaTheme="minorEastAsia"/>
                <w:sz w:val="21"/>
                <w:szCs w:val="21"/>
                <w:highlight w:val="none"/>
                <w:lang w:eastAsia="zh-CN"/>
              </w:rPr>
            </w:pPr>
            <w:r>
              <w:rPr>
                <w:rFonts w:hint="eastAsia" w:eastAsiaTheme="minorEastAsia"/>
                <w:sz w:val="21"/>
                <w:szCs w:val="21"/>
                <w:highlight w:val="none"/>
                <w:lang w:eastAsia="zh-CN"/>
              </w:rPr>
              <w:t>固体</w:t>
            </w:r>
          </w:p>
        </w:tc>
        <w:tc>
          <w:tcPr>
            <w:tcW w:w="1083" w:type="dxa"/>
            <w:noWrap w:val="0"/>
            <w:vAlign w:val="center"/>
          </w:tcPr>
          <w:p>
            <w:pPr>
              <w:jc w:val="center"/>
              <w:rPr>
                <w:rFonts w:hint="default" w:eastAsiaTheme="minorEastAsia"/>
                <w:sz w:val="21"/>
                <w:szCs w:val="21"/>
                <w:highlight w:val="none"/>
                <w:lang w:val="en-US" w:eastAsia="zh-CN"/>
              </w:rPr>
            </w:pPr>
            <w:r>
              <w:rPr>
                <w:rFonts w:hint="eastAsia" w:eastAsiaTheme="minorEastAsia"/>
                <w:sz w:val="21"/>
                <w:szCs w:val="21"/>
                <w:highlight w:val="none"/>
                <w:lang w:val="en-US" w:eastAsia="zh-CN"/>
              </w:rPr>
              <w:t>9.855</w:t>
            </w:r>
          </w:p>
        </w:tc>
        <w:tc>
          <w:tcPr>
            <w:tcW w:w="1311" w:type="dxa"/>
            <w:noWrap w:val="0"/>
            <w:vAlign w:val="center"/>
          </w:tcPr>
          <w:p>
            <w:pPr>
              <w:spacing w:line="240" w:lineRule="auto"/>
              <w:jc w:val="center"/>
              <w:rPr>
                <w:rFonts w:hint="default" w:eastAsiaTheme="minorEastAsia"/>
                <w:sz w:val="21"/>
                <w:szCs w:val="21"/>
                <w:highlight w:val="none"/>
                <w:lang w:val="en-US" w:eastAsia="zh-CN"/>
              </w:rPr>
            </w:pPr>
            <w:r>
              <w:rPr>
                <w:rFonts w:hint="eastAsia" w:eastAsiaTheme="minorEastAsia"/>
                <w:sz w:val="21"/>
                <w:szCs w:val="21"/>
                <w:highlight w:val="none"/>
                <w:lang w:val="en-US" w:eastAsia="zh-CN"/>
              </w:rPr>
              <w:t>17.2</w:t>
            </w:r>
          </w:p>
        </w:tc>
        <w:tc>
          <w:tcPr>
            <w:tcW w:w="1227" w:type="dxa"/>
            <w:tcBorders>
              <w:right w:val="single" w:color="auto" w:sz="4" w:space="0"/>
            </w:tcBorders>
            <w:noWrap w:val="0"/>
            <w:vAlign w:val="center"/>
          </w:tcPr>
          <w:p>
            <w:pPr>
              <w:spacing w:line="240" w:lineRule="auto"/>
              <w:jc w:val="center"/>
              <w:rPr>
                <w:rFonts w:hint="eastAsia" w:eastAsiaTheme="minorEastAsia"/>
                <w:sz w:val="21"/>
                <w:szCs w:val="21"/>
                <w:highlight w:val="none"/>
                <w:lang w:eastAsia="zh-CN"/>
              </w:rPr>
            </w:pPr>
            <w:r>
              <w:rPr>
                <w:rFonts w:hint="eastAsia" w:eastAsiaTheme="minorEastAsia"/>
                <w:sz w:val="21"/>
                <w:szCs w:val="21"/>
                <w:highlight w:val="none"/>
                <w:lang w:eastAsia="zh-CN"/>
              </w:rPr>
              <w:t>脱硫塔</w:t>
            </w:r>
          </w:p>
        </w:tc>
      </w:tr>
    </w:tbl>
    <w:p>
      <w:pPr>
        <w:pStyle w:val="17"/>
        <w:rPr>
          <w:rFonts w:hint="eastAsia" w:ascii="Times New Roman" w:hAnsi="Times New Roman"/>
          <w:sz w:val="24"/>
          <w:szCs w:val="24"/>
          <w:lang w:eastAsia="zh-CN"/>
        </w:rPr>
      </w:pPr>
    </w:p>
    <w:p>
      <w:pPr>
        <w:pStyle w:val="17"/>
        <w:rPr>
          <w:rFonts w:hint="eastAsia" w:ascii="Times New Roman" w:hAnsi="Times New Roman"/>
          <w:sz w:val="24"/>
          <w:szCs w:val="24"/>
          <w:lang w:eastAsia="zh-CN"/>
        </w:rPr>
      </w:pPr>
      <w:r>
        <w:rPr>
          <w:rFonts w:hint="eastAsia" w:ascii="Times New Roman" w:hAnsi="Times New Roman"/>
          <w:sz w:val="24"/>
          <w:szCs w:val="24"/>
          <w:lang w:eastAsia="zh-CN"/>
        </w:rPr>
        <w:t>氧化铁：化学式 Fe</w:t>
      </w:r>
      <w:r>
        <w:rPr>
          <w:rFonts w:hint="eastAsia" w:ascii="Times New Roman" w:hAnsi="Times New Roman"/>
          <w:sz w:val="24"/>
          <w:szCs w:val="24"/>
          <w:vertAlign w:val="subscript"/>
          <w:lang w:eastAsia="zh-CN"/>
        </w:rPr>
        <w:t>2</w:t>
      </w:r>
      <w:r>
        <w:rPr>
          <w:rFonts w:hint="eastAsia" w:ascii="Times New Roman" w:hAnsi="Times New Roman"/>
          <w:sz w:val="24"/>
          <w:szCs w:val="24"/>
          <w:lang w:eastAsia="zh-CN"/>
        </w:rPr>
        <w:t>O</w:t>
      </w:r>
      <w:r>
        <w:rPr>
          <w:rFonts w:hint="eastAsia" w:ascii="Times New Roman" w:hAnsi="Times New Roman"/>
          <w:sz w:val="24"/>
          <w:szCs w:val="24"/>
          <w:vertAlign w:val="subscript"/>
          <w:lang w:eastAsia="zh-CN"/>
        </w:rPr>
        <w:t>3</w:t>
      </w:r>
      <w:r>
        <w:rPr>
          <w:rFonts w:hint="eastAsia" w:ascii="Times New Roman" w:hAnsi="Times New Roman"/>
          <w:sz w:val="24"/>
          <w:szCs w:val="24"/>
          <w:lang w:eastAsia="zh-CN"/>
        </w:rPr>
        <w:t>，溶于盐酸，为红棕色粉末。俗称铁红，熔点为 1565℃，相对密度为 5.24。在自然界以赤铁矿形式存在，具有两性，与酸作用生成 Fe（Ⅲ）盐，与强碱作用得[Fe(OH)</w:t>
      </w:r>
      <w:r>
        <w:rPr>
          <w:rFonts w:hint="eastAsia" w:ascii="Times New Roman" w:hAnsi="Times New Roman"/>
          <w:sz w:val="24"/>
          <w:szCs w:val="24"/>
          <w:vertAlign w:val="subscript"/>
          <w:lang w:val="en-US" w:eastAsia="zh-CN"/>
        </w:rPr>
        <w:t>6</w:t>
      </w:r>
      <w:r>
        <w:rPr>
          <w:rFonts w:hint="eastAsia" w:ascii="Times New Roman" w:hAnsi="Times New Roman"/>
          <w:sz w:val="24"/>
          <w:szCs w:val="24"/>
          <w:lang w:eastAsia="zh-CN"/>
        </w:rPr>
        <w:t>]</w:t>
      </w:r>
      <w:r>
        <w:rPr>
          <w:rFonts w:hint="eastAsia" w:ascii="Times New Roman" w:hAnsi="Times New Roman"/>
          <w:sz w:val="24"/>
          <w:szCs w:val="24"/>
          <w:vertAlign w:val="superscript"/>
          <w:lang w:val="en-US" w:eastAsia="zh-CN"/>
        </w:rPr>
        <w:t>3-</w:t>
      </w:r>
      <w:r>
        <w:rPr>
          <w:rFonts w:hint="eastAsia" w:ascii="Times New Roman" w:hAnsi="Times New Roman"/>
          <w:sz w:val="24"/>
          <w:szCs w:val="24"/>
          <w:lang w:eastAsia="zh-CN"/>
        </w:rPr>
        <w:t>。在强碱介质中有一定的还原性，可被强氧化剂所氧化。</w:t>
      </w:r>
    </w:p>
    <w:p>
      <w:pPr>
        <w:pStyle w:val="4"/>
      </w:pPr>
      <w:bookmarkStart w:id="99" w:name="_Toc48"/>
      <w:bookmarkStart w:id="100" w:name="_Toc24517"/>
      <w:r>
        <w:t>2.</w:t>
      </w:r>
      <w:r>
        <w:rPr>
          <w:rFonts w:hint="eastAsia"/>
          <w:lang w:val="en-US" w:eastAsia="zh-CN"/>
        </w:rPr>
        <w:t>2</w:t>
      </w:r>
      <w:r>
        <w:t>.</w:t>
      </w:r>
      <w:r>
        <w:rPr>
          <w:rFonts w:hint="eastAsia"/>
          <w:lang w:val="en-US" w:eastAsia="zh-CN"/>
        </w:rPr>
        <w:t>4</w:t>
      </w:r>
      <w:r>
        <w:t>产品</w:t>
      </w:r>
      <w:bookmarkEnd w:id="99"/>
      <w:bookmarkEnd w:id="100"/>
    </w:p>
    <w:p>
      <w:pPr>
        <w:pStyle w:val="17"/>
        <w:rPr>
          <w:rFonts w:hint="default" w:ascii="Times New Roman" w:hAnsi="Times New Roman"/>
          <w:szCs w:val="28"/>
          <w:lang w:val="en-US" w:eastAsia="zh-CN"/>
        </w:rPr>
      </w:pPr>
      <w:r>
        <w:rPr>
          <w:rFonts w:hint="eastAsia" w:ascii="Times New Roman" w:hAnsi="Times New Roman"/>
          <w:szCs w:val="28"/>
          <w:lang w:eastAsia="zh-CN"/>
        </w:rPr>
        <w:t>中山市民东有机废物处理有限公司污泥处理规模</w:t>
      </w:r>
      <w:r>
        <w:rPr>
          <w:rFonts w:hint="eastAsia" w:ascii="Times New Roman" w:hAnsi="Times New Roman"/>
          <w:szCs w:val="28"/>
          <w:lang w:val="en-US" w:eastAsia="zh-CN"/>
        </w:rPr>
        <w:t>300吨/日，</w:t>
      </w:r>
      <w:r>
        <w:rPr>
          <w:rFonts w:hint="eastAsia" w:ascii="Times New Roman" w:hAnsi="Times New Roman"/>
          <w:szCs w:val="28"/>
          <w:lang w:eastAsia="zh-CN"/>
        </w:rPr>
        <w:t>年产沼气</w:t>
      </w:r>
      <w:r>
        <w:rPr>
          <w:rFonts w:hint="eastAsia" w:ascii="Times New Roman" w:hAnsi="Times New Roman"/>
          <w:szCs w:val="28"/>
          <w:lang w:val="en-US" w:eastAsia="zh-CN"/>
        </w:rPr>
        <w:t>340万m3/年，处理过程产生的沼气经脱硫后用于蒸汽锅炉燃烧，多余部分均送火炬燃烧，年产干化沼渣43800吨。</w:t>
      </w:r>
    </w:p>
    <w:p>
      <w:pPr>
        <w:pStyle w:val="4"/>
      </w:pPr>
      <w:bookmarkStart w:id="101" w:name="_Toc17797"/>
      <w:bookmarkStart w:id="102" w:name="_Toc29381"/>
      <w:r>
        <w:t>2.</w:t>
      </w:r>
      <w:r>
        <w:rPr>
          <w:rFonts w:hint="eastAsia"/>
          <w:lang w:val="en-US" w:eastAsia="zh-CN"/>
        </w:rPr>
        <w:t>2</w:t>
      </w:r>
      <w:r>
        <w:t>.</w:t>
      </w:r>
      <w:r>
        <w:rPr>
          <w:rFonts w:hint="eastAsia"/>
          <w:lang w:val="en-US" w:eastAsia="zh-CN"/>
        </w:rPr>
        <w:t>5</w:t>
      </w:r>
      <w:r>
        <w:t>生产工艺流程</w:t>
      </w:r>
      <w:bookmarkEnd w:id="101"/>
      <w:bookmarkEnd w:id="102"/>
    </w:p>
    <w:p>
      <w:pPr>
        <w:pStyle w:val="17"/>
        <w:rPr>
          <w:rFonts w:hint="eastAsia" w:ascii="Times New Roman" w:hAnsi="Times New Roman"/>
          <w:bCs/>
          <w:szCs w:val="28"/>
        </w:rPr>
        <w:sectPr>
          <w:pgSz w:w="11906" w:h="16838"/>
          <w:pgMar w:top="1418" w:right="1418" w:bottom="1418" w:left="1418" w:header="851" w:footer="959" w:gutter="0"/>
          <w:pgBorders>
            <w:top w:val="none" w:sz="0" w:space="0"/>
            <w:left w:val="none" w:sz="0" w:space="0"/>
            <w:bottom w:val="none" w:sz="0" w:space="0"/>
            <w:right w:val="none" w:sz="0" w:space="0"/>
          </w:pgBorders>
          <w:pgNumType w:fmt="decimal"/>
          <w:cols w:space="720" w:num="1"/>
          <w:docGrid w:linePitch="381" w:charSpace="0"/>
        </w:sectPr>
      </w:pPr>
      <w:bookmarkStart w:id="103" w:name="_Toc301780856"/>
      <w:bookmarkStart w:id="104" w:name="_Toc346551922"/>
      <w:bookmarkStart w:id="105" w:name="_Toc76139352"/>
      <w:bookmarkStart w:id="106" w:name="_Toc346552171"/>
      <w:bookmarkStart w:id="107" w:name="_Toc115259835"/>
      <w:bookmarkStart w:id="108" w:name="_Toc149622398"/>
      <w:bookmarkStart w:id="109" w:name="_Toc358104386"/>
      <w:bookmarkStart w:id="110" w:name="_Toc82857213"/>
      <w:bookmarkStart w:id="111" w:name="_Toc88466712"/>
      <w:bookmarkStart w:id="112" w:name="_Toc114997756"/>
      <w:bookmarkStart w:id="113" w:name="_Toc280088371"/>
      <w:bookmarkStart w:id="114" w:name="_Toc356919962"/>
      <w:r>
        <w:rPr>
          <w:rFonts w:hint="eastAsia" w:ascii="Times New Roman" w:hAnsi="Times New Roman"/>
          <w:bCs/>
          <w:szCs w:val="28"/>
        </w:rPr>
        <w:t>公司</w:t>
      </w:r>
      <w:r>
        <w:rPr>
          <w:rFonts w:hint="eastAsia" w:ascii="Times New Roman" w:hAnsi="Times New Roman"/>
          <w:bCs/>
          <w:szCs w:val="28"/>
          <w:lang w:eastAsia="zh-CN"/>
        </w:rPr>
        <w:t>主要生产</w:t>
      </w:r>
      <w:r>
        <w:rPr>
          <w:rFonts w:ascii="Times New Roman" w:hAnsi="Times New Roman"/>
          <w:bCs/>
          <w:szCs w:val="28"/>
        </w:rPr>
        <w:t>工艺流程图如下</w:t>
      </w:r>
      <w:r>
        <w:rPr>
          <w:rFonts w:hint="eastAsia" w:ascii="Times New Roman" w:hAnsi="Times New Roman"/>
          <w:bCs/>
          <w:szCs w:val="28"/>
        </w:rPr>
        <w:t>：</w:t>
      </w:r>
    </w:p>
    <w:p>
      <w:pPr>
        <w:pStyle w:val="17"/>
        <w:rPr>
          <w:rFonts w:hint="eastAsia" w:ascii="Times New Roman" w:hAnsi="Times New Roman"/>
          <w:bCs/>
          <w:szCs w:val="28"/>
        </w:rPr>
      </w:pPr>
    </w:p>
    <w:p>
      <w:pPr>
        <w:jc w:val="both"/>
        <w:rPr>
          <w:rFonts w:ascii="宋体" w:hAnsi="宋体" w:eastAsia="宋体"/>
          <w:b/>
          <w:bCs/>
          <w:sz w:val="24"/>
        </w:rPr>
      </w:pPr>
      <w:r>
        <w:drawing>
          <wp:inline distT="0" distB="0" distL="114300" distR="114300">
            <wp:extent cx="8921750" cy="4980305"/>
            <wp:effectExtent l="0" t="0" r="12700" b="10795"/>
            <wp:docPr id="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
                    <pic:cNvPicPr>
                      <a:picLocks noChangeAspect="1"/>
                    </pic:cNvPicPr>
                  </pic:nvPicPr>
                  <pic:blipFill>
                    <a:blip r:embed="rId25"/>
                    <a:stretch>
                      <a:fillRect/>
                    </a:stretch>
                  </pic:blipFill>
                  <pic:spPr>
                    <a:xfrm>
                      <a:off x="0" y="0"/>
                      <a:ext cx="8921750" cy="4980305"/>
                    </a:xfrm>
                    <a:prstGeom prst="rect">
                      <a:avLst/>
                    </a:prstGeom>
                    <a:noFill/>
                    <a:ln>
                      <a:noFill/>
                    </a:ln>
                  </pic:spPr>
                </pic:pic>
              </a:graphicData>
            </a:graphic>
          </wp:inline>
        </w:drawing>
      </w:r>
    </w:p>
    <w:p>
      <w:pPr>
        <w:ind w:firstLine="482"/>
        <w:jc w:val="center"/>
        <w:rPr>
          <w:rFonts w:ascii="宋体" w:hAnsi="宋体" w:eastAsia="宋体"/>
          <w:b/>
          <w:bCs/>
          <w:sz w:val="24"/>
        </w:rPr>
      </w:pPr>
    </w:p>
    <w:p>
      <w:pPr>
        <w:ind w:firstLine="482"/>
        <w:jc w:val="center"/>
        <w:rPr>
          <w:rFonts w:hint="eastAsia" w:ascii="宋体" w:hAnsi="宋体" w:eastAsia="宋体" w:cs="Lucida Sans Unicode"/>
          <w:b/>
          <w:bCs/>
          <w:sz w:val="24"/>
          <w:lang w:eastAsia="zh-CN"/>
        </w:rPr>
        <w:sectPr>
          <w:pgSz w:w="16838" w:h="11906" w:orient="landscape"/>
          <w:pgMar w:top="1418" w:right="1418" w:bottom="1418" w:left="1418" w:header="851" w:footer="959" w:gutter="0"/>
          <w:pgBorders>
            <w:top w:val="none" w:sz="0" w:space="0"/>
            <w:left w:val="none" w:sz="0" w:space="0"/>
            <w:bottom w:val="none" w:sz="0" w:space="0"/>
            <w:right w:val="none" w:sz="0" w:space="0"/>
          </w:pgBorders>
          <w:pgNumType w:fmt="decimal"/>
          <w:cols w:space="720" w:num="1"/>
          <w:docGrid w:linePitch="381" w:charSpace="0"/>
        </w:sectPr>
      </w:pPr>
      <w:r>
        <w:rPr>
          <w:rFonts w:ascii="宋体" w:hAnsi="宋体" w:eastAsia="宋体"/>
          <w:b/>
          <w:bCs/>
          <w:sz w:val="24"/>
        </w:rPr>
        <w:t>图</w:t>
      </w:r>
      <w:r>
        <w:rPr>
          <w:rFonts w:hint="eastAsia" w:ascii="宋体" w:hAnsi="宋体" w:eastAsia="宋体"/>
          <w:b/>
          <w:bCs/>
          <w:sz w:val="24"/>
        </w:rPr>
        <w:t>2-</w:t>
      </w:r>
      <w:r>
        <w:rPr>
          <w:rFonts w:hint="eastAsia" w:ascii="宋体" w:hAnsi="宋体"/>
          <w:b/>
          <w:bCs/>
          <w:sz w:val="24"/>
          <w:lang w:val="en-US" w:eastAsia="zh-CN"/>
        </w:rPr>
        <w:t>5</w:t>
      </w:r>
      <w:r>
        <w:rPr>
          <w:rFonts w:ascii="宋体" w:hAnsi="宋体" w:eastAsia="宋体"/>
          <w:b/>
          <w:bCs/>
          <w:sz w:val="24"/>
        </w:rPr>
        <w:t>　</w:t>
      </w:r>
      <w:r>
        <w:rPr>
          <w:rFonts w:hint="eastAsia" w:ascii="宋体" w:hAnsi="宋体" w:cs="Lucida Sans Unicode"/>
          <w:b/>
          <w:bCs/>
          <w:sz w:val="24"/>
          <w:lang w:eastAsia="zh-CN"/>
        </w:rPr>
        <w:t>生产</w:t>
      </w:r>
      <w:r>
        <w:rPr>
          <w:rFonts w:hint="eastAsia" w:ascii="宋体" w:hAnsi="宋体" w:eastAsia="宋体" w:cs="Lucida Sans Unicode"/>
          <w:b/>
          <w:bCs/>
          <w:sz w:val="24"/>
        </w:rPr>
        <w:t>工艺流程</w:t>
      </w:r>
      <w:r>
        <w:rPr>
          <w:rFonts w:hint="eastAsia" w:ascii="宋体" w:hAnsi="宋体" w:cs="Lucida Sans Unicode"/>
          <w:b/>
          <w:bCs/>
          <w:sz w:val="24"/>
          <w:lang w:eastAsia="zh-CN"/>
        </w:rPr>
        <w:t>图</w:t>
      </w:r>
    </w:p>
    <w:p>
      <w:pPr>
        <w:adjustRightInd w:val="0"/>
        <w:snapToGrid w:val="0"/>
        <w:ind w:firstLine="474" w:firstLineChars="200"/>
        <w:rPr>
          <w:rFonts w:hint="eastAsia" w:eastAsia="宋体"/>
          <w:b/>
          <w:sz w:val="24"/>
          <w:szCs w:val="20"/>
        </w:rPr>
      </w:pPr>
    </w:p>
    <w:p>
      <w:pPr>
        <w:pStyle w:val="17"/>
        <w:rPr>
          <w:rFonts w:hint="eastAsia" w:ascii="Times New Roman" w:hAnsi="Times New Roman"/>
          <w:b/>
          <w:bCs/>
          <w:szCs w:val="28"/>
          <w:lang w:eastAsia="zh-CN"/>
        </w:rPr>
      </w:pPr>
      <w:r>
        <w:rPr>
          <w:rFonts w:hint="eastAsia" w:ascii="Times New Roman" w:hAnsi="Times New Roman"/>
          <w:b/>
          <w:bCs/>
          <w:szCs w:val="28"/>
          <w:lang w:eastAsia="zh-CN"/>
        </w:rPr>
        <w:t>工艺流程说明：</w:t>
      </w:r>
    </w:p>
    <w:p>
      <w:pPr>
        <w:spacing w:line="360" w:lineRule="auto"/>
        <w:ind w:firstLine="552" w:firstLineChars="200"/>
        <w:rPr>
          <w:rFonts w:hint="eastAsia"/>
          <w:szCs w:val="22"/>
          <w:lang w:eastAsia="zh-CN"/>
        </w:rPr>
      </w:pPr>
      <w:r>
        <w:rPr>
          <w:rFonts w:hint="eastAsia"/>
          <w:szCs w:val="22"/>
          <w:lang w:eastAsia="zh-CN"/>
        </w:rPr>
        <w:t>公司主要工艺路线为“热水解污泥改性+中温厌氧消化+沼渣板框压滤脱水”。</w:t>
      </w:r>
    </w:p>
    <w:p>
      <w:pPr>
        <w:spacing w:line="360" w:lineRule="auto"/>
        <w:ind w:firstLine="552" w:firstLineChars="200"/>
      </w:pPr>
      <w:r>
        <w:rPr>
          <w:rFonts w:hint="eastAsia"/>
          <w:szCs w:val="22"/>
          <w:lang w:eastAsia="zh-CN"/>
        </w:rPr>
        <w:t>①前处理工艺单元：城市污水污泥（含水率约 80%）经槽车运输，先倒入卸料槽，进入原泥料仓（缓冲仓），无需稀释均质，经切粹机对污泥中的 石块等大杂质进行切碎后，由原泥输送泵提升进入预热反应器，热水解处理站来的二次蒸汽通入预热反应器，在二次蒸汽预热的同时进行机械协同搅拌，提高蒸汽热吸收效率，加热后用螺杆泵送入热水解处理站。污泥经过热水解处理后送至排料缓冲罐进行缓存，随后用离心泵送入热污泥冷却换</w:t>
      </w:r>
      <w:r>
        <w:t>热器进行降温。在前处理单元内设有微负压除臭系统，对其臭气进行处理。</w:t>
      </w:r>
    </w:p>
    <w:p>
      <w:pPr>
        <w:spacing w:line="360" w:lineRule="auto"/>
        <w:ind w:firstLine="552" w:firstLineChars="200"/>
      </w:pPr>
      <w:r>
        <w:t>②热水解处理单元：热水解工艺是指把含水率很高的有机质密闭加热到一定的温度和压力（温度 190~200℃，压力略高于饱和蒸汽压），并维持一段时间。其中的微生物细胞开始破碎，胶体物质开始解体，粘度降低，胞内水、毛细吸附水和表面吸附水大量析出，大量的有机物从非溶解的固态转化为溶解态或半溶解态而转移到液相。经过热水解处理后的有机质，细胞结构被破坏，高分子有机物的大分子断裂为较小的分子，这些有机物变得更容易被活的细胞用作新陈代谢的原料，特别是更易于被厌氧细菌所利用；残留的颗粒物则变得更容易脱水。热水解工艺与厌氧消化工艺的结合，有利于污泥的厌氧消化过程。在热水解工艺过程中，细胞内的细胞质开始溶出，大分子有机物发生水解，此时，脂肪逐步水解成甘油和直链脂肪酸，碳水化合物水解成小分子的多糖或单糖，蛋白质水解成多肽、二肽、氨基酸。大分子有机物由固相转移至液相，较好地解决了污泥消化水解限速的瓶颈，将中温厌氧消化过程中需要20d左右的大分子有机物水解过程在30min中内完成，从而大幅度提高了污泥的生物降解性能。</w:t>
      </w:r>
      <w:r>
        <w:rPr>
          <w:rFonts w:hint="eastAsia"/>
          <w:lang w:eastAsia="zh-CN"/>
        </w:rPr>
        <w:t>公司</w:t>
      </w:r>
      <w:r>
        <w:t>共设置6套热水解反应釜，3座热水解反应釜为一组，分为2组。每组每天交替进料，根据进料、加热、出料的序批周期交替使用，一批次 90 分钟，每天分 16 个批次向热水解反应釜给料。热水解工艺所需的热蒸汽由沼气锅炉产生，需提供温度 200°C 的饱和蒸汽。</w:t>
      </w:r>
    </w:p>
    <w:p>
      <w:pPr>
        <w:spacing w:line="360" w:lineRule="auto"/>
        <w:ind w:firstLine="552" w:firstLineChars="200"/>
      </w:pPr>
      <w:r>
        <w:t>经预热反应器预热后的污泥进入热水解反应系统，热水解反应系统设在前处理单元与厌氧反应罐之间的热水解车间内。热水解反应器采用新型的反应釜，无需浆化匀质原泥，直接进行热水解反应，效率高，成本低。以热蒸汽直接通入反应釜进行混合加热的方式，强化了传质传热过程，避免局部过热结焦炭化。经热水解改性后的生物质污泥直接暂储于排料缓冲罐，随后通过热泥换热泵进入热污泥冷却换热器，冷却至 37℃后暂 存于除砂缓存罐。随后物料经旋流除砂进料泵进入旋流除砂器，脱除大颗粒的泥沙等无机颗粒物，经过除砂后的物料则进入厌氧消化反应器。脱出泥沙经螺旋提升后送入厌氧消化出料缓冲池（也就是脱水单元消化污泥贮池），在此等待压滤脱水。在热水解处理过程中使用的生产设备均为全封闭式，同时物料均通过密闭管道运输，无臭气逸散。</w:t>
      </w:r>
    </w:p>
    <w:p>
      <w:pPr>
        <w:spacing w:line="360" w:lineRule="auto"/>
        <w:ind w:firstLine="552" w:firstLineChars="200"/>
        <w:rPr>
          <w:rFonts w:hint="eastAsia" w:eastAsia="宋体"/>
          <w:lang w:eastAsia="zh-CN"/>
        </w:rPr>
      </w:pPr>
      <w:r>
        <w:t>③厌氧消化单元：经冷却、除砂后的物料进入高温厌氧反应器，停留时间约16d，进水温度控制在 36-34℃（现厌氧管消化温度为 35℃）。由于经热水解单元和除砂单元处理后，污泥中固体有机物大部分已水解、溶解，较大颗粒的泥沙也大部分被去除，厌氧消化性能得到极大改善，甲烷产量、速率显著提高。厌氧消化的出料则进入后续的消化污泥贮池暂存，再进入板框压滤进行脱水处理。在厌氧消化过程中使用的设备均为全封闭式，同时物料均通过密闭管道运输，无臭气逸散</w:t>
      </w:r>
      <w:r>
        <w:rPr>
          <w:rFonts w:hint="eastAsia"/>
          <w:lang w:eastAsia="zh-CN"/>
        </w:rPr>
        <w:t>。</w:t>
      </w:r>
    </w:p>
    <w:p>
      <w:pPr>
        <w:spacing w:line="360" w:lineRule="auto"/>
        <w:ind w:firstLine="552" w:firstLineChars="200"/>
        <w:rPr>
          <w:rFonts w:hint="eastAsia"/>
          <w:lang w:eastAsia="zh-CN"/>
        </w:rPr>
      </w:pPr>
      <w:r>
        <w:t>④消化污泥脱水单元：热水解后污泥的脱水方式选用板框压滤，压滤后泥饼的含水率可降至50%左右</w:t>
      </w:r>
      <w:r>
        <w:rPr>
          <w:rFonts w:hint="eastAsia"/>
          <w:lang w:eastAsia="zh-CN"/>
        </w:rPr>
        <w:t>。公司采用板框压滤机对消化后的物料进行固液分离，获得含水率小于50%的渣土，且不使用任何化学药剂。通过压滤之后的50%的沼渣既可以作为营养土，也可以作为烧砖用原料，压滤液进入到沼液缓冲池储存，最终通过船运至珍家山污水处理厂处理。</w:t>
      </w:r>
    </w:p>
    <w:p>
      <w:pPr>
        <w:spacing w:line="360" w:lineRule="auto"/>
        <w:ind w:firstLine="554" w:firstLineChars="200"/>
        <w:rPr>
          <w:rFonts w:hint="eastAsia"/>
          <w:b/>
          <w:bCs/>
          <w:lang w:eastAsia="zh-CN"/>
        </w:rPr>
      </w:pPr>
      <w:r>
        <w:rPr>
          <w:rFonts w:hint="eastAsia"/>
          <w:b/>
          <w:bCs/>
          <w:lang w:eastAsia="zh-CN"/>
        </w:rPr>
        <w:t>沼液、沼渣运输路线：</w:t>
      </w:r>
    </w:p>
    <w:p>
      <w:pPr>
        <w:spacing w:line="360" w:lineRule="auto"/>
        <w:ind w:firstLine="552" w:firstLineChars="200"/>
        <w:rPr>
          <w:rFonts w:hint="eastAsia"/>
          <w:lang w:eastAsia="zh-CN"/>
        </w:rPr>
      </w:pPr>
      <w:r>
        <w:rPr>
          <w:rFonts w:hint="eastAsia"/>
          <w:lang w:eastAsia="zh-CN"/>
        </w:rPr>
        <w:t>（一）沼液的运输</w:t>
      </w:r>
    </w:p>
    <w:p>
      <w:pPr>
        <w:spacing w:line="360" w:lineRule="auto"/>
        <w:ind w:firstLine="552" w:firstLineChars="200"/>
        <w:rPr>
          <w:rFonts w:hint="eastAsia"/>
          <w:lang w:eastAsia="zh-CN"/>
        </w:rPr>
      </w:pPr>
      <w:r>
        <w:rPr>
          <w:rFonts w:hint="eastAsia"/>
          <w:lang w:eastAsia="zh-CN"/>
        </w:rPr>
        <w:t>民东公司在运营过程中所产生的沼液废水，交给中山市污水处理有限公司（中山市珍家山污水处理厂）处理，每天由船运输至中山市珍家山污水处理厂集中处理。</w:t>
      </w:r>
    </w:p>
    <w:p>
      <w:pPr>
        <w:spacing w:line="360" w:lineRule="auto"/>
        <w:ind w:firstLine="552" w:firstLineChars="200"/>
        <w:rPr>
          <w:rFonts w:hint="eastAsia"/>
          <w:lang w:eastAsia="zh-CN"/>
        </w:rPr>
      </w:pPr>
      <w:r>
        <w:rPr>
          <w:rFonts w:hint="eastAsia"/>
          <w:lang w:eastAsia="zh-CN"/>
        </w:rPr>
        <w:t>沼液的运输路线如下图所示：</w:t>
      </w:r>
    </w:p>
    <w:p>
      <w:pPr>
        <w:spacing w:line="360" w:lineRule="auto"/>
        <w:ind w:firstLine="552" w:firstLineChars="200"/>
        <w:rPr>
          <w:rFonts w:hint="eastAsia"/>
          <w:lang w:eastAsia="zh-CN"/>
        </w:rPr>
      </w:pPr>
      <w:r>
        <w:rPr>
          <w:rFonts w:hint="eastAsia"/>
          <w:lang w:eastAsia="zh-CN"/>
        </w:rPr>
        <w:drawing>
          <wp:anchor distT="0" distB="0" distL="114300" distR="114300" simplePos="0" relativeHeight="3372005376" behindDoc="0" locked="0" layoutInCell="1" allowOverlap="1">
            <wp:simplePos x="0" y="0"/>
            <wp:positionH relativeFrom="column">
              <wp:posOffset>-190500</wp:posOffset>
            </wp:positionH>
            <wp:positionV relativeFrom="paragraph">
              <wp:posOffset>-3810</wp:posOffset>
            </wp:positionV>
            <wp:extent cx="6131560" cy="4318000"/>
            <wp:effectExtent l="9525" t="9525" r="12065" b="15875"/>
            <wp:wrapNone/>
            <wp:docPr id="28" name="图片 6668" descr="QQ截图20141010115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6668" descr="QQ截图20141010115240"/>
                    <pic:cNvPicPr>
                      <a:picLocks noChangeAspect="1"/>
                    </pic:cNvPicPr>
                  </pic:nvPicPr>
                  <pic:blipFill>
                    <a:blip r:embed="rId26"/>
                    <a:stretch>
                      <a:fillRect/>
                    </a:stretch>
                  </pic:blipFill>
                  <pic:spPr>
                    <a:xfrm>
                      <a:off x="0" y="0"/>
                      <a:ext cx="6131560" cy="4318000"/>
                    </a:xfrm>
                    <a:prstGeom prst="rect">
                      <a:avLst/>
                    </a:prstGeom>
                    <a:noFill/>
                    <a:ln w="3175" cap="flat" cmpd="sng">
                      <a:solidFill>
                        <a:srgbClr val="000000"/>
                      </a:solidFill>
                      <a:prstDash val="solid"/>
                      <a:miter/>
                      <a:headEnd type="none" w="med" len="med"/>
                      <a:tailEnd type="none" w="med" len="med"/>
                    </a:ln>
                  </pic:spPr>
                </pic:pic>
              </a:graphicData>
            </a:graphic>
          </wp:anchor>
        </w:drawing>
      </w:r>
    </w:p>
    <w:p>
      <w:pPr>
        <w:spacing w:line="360" w:lineRule="auto"/>
        <w:ind w:firstLine="552" w:firstLineChars="200"/>
        <w:rPr>
          <w:rFonts w:hint="eastAsia"/>
          <w:lang w:eastAsia="zh-CN"/>
        </w:rPr>
      </w:pPr>
    </w:p>
    <w:p>
      <w:pPr>
        <w:spacing w:line="360" w:lineRule="auto"/>
        <w:ind w:firstLine="552" w:firstLineChars="200"/>
        <w:rPr>
          <w:rFonts w:hint="eastAsia"/>
          <w:lang w:eastAsia="zh-CN"/>
        </w:rPr>
      </w:pPr>
    </w:p>
    <w:p>
      <w:pPr>
        <w:spacing w:line="360" w:lineRule="auto"/>
        <w:ind w:firstLine="552" w:firstLineChars="200"/>
        <w:rPr>
          <w:rFonts w:hint="eastAsia"/>
          <w:lang w:eastAsia="zh-CN"/>
        </w:rPr>
      </w:pPr>
    </w:p>
    <w:p>
      <w:pPr>
        <w:spacing w:line="360" w:lineRule="auto"/>
        <w:ind w:firstLine="552" w:firstLineChars="200"/>
        <w:rPr>
          <w:rFonts w:hint="eastAsia"/>
          <w:lang w:eastAsia="zh-CN"/>
        </w:rPr>
      </w:pPr>
    </w:p>
    <w:p>
      <w:pPr>
        <w:spacing w:line="360" w:lineRule="auto"/>
        <w:ind w:firstLine="552" w:firstLineChars="200"/>
        <w:rPr>
          <w:rFonts w:hint="eastAsia"/>
          <w:lang w:eastAsia="zh-CN"/>
        </w:rPr>
      </w:pPr>
    </w:p>
    <w:p>
      <w:pPr>
        <w:spacing w:line="360" w:lineRule="auto"/>
        <w:ind w:firstLine="552" w:firstLineChars="200"/>
        <w:rPr>
          <w:rFonts w:hint="eastAsia"/>
          <w:lang w:eastAsia="zh-CN"/>
        </w:rPr>
      </w:pPr>
    </w:p>
    <w:p>
      <w:pPr>
        <w:spacing w:line="360" w:lineRule="auto"/>
        <w:ind w:firstLine="552" w:firstLineChars="200"/>
        <w:rPr>
          <w:rFonts w:hint="eastAsia"/>
          <w:lang w:eastAsia="zh-CN"/>
        </w:rPr>
      </w:pPr>
    </w:p>
    <w:p>
      <w:pPr>
        <w:spacing w:line="360" w:lineRule="auto"/>
        <w:ind w:firstLine="552" w:firstLineChars="200"/>
        <w:rPr>
          <w:rFonts w:hint="eastAsia"/>
          <w:lang w:eastAsia="zh-CN"/>
        </w:rPr>
      </w:pPr>
    </w:p>
    <w:p>
      <w:pPr>
        <w:spacing w:line="360" w:lineRule="auto"/>
        <w:ind w:firstLine="552" w:firstLineChars="200"/>
        <w:rPr>
          <w:rFonts w:hint="eastAsia"/>
          <w:lang w:eastAsia="zh-CN"/>
        </w:rPr>
      </w:pPr>
    </w:p>
    <w:p>
      <w:pPr>
        <w:spacing w:line="360" w:lineRule="auto"/>
        <w:ind w:firstLine="552" w:firstLineChars="200"/>
        <w:rPr>
          <w:rFonts w:hint="eastAsia"/>
          <w:lang w:eastAsia="zh-CN"/>
        </w:rPr>
      </w:pPr>
    </w:p>
    <w:p>
      <w:pPr>
        <w:spacing w:line="360" w:lineRule="auto"/>
        <w:ind w:firstLine="552" w:firstLineChars="200"/>
        <w:rPr>
          <w:rFonts w:hint="eastAsia"/>
          <w:lang w:eastAsia="zh-CN"/>
        </w:rPr>
      </w:pPr>
    </w:p>
    <w:p>
      <w:pPr>
        <w:spacing w:line="360" w:lineRule="auto"/>
        <w:ind w:firstLine="552" w:firstLineChars="200"/>
        <w:rPr>
          <w:rFonts w:hint="eastAsia"/>
          <w:lang w:eastAsia="zh-CN"/>
        </w:rPr>
      </w:pPr>
    </w:p>
    <w:p>
      <w:pPr>
        <w:numPr>
          <w:ilvl w:val="0"/>
          <w:numId w:val="1"/>
        </w:numPr>
        <w:spacing w:line="360" w:lineRule="auto"/>
        <w:ind w:firstLine="552" w:firstLineChars="200"/>
        <w:rPr>
          <w:rFonts w:hint="eastAsia"/>
          <w:lang w:eastAsia="zh-CN"/>
        </w:rPr>
      </w:pPr>
      <w:r>
        <w:rPr>
          <w:rFonts w:hint="eastAsia"/>
          <w:lang w:eastAsia="zh-CN"/>
        </w:rPr>
        <w:t>沼渣的运输</w:t>
      </w:r>
    </w:p>
    <w:p>
      <w:pPr>
        <w:numPr>
          <w:ilvl w:val="0"/>
          <w:numId w:val="0"/>
        </w:numPr>
        <w:spacing w:line="360" w:lineRule="auto"/>
        <w:jc w:val="center"/>
        <w:rPr>
          <w:rFonts w:hint="eastAsia"/>
          <w:lang w:eastAsia="zh-CN"/>
        </w:rPr>
      </w:pPr>
      <w:r>
        <w:rPr>
          <w:rFonts w:ascii="宋体" w:hAnsi="宋体" w:eastAsia="宋体"/>
          <w:b/>
          <w:bCs/>
          <w:sz w:val="24"/>
        </w:rPr>
        <w:t>图</w:t>
      </w:r>
      <w:r>
        <w:rPr>
          <w:rFonts w:hint="eastAsia" w:ascii="宋体" w:hAnsi="宋体" w:eastAsia="宋体"/>
          <w:b/>
          <w:bCs/>
          <w:sz w:val="24"/>
        </w:rPr>
        <w:t>2-</w:t>
      </w:r>
      <w:r>
        <w:rPr>
          <w:rFonts w:hint="eastAsia" w:ascii="宋体" w:hAnsi="宋体"/>
          <w:b/>
          <w:bCs/>
          <w:sz w:val="24"/>
          <w:lang w:val="en-US" w:eastAsia="zh-CN"/>
        </w:rPr>
        <w:t>6</w:t>
      </w:r>
      <w:r>
        <w:rPr>
          <w:rFonts w:ascii="宋体" w:hAnsi="宋体" w:eastAsia="宋体"/>
          <w:b/>
          <w:bCs/>
          <w:sz w:val="24"/>
        </w:rPr>
        <w:t>　</w:t>
      </w:r>
      <w:r>
        <w:rPr>
          <w:rFonts w:hint="eastAsia" w:ascii="宋体" w:hAnsi="宋体" w:cs="Lucida Sans Unicode"/>
          <w:b/>
          <w:bCs/>
          <w:sz w:val="24"/>
          <w:lang w:eastAsia="zh-CN"/>
        </w:rPr>
        <w:t>沼液运输路线图</w:t>
      </w:r>
    </w:p>
    <w:p>
      <w:pPr>
        <w:spacing w:line="360" w:lineRule="auto"/>
        <w:ind w:firstLine="552" w:firstLineChars="200"/>
        <w:rPr>
          <w:rFonts w:hint="eastAsia"/>
          <w:b w:val="0"/>
          <w:bCs w:val="0"/>
          <w:highlight w:val="none"/>
          <w:lang w:eastAsia="zh-CN"/>
        </w:rPr>
      </w:pPr>
      <w:r>
        <w:rPr>
          <w:rFonts w:hint="eastAsia" w:ascii="宋体"/>
          <w:szCs w:val="28"/>
        </w:rPr>
        <w:t>（二）沼渣的运输</w:t>
      </w:r>
    </w:p>
    <w:p>
      <w:pPr>
        <w:spacing w:line="360" w:lineRule="auto"/>
        <w:ind w:firstLine="552" w:firstLineChars="200"/>
        <w:rPr>
          <w:rFonts w:hint="eastAsia"/>
          <w:b w:val="0"/>
          <w:bCs w:val="0"/>
          <w:highlight w:val="none"/>
          <w:lang w:eastAsia="zh-CN"/>
        </w:rPr>
      </w:pPr>
      <w:r>
        <w:rPr>
          <w:rFonts w:hint="eastAsia"/>
          <w:b w:val="0"/>
          <w:bCs w:val="0"/>
          <w:highlight w:val="none"/>
          <w:lang w:eastAsia="zh-CN"/>
        </w:rPr>
        <w:t>民东公司在运营过程中所产生的沼渣，产生的沼渣将其交由专业的处理处置公司（利瑞环保公司）处理。</w:t>
      </w:r>
    </w:p>
    <w:p>
      <w:pPr>
        <w:spacing w:line="360" w:lineRule="auto"/>
        <w:ind w:firstLine="552" w:firstLineChars="200"/>
        <w:rPr>
          <w:rFonts w:hint="eastAsia"/>
          <w:highlight w:val="yellow"/>
          <w:lang w:eastAsia="zh-CN"/>
        </w:rPr>
      </w:pPr>
    </w:p>
    <w:p>
      <w:pPr>
        <w:spacing w:line="360" w:lineRule="auto"/>
        <w:ind w:firstLine="552" w:firstLineChars="200"/>
        <w:rPr>
          <w:rFonts w:hint="eastAsia"/>
          <w:highlight w:val="yellow"/>
          <w:lang w:eastAsia="zh-CN"/>
        </w:rPr>
      </w:pPr>
    </w:p>
    <w:p>
      <w:pPr>
        <w:spacing w:line="360" w:lineRule="auto"/>
        <w:ind w:firstLine="552" w:firstLineChars="200"/>
        <w:rPr>
          <w:rFonts w:hint="eastAsia"/>
          <w:highlight w:val="yellow"/>
          <w:lang w:eastAsia="zh-CN"/>
        </w:rPr>
      </w:pPr>
    </w:p>
    <w:bookmarkEnd w:id="98"/>
    <w:bookmarkEnd w:id="103"/>
    <w:bookmarkEnd w:id="104"/>
    <w:bookmarkEnd w:id="105"/>
    <w:bookmarkEnd w:id="106"/>
    <w:bookmarkEnd w:id="107"/>
    <w:bookmarkEnd w:id="108"/>
    <w:bookmarkEnd w:id="109"/>
    <w:bookmarkEnd w:id="110"/>
    <w:bookmarkEnd w:id="111"/>
    <w:bookmarkEnd w:id="112"/>
    <w:bookmarkEnd w:id="113"/>
    <w:bookmarkEnd w:id="114"/>
    <w:p>
      <w:pPr>
        <w:pStyle w:val="4"/>
      </w:pPr>
      <w:bookmarkStart w:id="115" w:name="_Toc23337"/>
      <w:bookmarkStart w:id="116" w:name="_Toc30968"/>
      <w:bookmarkStart w:id="117" w:name="_Toc104113011"/>
      <w:r>
        <w:t>2.</w:t>
      </w:r>
      <w:r>
        <w:rPr>
          <w:rFonts w:hint="eastAsia"/>
          <w:lang w:val="en-US" w:eastAsia="zh-CN"/>
        </w:rPr>
        <w:t>2</w:t>
      </w:r>
      <w:r>
        <w:t>.</w:t>
      </w:r>
      <w:r>
        <w:rPr>
          <w:rFonts w:hint="eastAsia"/>
          <w:lang w:val="en-US" w:eastAsia="zh-CN"/>
        </w:rPr>
        <w:t>6</w:t>
      </w:r>
      <w:r>
        <w:t>主要生产装置</w:t>
      </w:r>
      <w:bookmarkEnd w:id="115"/>
      <w:bookmarkEnd w:id="116"/>
    </w:p>
    <w:bookmarkEnd w:id="117"/>
    <w:p>
      <w:pPr>
        <w:pStyle w:val="17"/>
        <w:rPr>
          <w:rFonts w:ascii="Times New Roman" w:hAnsi="Times New Roman"/>
          <w:szCs w:val="28"/>
        </w:rPr>
      </w:pPr>
      <w:r>
        <w:rPr>
          <w:rFonts w:hint="eastAsia" w:ascii="Times New Roman" w:hAnsi="Times New Roman"/>
          <w:bCs/>
          <w:szCs w:val="28"/>
        </w:rPr>
        <w:t>公司</w:t>
      </w:r>
      <w:r>
        <w:rPr>
          <w:rFonts w:hint="eastAsia" w:ascii="Times New Roman" w:hAnsi="Times New Roman"/>
          <w:bCs/>
          <w:szCs w:val="28"/>
          <w:lang w:eastAsia="zh-CN"/>
        </w:rPr>
        <w:t>主要</w:t>
      </w:r>
      <w:r>
        <w:rPr>
          <w:rFonts w:hint="eastAsia" w:ascii="Times New Roman" w:hAnsi="Times New Roman"/>
          <w:szCs w:val="28"/>
        </w:rPr>
        <w:t>生产设备详</w:t>
      </w:r>
      <w:r>
        <w:rPr>
          <w:rFonts w:ascii="Times New Roman" w:hAnsi="Times New Roman"/>
          <w:szCs w:val="28"/>
        </w:rPr>
        <w:t>见表2-</w:t>
      </w:r>
      <w:r>
        <w:rPr>
          <w:rFonts w:hint="eastAsia" w:ascii="Times New Roman" w:hAnsi="Times New Roman"/>
          <w:szCs w:val="28"/>
          <w:lang w:val="en-US" w:eastAsia="zh-CN"/>
        </w:rPr>
        <w:t>5</w:t>
      </w:r>
      <w:r>
        <w:rPr>
          <w:rFonts w:ascii="Times New Roman" w:hAnsi="Times New Roman"/>
          <w:szCs w:val="28"/>
        </w:rPr>
        <w:t>。</w:t>
      </w:r>
    </w:p>
    <w:p>
      <w:pPr>
        <w:pStyle w:val="80"/>
        <w:snapToGrid w:val="0"/>
        <w:spacing w:line="420" w:lineRule="exact"/>
        <w:ind w:firstLine="2"/>
        <w:jc w:val="center"/>
        <w:rPr>
          <w:rFonts w:ascii="Times New Roman" w:hAnsi="Times New Roman"/>
          <w:b/>
          <w:szCs w:val="28"/>
        </w:rPr>
      </w:pPr>
      <w:r>
        <w:rPr>
          <w:rFonts w:ascii="Times New Roman" w:hAnsi="Times New Roman"/>
          <w:b/>
          <w:szCs w:val="28"/>
        </w:rPr>
        <w:t>表2-</w:t>
      </w:r>
      <w:r>
        <w:rPr>
          <w:rFonts w:hint="eastAsia" w:ascii="Times New Roman" w:hAnsi="Times New Roman"/>
          <w:b/>
          <w:szCs w:val="28"/>
          <w:lang w:val="en-US" w:eastAsia="zh-CN"/>
        </w:rPr>
        <w:t>5</w:t>
      </w:r>
      <w:r>
        <w:rPr>
          <w:rFonts w:ascii="Times New Roman" w:hAnsi="Times New Roman"/>
          <w:b/>
          <w:szCs w:val="28"/>
        </w:rPr>
        <w:t>生产设备一览表</w:t>
      </w:r>
    </w:p>
    <w:tbl>
      <w:tblPr>
        <w:tblStyle w:val="42"/>
        <w:tblW w:w="9080" w:type="dxa"/>
        <w:tblInd w:w="-6" w:type="dxa"/>
        <w:tblLayout w:type="fixed"/>
        <w:tblCellMar>
          <w:top w:w="0" w:type="dxa"/>
          <w:left w:w="0" w:type="dxa"/>
          <w:bottom w:w="0" w:type="dxa"/>
          <w:right w:w="0" w:type="dxa"/>
        </w:tblCellMar>
      </w:tblPr>
      <w:tblGrid>
        <w:gridCol w:w="738"/>
        <w:gridCol w:w="23"/>
        <w:gridCol w:w="2477"/>
        <w:gridCol w:w="98"/>
        <w:gridCol w:w="3482"/>
        <w:gridCol w:w="208"/>
        <w:gridCol w:w="752"/>
        <w:gridCol w:w="1302"/>
      </w:tblGrid>
      <w:tr>
        <w:tblPrEx>
          <w:tblLayout w:type="fixed"/>
          <w:tblCellMar>
            <w:top w:w="0" w:type="dxa"/>
            <w:left w:w="0" w:type="dxa"/>
            <w:bottom w:w="0" w:type="dxa"/>
            <w:right w:w="0" w:type="dxa"/>
          </w:tblCellMar>
        </w:tblPrEx>
        <w:trPr>
          <w:trHeight w:val="363" w:hRule="atLeast"/>
        </w:trPr>
        <w:tc>
          <w:tcPr>
            <w:tcW w:w="761"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b/>
                <w:bCs/>
                <w:sz w:val="24"/>
                <w:szCs w:val="24"/>
                <w:highlight w:val="none"/>
              </w:rPr>
            </w:pPr>
            <w:r>
              <w:rPr>
                <w:rFonts w:hint="eastAsia" w:eastAsiaTheme="minorEastAsia"/>
                <w:b/>
                <w:bCs/>
                <w:sz w:val="24"/>
                <w:szCs w:val="24"/>
                <w:highlight w:val="none"/>
              </w:rPr>
              <w:t>序号</w:t>
            </w:r>
          </w:p>
        </w:tc>
        <w:tc>
          <w:tcPr>
            <w:tcW w:w="2575"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b/>
                <w:bCs/>
                <w:sz w:val="24"/>
                <w:szCs w:val="24"/>
                <w:highlight w:val="none"/>
              </w:rPr>
            </w:pPr>
            <w:r>
              <w:rPr>
                <w:rFonts w:hint="eastAsia" w:eastAsiaTheme="minorEastAsia"/>
                <w:b/>
                <w:bCs/>
                <w:sz w:val="24"/>
                <w:szCs w:val="24"/>
                <w:highlight w:val="none"/>
              </w:rPr>
              <w:t>项目名称</w:t>
            </w:r>
          </w:p>
        </w:tc>
        <w:tc>
          <w:tcPr>
            <w:tcW w:w="369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b/>
                <w:bCs/>
                <w:sz w:val="24"/>
                <w:szCs w:val="24"/>
                <w:highlight w:val="none"/>
              </w:rPr>
            </w:pPr>
            <w:r>
              <w:rPr>
                <w:rFonts w:hint="eastAsia" w:eastAsiaTheme="minorEastAsia"/>
                <w:b/>
                <w:bCs/>
                <w:sz w:val="24"/>
                <w:szCs w:val="24"/>
                <w:highlight w:val="none"/>
              </w:rPr>
              <w:t>型号/规格</w:t>
            </w:r>
          </w:p>
        </w:tc>
        <w:tc>
          <w:tcPr>
            <w:tcW w:w="75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b/>
                <w:bCs/>
                <w:sz w:val="24"/>
                <w:szCs w:val="24"/>
                <w:highlight w:val="none"/>
              </w:rPr>
            </w:pPr>
            <w:r>
              <w:rPr>
                <w:rFonts w:hint="eastAsia" w:eastAsiaTheme="minorEastAsia"/>
                <w:b/>
                <w:bCs/>
                <w:sz w:val="24"/>
                <w:szCs w:val="24"/>
                <w:highlight w:val="none"/>
              </w:rPr>
              <w:t>单位</w:t>
            </w:r>
          </w:p>
        </w:tc>
        <w:tc>
          <w:tcPr>
            <w:tcW w:w="130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b/>
                <w:bCs/>
                <w:sz w:val="24"/>
                <w:szCs w:val="24"/>
                <w:highlight w:val="none"/>
              </w:rPr>
            </w:pPr>
            <w:r>
              <w:rPr>
                <w:rFonts w:hint="eastAsia" w:eastAsiaTheme="minorEastAsia"/>
                <w:b/>
                <w:bCs/>
                <w:sz w:val="24"/>
                <w:szCs w:val="24"/>
                <w:highlight w:val="none"/>
              </w:rPr>
              <w:t>数量</w:t>
            </w:r>
          </w:p>
        </w:tc>
      </w:tr>
      <w:tr>
        <w:tblPrEx>
          <w:tblLayout w:type="fixed"/>
          <w:tblCellMar>
            <w:top w:w="0" w:type="dxa"/>
            <w:left w:w="0" w:type="dxa"/>
            <w:bottom w:w="0" w:type="dxa"/>
            <w:right w:w="0" w:type="dxa"/>
          </w:tblCellMar>
        </w:tblPrEx>
        <w:trPr>
          <w:trHeight w:val="363" w:hRule="atLeast"/>
        </w:trPr>
        <w:tc>
          <w:tcPr>
            <w:tcW w:w="9080"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eastAsia" w:eastAsiaTheme="minorEastAsia"/>
                <w:sz w:val="21"/>
                <w:szCs w:val="21"/>
                <w:highlight w:val="none"/>
              </w:rPr>
            </w:pPr>
            <w:r>
              <w:rPr>
                <w:rFonts w:hint="eastAsia" w:eastAsiaTheme="minorEastAsia"/>
                <w:b/>
                <w:bCs/>
                <w:sz w:val="21"/>
                <w:szCs w:val="21"/>
                <w:highlight w:val="none"/>
              </w:rPr>
              <w:t>前处理及罐区配套单元</w:t>
            </w:r>
          </w:p>
        </w:tc>
      </w:tr>
      <w:tr>
        <w:tblPrEx>
          <w:tblLayout w:type="fixed"/>
          <w:tblCellMar>
            <w:top w:w="0" w:type="dxa"/>
            <w:left w:w="0" w:type="dxa"/>
            <w:bottom w:w="0" w:type="dxa"/>
            <w:right w:w="0" w:type="dxa"/>
          </w:tblCellMar>
        </w:tblPrEx>
        <w:trPr>
          <w:trHeight w:val="363" w:hRule="atLeast"/>
        </w:trPr>
        <w:tc>
          <w:tcPr>
            <w:tcW w:w="761"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eastAsia" w:eastAsiaTheme="minorEastAsia"/>
                <w:sz w:val="21"/>
                <w:szCs w:val="21"/>
                <w:highlight w:val="none"/>
              </w:rPr>
            </w:pPr>
          </w:p>
          <w:p>
            <w:pPr>
              <w:spacing w:line="240" w:lineRule="auto"/>
              <w:jc w:val="center"/>
              <w:rPr>
                <w:rFonts w:hint="eastAsia" w:eastAsiaTheme="minorEastAsia"/>
                <w:sz w:val="21"/>
                <w:szCs w:val="21"/>
                <w:highlight w:val="none"/>
              </w:rPr>
            </w:pPr>
            <w:r>
              <w:rPr>
                <w:rFonts w:hint="eastAsia" w:eastAsiaTheme="minorEastAsia"/>
                <w:sz w:val="21"/>
                <w:szCs w:val="21"/>
                <w:highlight w:val="none"/>
              </w:rPr>
              <w:t>1</w:t>
            </w:r>
          </w:p>
        </w:tc>
        <w:tc>
          <w:tcPr>
            <w:tcW w:w="2575"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除臭生物箱</w:t>
            </w:r>
          </w:p>
        </w:tc>
        <w:tc>
          <w:tcPr>
            <w:tcW w:w="369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尺寸大小为14m×8m×2.1m，填料有效容积为78.4m3，处理风量为20000m3/h</w:t>
            </w:r>
          </w:p>
        </w:tc>
        <w:tc>
          <w:tcPr>
            <w:tcW w:w="752"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台</w:t>
            </w:r>
          </w:p>
        </w:tc>
        <w:tc>
          <w:tcPr>
            <w:tcW w:w="1302"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1</w:t>
            </w:r>
          </w:p>
        </w:tc>
      </w:tr>
      <w:tr>
        <w:tblPrEx>
          <w:tblLayout w:type="fixed"/>
          <w:tblCellMar>
            <w:top w:w="0" w:type="dxa"/>
            <w:left w:w="0" w:type="dxa"/>
            <w:bottom w:w="0" w:type="dxa"/>
            <w:right w:w="0" w:type="dxa"/>
          </w:tblCellMar>
        </w:tblPrEx>
        <w:trPr>
          <w:trHeight w:val="363" w:hRule="atLeast"/>
        </w:trPr>
        <w:tc>
          <w:tcPr>
            <w:tcW w:w="761"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2</w:t>
            </w:r>
          </w:p>
        </w:tc>
        <w:tc>
          <w:tcPr>
            <w:tcW w:w="2575"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供水系统缓冲储罐</w:t>
            </w:r>
          </w:p>
        </w:tc>
        <w:tc>
          <w:tcPr>
            <w:tcW w:w="369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∅500×1400</w:t>
            </w:r>
          </w:p>
        </w:tc>
        <w:tc>
          <w:tcPr>
            <w:tcW w:w="752"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台</w:t>
            </w:r>
          </w:p>
        </w:tc>
        <w:tc>
          <w:tcPr>
            <w:tcW w:w="1302"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1</w:t>
            </w:r>
          </w:p>
        </w:tc>
      </w:tr>
      <w:tr>
        <w:tblPrEx>
          <w:tblLayout w:type="fixed"/>
          <w:tblCellMar>
            <w:top w:w="0" w:type="dxa"/>
            <w:left w:w="0" w:type="dxa"/>
            <w:bottom w:w="0" w:type="dxa"/>
            <w:right w:w="0" w:type="dxa"/>
          </w:tblCellMar>
        </w:tblPrEx>
        <w:trPr>
          <w:trHeight w:val="363" w:hRule="atLeast"/>
        </w:trPr>
        <w:tc>
          <w:tcPr>
            <w:tcW w:w="761"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3</w:t>
            </w:r>
          </w:p>
        </w:tc>
        <w:tc>
          <w:tcPr>
            <w:tcW w:w="2575"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原泥输送泵</w:t>
            </w:r>
          </w:p>
        </w:tc>
        <w:tc>
          <w:tcPr>
            <w:tcW w:w="369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Q=9m³/h，P=0.6MPa</w:t>
            </w:r>
          </w:p>
        </w:tc>
        <w:tc>
          <w:tcPr>
            <w:tcW w:w="752"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台</w:t>
            </w:r>
          </w:p>
        </w:tc>
        <w:tc>
          <w:tcPr>
            <w:tcW w:w="1302"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3</w:t>
            </w:r>
          </w:p>
        </w:tc>
      </w:tr>
      <w:tr>
        <w:tblPrEx>
          <w:tblLayout w:type="fixed"/>
          <w:tblCellMar>
            <w:top w:w="0" w:type="dxa"/>
            <w:left w:w="0" w:type="dxa"/>
            <w:bottom w:w="0" w:type="dxa"/>
            <w:right w:w="0" w:type="dxa"/>
          </w:tblCellMar>
        </w:tblPrEx>
        <w:trPr>
          <w:trHeight w:val="363" w:hRule="atLeast"/>
        </w:trPr>
        <w:tc>
          <w:tcPr>
            <w:tcW w:w="761"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eastAsia" w:eastAsiaTheme="minorEastAsia"/>
                <w:sz w:val="21"/>
                <w:szCs w:val="21"/>
                <w:highlight w:val="none"/>
              </w:rPr>
            </w:pPr>
          </w:p>
          <w:p>
            <w:pPr>
              <w:spacing w:line="240" w:lineRule="auto"/>
              <w:jc w:val="center"/>
              <w:rPr>
                <w:rFonts w:hint="eastAsia" w:eastAsiaTheme="minorEastAsia"/>
                <w:sz w:val="21"/>
                <w:szCs w:val="21"/>
                <w:highlight w:val="none"/>
              </w:rPr>
            </w:pPr>
            <w:r>
              <w:rPr>
                <w:rFonts w:hint="eastAsia" w:eastAsiaTheme="minorEastAsia"/>
                <w:sz w:val="21"/>
                <w:szCs w:val="21"/>
                <w:highlight w:val="none"/>
              </w:rPr>
              <w:t>4</w:t>
            </w:r>
          </w:p>
        </w:tc>
        <w:tc>
          <w:tcPr>
            <w:tcW w:w="2575"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潜污泵（初调池）</w:t>
            </w:r>
          </w:p>
        </w:tc>
        <w:tc>
          <w:tcPr>
            <w:tcW w:w="369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130m3/h-22m15kw</w:t>
            </w:r>
          </w:p>
        </w:tc>
        <w:tc>
          <w:tcPr>
            <w:tcW w:w="752"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台</w:t>
            </w:r>
          </w:p>
        </w:tc>
        <w:tc>
          <w:tcPr>
            <w:tcW w:w="1302"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5</w:t>
            </w:r>
          </w:p>
        </w:tc>
      </w:tr>
      <w:tr>
        <w:tblPrEx>
          <w:tblLayout w:type="fixed"/>
          <w:tblCellMar>
            <w:top w:w="0" w:type="dxa"/>
            <w:left w:w="0" w:type="dxa"/>
            <w:bottom w:w="0" w:type="dxa"/>
            <w:right w:w="0" w:type="dxa"/>
          </w:tblCellMar>
        </w:tblPrEx>
        <w:trPr>
          <w:trHeight w:val="363" w:hRule="atLeast"/>
        </w:trPr>
        <w:tc>
          <w:tcPr>
            <w:tcW w:w="761"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eastAsia" w:eastAsiaTheme="minorEastAsia"/>
                <w:sz w:val="21"/>
                <w:szCs w:val="21"/>
                <w:highlight w:val="none"/>
              </w:rPr>
            </w:pPr>
          </w:p>
          <w:p>
            <w:pPr>
              <w:spacing w:line="240" w:lineRule="auto"/>
              <w:jc w:val="center"/>
              <w:rPr>
                <w:rFonts w:hint="eastAsia" w:eastAsiaTheme="minorEastAsia"/>
                <w:sz w:val="21"/>
                <w:szCs w:val="21"/>
                <w:highlight w:val="none"/>
              </w:rPr>
            </w:pPr>
            <w:r>
              <w:rPr>
                <w:rFonts w:hint="eastAsia" w:eastAsiaTheme="minorEastAsia"/>
                <w:sz w:val="21"/>
                <w:szCs w:val="21"/>
                <w:highlight w:val="none"/>
              </w:rPr>
              <w:t>5</w:t>
            </w:r>
          </w:p>
        </w:tc>
        <w:tc>
          <w:tcPr>
            <w:tcW w:w="2575"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卧式直连泵（稀释水）</w:t>
            </w:r>
          </w:p>
        </w:tc>
        <w:tc>
          <w:tcPr>
            <w:tcW w:w="369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135m3/h-14m7.5kw</w:t>
            </w:r>
          </w:p>
        </w:tc>
        <w:tc>
          <w:tcPr>
            <w:tcW w:w="752"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台</w:t>
            </w:r>
          </w:p>
        </w:tc>
        <w:tc>
          <w:tcPr>
            <w:tcW w:w="1302"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2</w:t>
            </w:r>
          </w:p>
        </w:tc>
      </w:tr>
      <w:tr>
        <w:tblPrEx>
          <w:tblLayout w:type="fixed"/>
          <w:tblCellMar>
            <w:top w:w="0" w:type="dxa"/>
            <w:left w:w="0" w:type="dxa"/>
            <w:bottom w:w="0" w:type="dxa"/>
            <w:right w:w="0" w:type="dxa"/>
          </w:tblCellMar>
        </w:tblPrEx>
        <w:trPr>
          <w:trHeight w:val="363" w:hRule="atLeast"/>
        </w:trPr>
        <w:tc>
          <w:tcPr>
            <w:tcW w:w="761"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p>
          <w:p>
            <w:pPr>
              <w:spacing w:line="240" w:lineRule="auto"/>
              <w:jc w:val="center"/>
              <w:rPr>
                <w:rFonts w:hint="eastAsia" w:eastAsiaTheme="minorEastAsia"/>
                <w:sz w:val="21"/>
                <w:szCs w:val="21"/>
                <w:highlight w:val="none"/>
              </w:rPr>
            </w:pPr>
            <w:r>
              <w:rPr>
                <w:rFonts w:hint="eastAsia" w:eastAsiaTheme="minorEastAsia"/>
                <w:sz w:val="21"/>
                <w:szCs w:val="21"/>
                <w:highlight w:val="none"/>
              </w:rPr>
              <w:t>6</w:t>
            </w:r>
          </w:p>
        </w:tc>
        <w:tc>
          <w:tcPr>
            <w:tcW w:w="2575"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立式管道泵（稀释水）</w:t>
            </w:r>
          </w:p>
        </w:tc>
        <w:tc>
          <w:tcPr>
            <w:tcW w:w="369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11.7m3/h-44m3.7kw</w:t>
            </w:r>
          </w:p>
        </w:tc>
        <w:tc>
          <w:tcPr>
            <w:tcW w:w="75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台</w:t>
            </w:r>
          </w:p>
        </w:tc>
        <w:tc>
          <w:tcPr>
            <w:tcW w:w="130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2</w:t>
            </w:r>
          </w:p>
        </w:tc>
      </w:tr>
      <w:tr>
        <w:tblPrEx>
          <w:tblLayout w:type="fixed"/>
          <w:tblCellMar>
            <w:top w:w="0" w:type="dxa"/>
            <w:left w:w="0" w:type="dxa"/>
            <w:bottom w:w="0" w:type="dxa"/>
            <w:right w:w="0" w:type="dxa"/>
          </w:tblCellMar>
        </w:tblPrEx>
        <w:trPr>
          <w:trHeight w:val="363" w:hRule="atLeast"/>
        </w:trPr>
        <w:tc>
          <w:tcPr>
            <w:tcW w:w="761"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p>
          <w:p>
            <w:pPr>
              <w:spacing w:line="240" w:lineRule="auto"/>
              <w:jc w:val="center"/>
              <w:rPr>
                <w:rFonts w:hint="eastAsia" w:eastAsiaTheme="minorEastAsia"/>
                <w:sz w:val="21"/>
                <w:szCs w:val="21"/>
                <w:highlight w:val="none"/>
              </w:rPr>
            </w:pPr>
            <w:r>
              <w:rPr>
                <w:rFonts w:hint="eastAsia" w:eastAsiaTheme="minorEastAsia"/>
                <w:sz w:val="21"/>
                <w:szCs w:val="21"/>
                <w:highlight w:val="none"/>
              </w:rPr>
              <w:t>7</w:t>
            </w:r>
          </w:p>
        </w:tc>
        <w:tc>
          <w:tcPr>
            <w:tcW w:w="2575"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螺杆泵（污泥输送）</w:t>
            </w:r>
          </w:p>
        </w:tc>
        <w:tc>
          <w:tcPr>
            <w:tcW w:w="369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25m3/h-8bar－11kw</w:t>
            </w:r>
          </w:p>
        </w:tc>
        <w:tc>
          <w:tcPr>
            <w:tcW w:w="75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台</w:t>
            </w:r>
          </w:p>
        </w:tc>
        <w:tc>
          <w:tcPr>
            <w:tcW w:w="130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4</w:t>
            </w:r>
          </w:p>
        </w:tc>
      </w:tr>
      <w:tr>
        <w:tblPrEx>
          <w:tblLayout w:type="fixed"/>
          <w:tblCellMar>
            <w:top w:w="0" w:type="dxa"/>
            <w:left w:w="0" w:type="dxa"/>
            <w:bottom w:w="0" w:type="dxa"/>
            <w:right w:w="0" w:type="dxa"/>
          </w:tblCellMar>
        </w:tblPrEx>
        <w:trPr>
          <w:trHeight w:val="363" w:hRule="atLeast"/>
        </w:trPr>
        <w:tc>
          <w:tcPr>
            <w:tcW w:w="761"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8</w:t>
            </w:r>
          </w:p>
        </w:tc>
        <w:tc>
          <w:tcPr>
            <w:tcW w:w="2575"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搅拌机（初调池）</w:t>
            </w:r>
          </w:p>
        </w:tc>
        <w:tc>
          <w:tcPr>
            <w:tcW w:w="369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51rpm－15kw</w:t>
            </w:r>
          </w:p>
        </w:tc>
        <w:tc>
          <w:tcPr>
            <w:tcW w:w="75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台</w:t>
            </w:r>
          </w:p>
        </w:tc>
        <w:tc>
          <w:tcPr>
            <w:tcW w:w="130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6</w:t>
            </w:r>
          </w:p>
        </w:tc>
      </w:tr>
      <w:tr>
        <w:tblPrEx>
          <w:tblLayout w:type="fixed"/>
          <w:tblCellMar>
            <w:top w:w="0" w:type="dxa"/>
            <w:left w:w="0" w:type="dxa"/>
            <w:bottom w:w="0" w:type="dxa"/>
            <w:right w:w="0" w:type="dxa"/>
          </w:tblCellMar>
        </w:tblPrEx>
        <w:trPr>
          <w:trHeight w:val="363" w:hRule="atLeast"/>
        </w:trPr>
        <w:tc>
          <w:tcPr>
            <w:tcW w:w="761"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9</w:t>
            </w:r>
          </w:p>
        </w:tc>
        <w:tc>
          <w:tcPr>
            <w:tcW w:w="2575"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搅拌机（精调池）</w:t>
            </w:r>
          </w:p>
        </w:tc>
        <w:tc>
          <w:tcPr>
            <w:tcW w:w="369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51rpm－11kw</w:t>
            </w:r>
          </w:p>
        </w:tc>
        <w:tc>
          <w:tcPr>
            <w:tcW w:w="75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台</w:t>
            </w:r>
          </w:p>
        </w:tc>
        <w:tc>
          <w:tcPr>
            <w:tcW w:w="130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10</w:t>
            </w:r>
          </w:p>
        </w:tc>
      </w:tr>
      <w:tr>
        <w:tblPrEx>
          <w:tblLayout w:type="fixed"/>
          <w:tblCellMar>
            <w:top w:w="0" w:type="dxa"/>
            <w:left w:w="0" w:type="dxa"/>
            <w:bottom w:w="0" w:type="dxa"/>
            <w:right w:w="0" w:type="dxa"/>
          </w:tblCellMar>
        </w:tblPrEx>
        <w:trPr>
          <w:trHeight w:val="363" w:hRule="atLeast"/>
        </w:trPr>
        <w:tc>
          <w:tcPr>
            <w:tcW w:w="761"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10</w:t>
            </w:r>
          </w:p>
        </w:tc>
        <w:tc>
          <w:tcPr>
            <w:tcW w:w="2575"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切碎机（精调池出料）</w:t>
            </w:r>
          </w:p>
        </w:tc>
        <w:tc>
          <w:tcPr>
            <w:tcW w:w="369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30m3/h</w:t>
            </w:r>
          </w:p>
        </w:tc>
        <w:tc>
          <w:tcPr>
            <w:tcW w:w="75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台</w:t>
            </w:r>
          </w:p>
        </w:tc>
        <w:tc>
          <w:tcPr>
            <w:tcW w:w="130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4</w:t>
            </w:r>
          </w:p>
        </w:tc>
      </w:tr>
      <w:tr>
        <w:tblPrEx>
          <w:tblLayout w:type="fixed"/>
          <w:tblCellMar>
            <w:top w:w="0" w:type="dxa"/>
            <w:left w:w="0" w:type="dxa"/>
            <w:bottom w:w="0" w:type="dxa"/>
            <w:right w:w="0" w:type="dxa"/>
          </w:tblCellMar>
        </w:tblPrEx>
        <w:trPr>
          <w:trHeight w:val="363" w:hRule="atLeast"/>
        </w:trPr>
        <w:tc>
          <w:tcPr>
            <w:tcW w:w="761"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11</w:t>
            </w:r>
          </w:p>
        </w:tc>
        <w:tc>
          <w:tcPr>
            <w:tcW w:w="2575"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电磁流量计</w:t>
            </w:r>
          </w:p>
          <w:p>
            <w:pPr>
              <w:spacing w:line="240" w:lineRule="auto"/>
              <w:jc w:val="center"/>
              <w:rPr>
                <w:rFonts w:hint="eastAsia" w:eastAsiaTheme="minorEastAsia"/>
                <w:sz w:val="21"/>
                <w:szCs w:val="21"/>
                <w:highlight w:val="none"/>
              </w:rPr>
            </w:pPr>
            <w:r>
              <w:rPr>
                <w:rFonts w:hint="eastAsia" w:eastAsiaTheme="minorEastAsia"/>
                <w:sz w:val="21"/>
                <w:szCs w:val="21"/>
                <w:highlight w:val="none"/>
              </w:rPr>
              <w:t>（精调池螺杆泵出口）</w:t>
            </w:r>
          </w:p>
        </w:tc>
        <w:tc>
          <w:tcPr>
            <w:tcW w:w="369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0～50m3/h</w:t>
            </w:r>
            <w:r>
              <w:rPr>
                <w:rFonts w:hint="eastAsia" w:eastAsiaTheme="minorEastAsia"/>
                <w:sz w:val="21"/>
                <w:szCs w:val="21"/>
                <w:highlight w:val="none"/>
              </w:rPr>
              <w:tab/>
            </w:r>
            <w:r>
              <w:rPr>
                <w:rFonts w:hint="eastAsia" w:eastAsiaTheme="minorEastAsia"/>
                <w:sz w:val="21"/>
                <w:szCs w:val="21"/>
                <w:highlight w:val="none"/>
              </w:rPr>
              <w:t>DN125</w:t>
            </w:r>
          </w:p>
        </w:tc>
        <w:tc>
          <w:tcPr>
            <w:tcW w:w="75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台</w:t>
            </w:r>
          </w:p>
        </w:tc>
        <w:tc>
          <w:tcPr>
            <w:tcW w:w="130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2</w:t>
            </w:r>
          </w:p>
        </w:tc>
      </w:tr>
      <w:tr>
        <w:tblPrEx>
          <w:tblLayout w:type="fixed"/>
          <w:tblCellMar>
            <w:top w:w="0" w:type="dxa"/>
            <w:left w:w="0" w:type="dxa"/>
            <w:bottom w:w="0" w:type="dxa"/>
            <w:right w:w="0" w:type="dxa"/>
          </w:tblCellMar>
        </w:tblPrEx>
        <w:trPr>
          <w:trHeight w:val="363" w:hRule="atLeast"/>
        </w:trPr>
        <w:tc>
          <w:tcPr>
            <w:tcW w:w="761"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12</w:t>
            </w:r>
          </w:p>
        </w:tc>
        <w:tc>
          <w:tcPr>
            <w:tcW w:w="2575"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超声波液位计（初调池，精调池）深度5.6m分体显示表</w:t>
            </w:r>
          </w:p>
        </w:tc>
        <w:tc>
          <w:tcPr>
            <w:tcW w:w="369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FMU90-R11CA111AA3A</w:t>
            </w:r>
          </w:p>
        </w:tc>
        <w:tc>
          <w:tcPr>
            <w:tcW w:w="75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台</w:t>
            </w:r>
          </w:p>
        </w:tc>
        <w:tc>
          <w:tcPr>
            <w:tcW w:w="130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13</w:t>
            </w:r>
          </w:p>
        </w:tc>
      </w:tr>
      <w:tr>
        <w:tblPrEx>
          <w:tblLayout w:type="fixed"/>
          <w:tblCellMar>
            <w:top w:w="0" w:type="dxa"/>
            <w:left w:w="0" w:type="dxa"/>
            <w:bottom w:w="0" w:type="dxa"/>
            <w:right w:w="0" w:type="dxa"/>
          </w:tblCellMar>
        </w:tblPrEx>
        <w:trPr>
          <w:trHeight w:val="363" w:hRule="atLeast"/>
        </w:trPr>
        <w:tc>
          <w:tcPr>
            <w:tcW w:w="761"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13</w:t>
            </w:r>
          </w:p>
        </w:tc>
        <w:tc>
          <w:tcPr>
            <w:tcW w:w="2575"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厌氧罐</w:t>
            </w:r>
          </w:p>
        </w:tc>
        <w:tc>
          <w:tcPr>
            <w:tcW w:w="369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∅16000×15000</w:t>
            </w:r>
          </w:p>
        </w:tc>
        <w:tc>
          <w:tcPr>
            <w:tcW w:w="75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套</w:t>
            </w:r>
          </w:p>
        </w:tc>
        <w:tc>
          <w:tcPr>
            <w:tcW w:w="130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6</w:t>
            </w:r>
          </w:p>
        </w:tc>
      </w:tr>
      <w:tr>
        <w:tblPrEx>
          <w:tblLayout w:type="fixed"/>
          <w:tblCellMar>
            <w:top w:w="0" w:type="dxa"/>
            <w:left w:w="0" w:type="dxa"/>
            <w:bottom w:w="0" w:type="dxa"/>
            <w:right w:w="0" w:type="dxa"/>
          </w:tblCellMar>
        </w:tblPrEx>
        <w:trPr>
          <w:trHeight w:val="363" w:hRule="atLeast"/>
        </w:trPr>
        <w:tc>
          <w:tcPr>
            <w:tcW w:w="761"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p>
          <w:p>
            <w:pPr>
              <w:spacing w:line="240" w:lineRule="auto"/>
              <w:jc w:val="center"/>
              <w:rPr>
                <w:rFonts w:hint="eastAsia" w:eastAsiaTheme="minorEastAsia"/>
                <w:sz w:val="21"/>
                <w:szCs w:val="21"/>
                <w:highlight w:val="none"/>
              </w:rPr>
            </w:pPr>
            <w:r>
              <w:rPr>
                <w:rFonts w:hint="eastAsia" w:eastAsiaTheme="minorEastAsia"/>
                <w:sz w:val="21"/>
                <w:szCs w:val="21"/>
                <w:highlight w:val="none"/>
              </w:rPr>
              <w:t>14</w:t>
            </w:r>
          </w:p>
        </w:tc>
        <w:tc>
          <w:tcPr>
            <w:tcW w:w="2575"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浮球液位计（稀释水贮池）</w:t>
            </w:r>
          </w:p>
        </w:tc>
        <w:tc>
          <w:tcPr>
            <w:tcW w:w="369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2球，测量深度5.0m</w:t>
            </w:r>
          </w:p>
        </w:tc>
        <w:tc>
          <w:tcPr>
            <w:tcW w:w="75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台</w:t>
            </w:r>
          </w:p>
        </w:tc>
        <w:tc>
          <w:tcPr>
            <w:tcW w:w="130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1</w:t>
            </w:r>
          </w:p>
        </w:tc>
      </w:tr>
      <w:tr>
        <w:tblPrEx>
          <w:tblLayout w:type="fixed"/>
          <w:tblCellMar>
            <w:top w:w="0" w:type="dxa"/>
            <w:left w:w="0" w:type="dxa"/>
            <w:bottom w:w="0" w:type="dxa"/>
            <w:right w:w="0" w:type="dxa"/>
          </w:tblCellMar>
        </w:tblPrEx>
        <w:trPr>
          <w:trHeight w:val="363" w:hRule="atLeast"/>
        </w:trPr>
        <w:tc>
          <w:tcPr>
            <w:tcW w:w="761"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15</w:t>
            </w:r>
          </w:p>
        </w:tc>
        <w:tc>
          <w:tcPr>
            <w:tcW w:w="2575"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电极式液位计（应急排水）</w:t>
            </w:r>
          </w:p>
        </w:tc>
        <w:tc>
          <w:tcPr>
            <w:tcW w:w="369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二极，测量深度1.0m</w:t>
            </w:r>
          </w:p>
        </w:tc>
        <w:tc>
          <w:tcPr>
            <w:tcW w:w="75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台</w:t>
            </w:r>
          </w:p>
        </w:tc>
        <w:tc>
          <w:tcPr>
            <w:tcW w:w="130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1</w:t>
            </w:r>
          </w:p>
        </w:tc>
      </w:tr>
      <w:tr>
        <w:tblPrEx>
          <w:tblLayout w:type="fixed"/>
          <w:tblCellMar>
            <w:top w:w="0" w:type="dxa"/>
            <w:left w:w="0" w:type="dxa"/>
            <w:bottom w:w="0" w:type="dxa"/>
            <w:right w:w="0" w:type="dxa"/>
          </w:tblCellMar>
        </w:tblPrEx>
        <w:trPr>
          <w:trHeight w:val="363" w:hRule="atLeast"/>
        </w:trPr>
        <w:tc>
          <w:tcPr>
            <w:tcW w:w="761"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16</w:t>
            </w:r>
          </w:p>
        </w:tc>
        <w:tc>
          <w:tcPr>
            <w:tcW w:w="2575"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普通压力表</w:t>
            </w:r>
          </w:p>
        </w:tc>
        <w:tc>
          <w:tcPr>
            <w:tcW w:w="369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0～1.0MPa</w:t>
            </w:r>
          </w:p>
        </w:tc>
        <w:tc>
          <w:tcPr>
            <w:tcW w:w="75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台</w:t>
            </w:r>
          </w:p>
        </w:tc>
        <w:tc>
          <w:tcPr>
            <w:tcW w:w="130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2</w:t>
            </w:r>
          </w:p>
        </w:tc>
      </w:tr>
      <w:tr>
        <w:tblPrEx>
          <w:tblLayout w:type="fixed"/>
          <w:tblCellMar>
            <w:top w:w="0" w:type="dxa"/>
            <w:left w:w="0" w:type="dxa"/>
            <w:bottom w:w="0" w:type="dxa"/>
            <w:right w:w="0" w:type="dxa"/>
          </w:tblCellMar>
        </w:tblPrEx>
        <w:trPr>
          <w:trHeight w:val="363" w:hRule="atLeast"/>
        </w:trPr>
        <w:tc>
          <w:tcPr>
            <w:tcW w:w="761"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17</w:t>
            </w:r>
          </w:p>
        </w:tc>
        <w:tc>
          <w:tcPr>
            <w:tcW w:w="2575"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普通压力表</w:t>
            </w:r>
          </w:p>
        </w:tc>
        <w:tc>
          <w:tcPr>
            <w:tcW w:w="369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0～0.4MPa</w:t>
            </w:r>
          </w:p>
        </w:tc>
        <w:tc>
          <w:tcPr>
            <w:tcW w:w="75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台</w:t>
            </w:r>
          </w:p>
        </w:tc>
        <w:tc>
          <w:tcPr>
            <w:tcW w:w="130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2</w:t>
            </w:r>
          </w:p>
        </w:tc>
      </w:tr>
      <w:tr>
        <w:tblPrEx>
          <w:tblLayout w:type="fixed"/>
          <w:tblCellMar>
            <w:top w:w="0" w:type="dxa"/>
            <w:left w:w="0" w:type="dxa"/>
            <w:bottom w:w="0" w:type="dxa"/>
            <w:right w:w="0" w:type="dxa"/>
          </w:tblCellMar>
        </w:tblPrEx>
        <w:trPr>
          <w:trHeight w:val="363" w:hRule="atLeast"/>
        </w:trPr>
        <w:tc>
          <w:tcPr>
            <w:tcW w:w="761"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18</w:t>
            </w:r>
          </w:p>
        </w:tc>
        <w:tc>
          <w:tcPr>
            <w:tcW w:w="2575"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抗震节点压力表</w:t>
            </w:r>
          </w:p>
        </w:tc>
        <w:tc>
          <w:tcPr>
            <w:tcW w:w="369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0～1.6MPa</w:t>
            </w:r>
          </w:p>
        </w:tc>
        <w:tc>
          <w:tcPr>
            <w:tcW w:w="75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台</w:t>
            </w:r>
          </w:p>
        </w:tc>
        <w:tc>
          <w:tcPr>
            <w:tcW w:w="130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2</w:t>
            </w:r>
          </w:p>
        </w:tc>
      </w:tr>
      <w:tr>
        <w:tblPrEx>
          <w:tblLayout w:type="fixed"/>
          <w:tblCellMar>
            <w:top w:w="0" w:type="dxa"/>
            <w:left w:w="0" w:type="dxa"/>
            <w:bottom w:w="0" w:type="dxa"/>
            <w:right w:w="0" w:type="dxa"/>
          </w:tblCellMar>
        </w:tblPrEx>
        <w:trPr>
          <w:trHeight w:val="363" w:hRule="atLeast"/>
        </w:trPr>
        <w:tc>
          <w:tcPr>
            <w:tcW w:w="761"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19</w:t>
            </w:r>
          </w:p>
        </w:tc>
        <w:tc>
          <w:tcPr>
            <w:tcW w:w="2575"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远传压力表</w:t>
            </w:r>
          </w:p>
        </w:tc>
        <w:tc>
          <w:tcPr>
            <w:tcW w:w="369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0～1.6MPa</w:t>
            </w:r>
          </w:p>
        </w:tc>
        <w:tc>
          <w:tcPr>
            <w:tcW w:w="75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台</w:t>
            </w:r>
          </w:p>
        </w:tc>
        <w:tc>
          <w:tcPr>
            <w:tcW w:w="130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1</w:t>
            </w:r>
          </w:p>
        </w:tc>
      </w:tr>
      <w:tr>
        <w:tblPrEx>
          <w:tblLayout w:type="fixed"/>
          <w:tblCellMar>
            <w:top w:w="0" w:type="dxa"/>
            <w:left w:w="0" w:type="dxa"/>
            <w:bottom w:w="0" w:type="dxa"/>
            <w:right w:w="0" w:type="dxa"/>
          </w:tblCellMar>
        </w:tblPrEx>
        <w:trPr>
          <w:trHeight w:val="363" w:hRule="atLeast"/>
        </w:trPr>
        <w:tc>
          <w:tcPr>
            <w:tcW w:w="761"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20</w:t>
            </w:r>
          </w:p>
        </w:tc>
        <w:tc>
          <w:tcPr>
            <w:tcW w:w="2575"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罐区地下渣槽潜污泵</w:t>
            </w:r>
          </w:p>
        </w:tc>
        <w:tc>
          <w:tcPr>
            <w:tcW w:w="369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45m3/h-15m－3.7kw</w:t>
            </w:r>
          </w:p>
        </w:tc>
        <w:tc>
          <w:tcPr>
            <w:tcW w:w="75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台</w:t>
            </w:r>
          </w:p>
        </w:tc>
        <w:tc>
          <w:tcPr>
            <w:tcW w:w="130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1</w:t>
            </w:r>
          </w:p>
        </w:tc>
      </w:tr>
      <w:tr>
        <w:tblPrEx>
          <w:tblLayout w:type="fixed"/>
          <w:tblCellMar>
            <w:top w:w="0" w:type="dxa"/>
            <w:left w:w="0" w:type="dxa"/>
            <w:bottom w:w="0" w:type="dxa"/>
            <w:right w:w="0" w:type="dxa"/>
          </w:tblCellMar>
        </w:tblPrEx>
        <w:trPr>
          <w:trHeight w:val="363" w:hRule="atLeast"/>
        </w:trPr>
        <w:tc>
          <w:tcPr>
            <w:tcW w:w="761"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21</w:t>
            </w:r>
          </w:p>
        </w:tc>
        <w:tc>
          <w:tcPr>
            <w:tcW w:w="2575"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在线温度检测(热电阻）</w:t>
            </w:r>
          </w:p>
        </w:tc>
        <w:tc>
          <w:tcPr>
            <w:tcW w:w="369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p>
        </w:tc>
        <w:tc>
          <w:tcPr>
            <w:tcW w:w="75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支</w:t>
            </w:r>
          </w:p>
        </w:tc>
        <w:tc>
          <w:tcPr>
            <w:tcW w:w="130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22</w:t>
            </w:r>
          </w:p>
        </w:tc>
      </w:tr>
      <w:tr>
        <w:tblPrEx>
          <w:tblLayout w:type="fixed"/>
          <w:tblCellMar>
            <w:top w:w="0" w:type="dxa"/>
            <w:left w:w="0" w:type="dxa"/>
            <w:bottom w:w="0" w:type="dxa"/>
            <w:right w:w="0" w:type="dxa"/>
          </w:tblCellMar>
        </w:tblPrEx>
        <w:trPr>
          <w:trHeight w:val="363" w:hRule="atLeast"/>
        </w:trPr>
        <w:tc>
          <w:tcPr>
            <w:tcW w:w="761"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22</w:t>
            </w:r>
          </w:p>
        </w:tc>
        <w:tc>
          <w:tcPr>
            <w:tcW w:w="2575"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罐区温控传感器</w:t>
            </w:r>
          </w:p>
        </w:tc>
        <w:tc>
          <w:tcPr>
            <w:tcW w:w="369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p>
        </w:tc>
        <w:tc>
          <w:tcPr>
            <w:tcW w:w="75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支</w:t>
            </w:r>
          </w:p>
        </w:tc>
        <w:tc>
          <w:tcPr>
            <w:tcW w:w="130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22</w:t>
            </w:r>
          </w:p>
        </w:tc>
      </w:tr>
      <w:tr>
        <w:tblPrEx>
          <w:tblLayout w:type="fixed"/>
          <w:tblCellMar>
            <w:top w:w="0" w:type="dxa"/>
            <w:left w:w="0" w:type="dxa"/>
            <w:bottom w:w="0" w:type="dxa"/>
            <w:right w:w="0" w:type="dxa"/>
          </w:tblCellMar>
        </w:tblPrEx>
        <w:trPr>
          <w:trHeight w:val="363" w:hRule="atLeast"/>
        </w:trPr>
        <w:tc>
          <w:tcPr>
            <w:tcW w:w="761"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23</w:t>
            </w:r>
          </w:p>
        </w:tc>
        <w:tc>
          <w:tcPr>
            <w:tcW w:w="2575"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罐区气体流量计，信号输出</w:t>
            </w:r>
          </w:p>
        </w:tc>
        <w:tc>
          <w:tcPr>
            <w:tcW w:w="369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0～250m3/h</w:t>
            </w:r>
          </w:p>
        </w:tc>
        <w:tc>
          <w:tcPr>
            <w:tcW w:w="75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台</w:t>
            </w:r>
          </w:p>
        </w:tc>
        <w:tc>
          <w:tcPr>
            <w:tcW w:w="130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4</w:t>
            </w:r>
          </w:p>
        </w:tc>
      </w:tr>
      <w:tr>
        <w:tblPrEx>
          <w:tblLayout w:type="fixed"/>
          <w:tblCellMar>
            <w:top w:w="0" w:type="dxa"/>
            <w:left w:w="0" w:type="dxa"/>
            <w:bottom w:w="0" w:type="dxa"/>
            <w:right w:w="0" w:type="dxa"/>
          </w:tblCellMar>
        </w:tblPrEx>
        <w:trPr>
          <w:trHeight w:val="363" w:hRule="atLeast"/>
        </w:trPr>
        <w:tc>
          <w:tcPr>
            <w:tcW w:w="761"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24</w:t>
            </w:r>
          </w:p>
        </w:tc>
        <w:tc>
          <w:tcPr>
            <w:tcW w:w="2575"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罐区悬锤式气囊高度信号仪</w:t>
            </w:r>
          </w:p>
        </w:tc>
        <w:tc>
          <w:tcPr>
            <w:tcW w:w="369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p>
        </w:tc>
        <w:tc>
          <w:tcPr>
            <w:tcW w:w="75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台</w:t>
            </w:r>
          </w:p>
        </w:tc>
        <w:tc>
          <w:tcPr>
            <w:tcW w:w="130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12</w:t>
            </w:r>
          </w:p>
        </w:tc>
      </w:tr>
      <w:tr>
        <w:tblPrEx>
          <w:tblLayout w:type="fixed"/>
          <w:tblCellMar>
            <w:top w:w="0" w:type="dxa"/>
            <w:left w:w="0" w:type="dxa"/>
            <w:bottom w:w="0" w:type="dxa"/>
            <w:right w:w="0" w:type="dxa"/>
          </w:tblCellMar>
        </w:tblPrEx>
        <w:trPr>
          <w:trHeight w:val="363" w:hRule="atLeast"/>
        </w:trPr>
        <w:tc>
          <w:tcPr>
            <w:tcW w:w="9080" w:type="dxa"/>
            <w:gridSpan w:val="8"/>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b/>
                <w:bCs/>
                <w:sz w:val="21"/>
                <w:szCs w:val="21"/>
                <w:highlight w:val="none"/>
              </w:rPr>
            </w:pPr>
            <w:r>
              <w:rPr>
                <w:rFonts w:hint="eastAsia" w:eastAsiaTheme="minorEastAsia"/>
                <w:b/>
                <w:bCs/>
                <w:sz w:val="21"/>
                <w:szCs w:val="21"/>
                <w:highlight w:val="none"/>
              </w:rPr>
              <w:t>热水解处理站</w:t>
            </w:r>
          </w:p>
        </w:tc>
      </w:tr>
      <w:tr>
        <w:tblPrEx>
          <w:tblLayout w:type="fixed"/>
          <w:tblCellMar>
            <w:top w:w="0" w:type="dxa"/>
            <w:left w:w="0" w:type="dxa"/>
            <w:bottom w:w="0" w:type="dxa"/>
            <w:right w:w="0" w:type="dxa"/>
          </w:tblCellMar>
        </w:tblPrEx>
        <w:trPr>
          <w:trHeight w:val="363" w:hRule="atLeast"/>
        </w:trPr>
        <w:tc>
          <w:tcPr>
            <w:tcW w:w="761"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1</w:t>
            </w:r>
          </w:p>
        </w:tc>
        <w:tc>
          <w:tcPr>
            <w:tcW w:w="2575"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预热反应器</w:t>
            </w:r>
          </w:p>
        </w:tc>
        <w:tc>
          <w:tcPr>
            <w:tcW w:w="369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直径2.3m，有效容积23m3</w:t>
            </w:r>
          </w:p>
          <w:p>
            <w:pPr>
              <w:spacing w:line="240" w:lineRule="auto"/>
              <w:jc w:val="center"/>
              <w:rPr>
                <w:rFonts w:hint="eastAsia" w:eastAsiaTheme="minorEastAsia"/>
                <w:sz w:val="21"/>
                <w:szCs w:val="21"/>
                <w:highlight w:val="none"/>
              </w:rPr>
            </w:pPr>
            <w:r>
              <w:rPr>
                <w:rFonts w:hint="eastAsia" w:eastAsiaTheme="minorEastAsia"/>
                <w:sz w:val="21"/>
                <w:szCs w:val="21"/>
                <w:highlight w:val="none"/>
              </w:rPr>
              <w:t>（带搅拌，变频控制）</w:t>
            </w:r>
          </w:p>
        </w:tc>
        <w:tc>
          <w:tcPr>
            <w:tcW w:w="75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套</w:t>
            </w:r>
          </w:p>
        </w:tc>
        <w:tc>
          <w:tcPr>
            <w:tcW w:w="130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2</w:t>
            </w:r>
          </w:p>
        </w:tc>
      </w:tr>
      <w:tr>
        <w:tblPrEx>
          <w:tblLayout w:type="fixed"/>
          <w:tblCellMar>
            <w:top w:w="0" w:type="dxa"/>
            <w:left w:w="0" w:type="dxa"/>
            <w:bottom w:w="0" w:type="dxa"/>
            <w:right w:w="0" w:type="dxa"/>
          </w:tblCellMar>
        </w:tblPrEx>
        <w:trPr>
          <w:trHeight w:val="363" w:hRule="atLeast"/>
        </w:trPr>
        <w:tc>
          <w:tcPr>
            <w:tcW w:w="761"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2</w:t>
            </w:r>
          </w:p>
        </w:tc>
        <w:tc>
          <w:tcPr>
            <w:tcW w:w="2575"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热水解进料泵</w:t>
            </w:r>
          </w:p>
        </w:tc>
        <w:tc>
          <w:tcPr>
            <w:tcW w:w="369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Q=10m³/h,P=1.8MPa，使用温度100℃，变频控制</w:t>
            </w:r>
          </w:p>
        </w:tc>
        <w:tc>
          <w:tcPr>
            <w:tcW w:w="75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台</w:t>
            </w:r>
          </w:p>
        </w:tc>
        <w:tc>
          <w:tcPr>
            <w:tcW w:w="130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3</w:t>
            </w:r>
          </w:p>
        </w:tc>
      </w:tr>
      <w:tr>
        <w:tblPrEx>
          <w:tblLayout w:type="fixed"/>
          <w:tblCellMar>
            <w:top w:w="0" w:type="dxa"/>
            <w:left w:w="0" w:type="dxa"/>
            <w:bottom w:w="0" w:type="dxa"/>
            <w:right w:w="0" w:type="dxa"/>
          </w:tblCellMar>
        </w:tblPrEx>
        <w:trPr>
          <w:trHeight w:val="363" w:hRule="atLeast"/>
        </w:trPr>
        <w:tc>
          <w:tcPr>
            <w:tcW w:w="761"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3</w:t>
            </w:r>
          </w:p>
        </w:tc>
        <w:tc>
          <w:tcPr>
            <w:tcW w:w="2575"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热水解反应器</w:t>
            </w:r>
          </w:p>
        </w:tc>
        <w:tc>
          <w:tcPr>
            <w:tcW w:w="369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直径1.8m，有效容积11m3</w:t>
            </w:r>
          </w:p>
          <w:p>
            <w:pPr>
              <w:spacing w:line="240" w:lineRule="auto"/>
              <w:jc w:val="center"/>
              <w:rPr>
                <w:rFonts w:hint="eastAsia" w:eastAsiaTheme="minorEastAsia"/>
                <w:sz w:val="21"/>
                <w:szCs w:val="21"/>
                <w:highlight w:val="none"/>
              </w:rPr>
            </w:pPr>
            <w:r>
              <w:rPr>
                <w:rFonts w:hint="eastAsia" w:eastAsiaTheme="minorEastAsia"/>
                <w:sz w:val="21"/>
                <w:szCs w:val="21"/>
                <w:highlight w:val="none"/>
              </w:rPr>
              <w:t>（带搅拌变频控制）</w:t>
            </w:r>
          </w:p>
        </w:tc>
        <w:tc>
          <w:tcPr>
            <w:tcW w:w="75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套</w:t>
            </w:r>
          </w:p>
        </w:tc>
        <w:tc>
          <w:tcPr>
            <w:tcW w:w="130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2</w:t>
            </w:r>
          </w:p>
        </w:tc>
      </w:tr>
      <w:tr>
        <w:tblPrEx>
          <w:tblLayout w:type="fixed"/>
          <w:tblCellMar>
            <w:top w:w="0" w:type="dxa"/>
            <w:left w:w="0" w:type="dxa"/>
            <w:bottom w:w="0" w:type="dxa"/>
            <w:right w:w="0" w:type="dxa"/>
          </w:tblCellMar>
        </w:tblPrEx>
        <w:trPr>
          <w:trHeight w:val="363" w:hRule="atLeast"/>
        </w:trPr>
        <w:tc>
          <w:tcPr>
            <w:tcW w:w="761"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4</w:t>
            </w:r>
          </w:p>
        </w:tc>
        <w:tc>
          <w:tcPr>
            <w:tcW w:w="2575"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闪蒸反应器</w:t>
            </w:r>
          </w:p>
        </w:tc>
        <w:tc>
          <w:tcPr>
            <w:tcW w:w="369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直径1.6m，有效容积8m3，</w:t>
            </w:r>
          </w:p>
        </w:tc>
        <w:tc>
          <w:tcPr>
            <w:tcW w:w="75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套</w:t>
            </w:r>
          </w:p>
        </w:tc>
        <w:tc>
          <w:tcPr>
            <w:tcW w:w="130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4</w:t>
            </w:r>
          </w:p>
        </w:tc>
      </w:tr>
      <w:tr>
        <w:tblPrEx>
          <w:tblLayout w:type="fixed"/>
          <w:tblCellMar>
            <w:top w:w="0" w:type="dxa"/>
            <w:left w:w="0" w:type="dxa"/>
            <w:bottom w:w="0" w:type="dxa"/>
            <w:right w:w="0" w:type="dxa"/>
          </w:tblCellMar>
        </w:tblPrEx>
        <w:trPr>
          <w:trHeight w:val="363" w:hRule="atLeast"/>
        </w:trPr>
        <w:tc>
          <w:tcPr>
            <w:tcW w:w="761"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5</w:t>
            </w:r>
          </w:p>
        </w:tc>
        <w:tc>
          <w:tcPr>
            <w:tcW w:w="2575"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换热器</w:t>
            </w:r>
          </w:p>
        </w:tc>
        <w:tc>
          <w:tcPr>
            <w:tcW w:w="369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换热面积25㎡</w:t>
            </w:r>
          </w:p>
        </w:tc>
        <w:tc>
          <w:tcPr>
            <w:tcW w:w="75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套</w:t>
            </w:r>
          </w:p>
        </w:tc>
        <w:tc>
          <w:tcPr>
            <w:tcW w:w="130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1</w:t>
            </w:r>
          </w:p>
        </w:tc>
      </w:tr>
      <w:tr>
        <w:tblPrEx>
          <w:tblLayout w:type="fixed"/>
          <w:tblCellMar>
            <w:top w:w="0" w:type="dxa"/>
            <w:left w:w="0" w:type="dxa"/>
            <w:bottom w:w="0" w:type="dxa"/>
            <w:right w:w="0" w:type="dxa"/>
          </w:tblCellMar>
        </w:tblPrEx>
        <w:trPr>
          <w:trHeight w:val="363" w:hRule="atLeast"/>
        </w:trPr>
        <w:tc>
          <w:tcPr>
            <w:tcW w:w="761"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6</w:t>
            </w:r>
          </w:p>
        </w:tc>
        <w:tc>
          <w:tcPr>
            <w:tcW w:w="2575"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气液分离罐</w:t>
            </w:r>
          </w:p>
        </w:tc>
        <w:tc>
          <w:tcPr>
            <w:tcW w:w="369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2.5m³</w:t>
            </w:r>
          </w:p>
        </w:tc>
        <w:tc>
          <w:tcPr>
            <w:tcW w:w="75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套</w:t>
            </w:r>
          </w:p>
        </w:tc>
        <w:tc>
          <w:tcPr>
            <w:tcW w:w="130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1</w:t>
            </w:r>
          </w:p>
        </w:tc>
      </w:tr>
      <w:tr>
        <w:tblPrEx>
          <w:tblLayout w:type="fixed"/>
          <w:tblCellMar>
            <w:top w:w="0" w:type="dxa"/>
            <w:left w:w="0" w:type="dxa"/>
            <w:bottom w:w="0" w:type="dxa"/>
            <w:right w:w="0" w:type="dxa"/>
          </w:tblCellMar>
        </w:tblPrEx>
        <w:trPr>
          <w:trHeight w:val="363" w:hRule="atLeast"/>
        </w:trPr>
        <w:tc>
          <w:tcPr>
            <w:tcW w:w="761"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7</w:t>
            </w:r>
          </w:p>
        </w:tc>
        <w:tc>
          <w:tcPr>
            <w:tcW w:w="2575"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换热缓存罐</w:t>
            </w:r>
          </w:p>
        </w:tc>
        <w:tc>
          <w:tcPr>
            <w:tcW w:w="369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直径4m，有效容积80m3</w:t>
            </w:r>
          </w:p>
        </w:tc>
        <w:tc>
          <w:tcPr>
            <w:tcW w:w="75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套</w:t>
            </w:r>
          </w:p>
        </w:tc>
        <w:tc>
          <w:tcPr>
            <w:tcW w:w="130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1</w:t>
            </w:r>
          </w:p>
        </w:tc>
      </w:tr>
      <w:tr>
        <w:tblPrEx>
          <w:tblLayout w:type="fixed"/>
          <w:tblCellMar>
            <w:top w:w="0" w:type="dxa"/>
            <w:left w:w="0" w:type="dxa"/>
            <w:bottom w:w="0" w:type="dxa"/>
            <w:right w:w="0" w:type="dxa"/>
          </w:tblCellMar>
        </w:tblPrEx>
        <w:trPr>
          <w:trHeight w:val="363" w:hRule="atLeast"/>
        </w:trPr>
        <w:tc>
          <w:tcPr>
            <w:tcW w:w="761"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8</w:t>
            </w:r>
          </w:p>
        </w:tc>
        <w:tc>
          <w:tcPr>
            <w:tcW w:w="2575"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热泥换热泵</w:t>
            </w:r>
          </w:p>
        </w:tc>
        <w:tc>
          <w:tcPr>
            <w:tcW w:w="369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Q=10m³/h，P=0.6MPa，使用温度100℃，变频控制</w:t>
            </w:r>
          </w:p>
        </w:tc>
        <w:tc>
          <w:tcPr>
            <w:tcW w:w="75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台</w:t>
            </w:r>
          </w:p>
        </w:tc>
        <w:tc>
          <w:tcPr>
            <w:tcW w:w="130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2</w:t>
            </w:r>
          </w:p>
        </w:tc>
      </w:tr>
      <w:tr>
        <w:tblPrEx>
          <w:tblLayout w:type="fixed"/>
          <w:tblCellMar>
            <w:top w:w="0" w:type="dxa"/>
            <w:left w:w="0" w:type="dxa"/>
            <w:bottom w:w="0" w:type="dxa"/>
            <w:right w:w="0" w:type="dxa"/>
          </w:tblCellMar>
        </w:tblPrEx>
        <w:trPr>
          <w:trHeight w:val="363" w:hRule="atLeast"/>
        </w:trPr>
        <w:tc>
          <w:tcPr>
            <w:tcW w:w="761"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9</w:t>
            </w:r>
          </w:p>
        </w:tc>
        <w:tc>
          <w:tcPr>
            <w:tcW w:w="2575"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热污泥换热器</w:t>
            </w:r>
          </w:p>
        </w:tc>
        <w:tc>
          <w:tcPr>
            <w:tcW w:w="369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换热面积128㎡</w:t>
            </w:r>
          </w:p>
        </w:tc>
        <w:tc>
          <w:tcPr>
            <w:tcW w:w="75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台</w:t>
            </w:r>
          </w:p>
        </w:tc>
        <w:tc>
          <w:tcPr>
            <w:tcW w:w="130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3</w:t>
            </w:r>
          </w:p>
        </w:tc>
      </w:tr>
      <w:tr>
        <w:tblPrEx>
          <w:tblLayout w:type="fixed"/>
          <w:tblCellMar>
            <w:top w:w="0" w:type="dxa"/>
            <w:left w:w="0" w:type="dxa"/>
            <w:bottom w:w="0" w:type="dxa"/>
            <w:right w:w="0" w:type="dxa"/>
          </w:tblCellMar>
        </w:tblPrEx>
        <w:trPr>
          <w:trHeight w:val="363" w:hRule="atLeast"/>
        </w:trPr>
        <w:tc>
          <w:tcPr>
            <w:tcW w:w="761"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10</w:t>
            </w:r>
          </w:p>
        </w:tc>
        <w:tc>
          <w:tcPr>
            <w:tcW w:w="2575"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旋流除砂缓冲罐</w:t>
            </w:r>
          </w:p>
        </w:tc>
        <w:tc>
          <w:tcPr>
            <w:tcW w:w="369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直径2.6m，容积20m3</w:t>
            </w:r>
          </w:p>
        </w:tc>
        <w:tc>
          <w:tcPr>
            <w:tcW w:w="75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套</w:t>
            </w:r>
          </w:p>
        </w:tc>
        <w:tc>
          <w:tcPr>
            <w:tcW w:w="130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1</w:t>
            </w:r>
          </w:p>
        </w:tc>
      </w:tr>
      <w:tr>
        <w:tblPrEx>
          <w:tblLayout w:type="fixed"/>
          <w:tblCellMar>
            <w:top w:w="0" w:type="dxa"/>
            <w:left w:w="0" w:type="dxa"/>
            <w:bottom w:w="0" w:type="dxa"/>
            <w:right w:w="0" w:type="dxa"/>
          </w:tblCellMar>
        </w:tblPrEx>
        <w:trPr>
          <w:trHeight w:val="363" w:hRule="atLeast"/>
        </w:trPr>
        <w:tc>
          <w:tcPr>
            <w:tcW w:w="761"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11</w:t>
            </w:r>
          </w:p>
        </w:tc>
        <w:tc>
          <w:tcPr>
            <w:tcW w:w="2575"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旋流除砂进料泵</w:t>
            </w:r>
          </w:p>
        </w:tc>
        <w:tc>
          <w:tcPr>
            <w:tcW w:w="369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螺杆泵，Q=15m3/h，</w:t>
            </w:r>
          </w:p>
          <w:p>
            <w:pPr>
              <w:spacing w:line="240" w:lineRule="auto"/>
              <w:jc w:val="center"/>
              <w:rPr>
                <w:rFonts w:hint="eastAsia" w:eastAsiaTheme="minorEastAsia"/>
                <w:sz w:val="21"/>
                <w:szCs w:val="21"/>
                <w:highlight w:val="none"/>
              </w:rPr>
            </w:pPr>
            <w:r>
              <w:rPr>
                <w:rFonts w:hint="eastAsia" w:eastAsiaTheme="minorEastAsia"/>
                <w:sz w:val="21"/>
                <w:szCs w:val="21"/>
                <w:highlight w:val="none"/>
              </w:rPr>
              <w:t>P=0.8MPa</w:t>
            </w:r>
          </w:p>
        </w:tc>
        <w:tc>
          <w:tcPr>
            <w:tcW w:w="75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台</w:t>
            </w:r>
          </w:p>
        </w:tc>
        <w:tc>
          <w:tcPr>
            <w:tcW w:w="130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2</w:t>
            </w:r>
          </w:p>
        </w:tc>
      </w:tr>
      <w:tr>
        <w:tblPrEx>
          <w:tblLayout w:type="fixed"/>
          <w:tblCellMar>
            <w:top w:w="0" w:type="dxa"/>
            <w:left w:w="0" w:type="dxa"/>
            <w:bottom w:w="0" w:type="dxa"/>
            <w:right w:w="0" w:type="dxa"/>
          </w:tblCellMar>
        </w:tblPrEx>
        <w:trPr>
          <w:trHeight w:val="363" w:hRule="atLeast"/>
        </w:trPr>
        <w:tc>
          <w:tcPr>
            <w:tcW w:w="761"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12</w:t>
            </w:r>
          </w:p>
        </w:tc>
        <w:tc>
          <w:tcPr>
            <w:tcW w:w="2575"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旋流除砂器</w:t>
            </w:r>
          </w:p>
        </w:tc>
        <w:tc>
          <w:tcPr>
            <w:tcW w:w="369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处理量15m³/h</w:t>
            </w:r>
          </w:p>
        </w:tc>
        <w:tc>
          <w:tcPr>
            <w:tcW w:w="75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台</w:t>
            </w:r>
          </w:p>
        </w:tc>
        <w:tc>
          <w:tcPr>
            <w:tcW w:w="130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2</w:t>
            </w:r>
          </w:p>
        </w:tc>
      </w:tr>
      <w:tr>
        <w:tblPrEx>
          <w:tblLayout w:type="fixed"/>
          <w:tblCellMar>
            <w:top w:w="0" w:type="dxa"/>
            <w:left w:w="0" w:type="dxa"/>
            <w:bottom w:w="0" w:type="dxa"/>
            <w:right w:w="0" w:type="dxa"/>
          </w:tblCellMar>
        </w:tblPrEx>
        <w:trPr>
          <w:trHeight w:val="363" w:hRule="atLeast"/>
        </w:trPr>
        <w:tc>
          <w:tcPr>
            <w:tcW w:w="761"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13</w:t>
            </w:r>
          </w:p>
        </w:tc>
        <w:tc>
          <w:tcPr>
            <w:tcW w:w="2575"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砂水分离器</w:t>
            </w:r>
          </w:p>
        </w:tc>
        <w:tc>
          <w:tcPr>
            <w:tcW w:w="369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处理量2m³/h</w:t>
            </w:r>
          </w:p>
        </w:tc>
        <w:tc>
          <w:tcPr>
            <w:tcW w:w="75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套</w:t>
            </w:r>
          </w:p>
        </w:tc>
        <w:tc>
          <w:tcPr>
            <w:tcW w:w="130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1</w:t>
            </w:r>
          </w:p>
        </w:tc>
      </w:tr>
      <w:tr>
        <w:tblPrEx>
          <w:tblLayout w:type="fixed"/>
          <w:tblCellMar>
            <w:top w:w="0" w:type="dxa"/>
            <w:left w:w="0" w:type="dxa"/>
            <w:bottom w:w="0" w:type="dxa"/>
            <w:right w:w="0" w:type="dxa"/>
          </w:tblCellMar>
        </w:tblPrEx>
        <w:trPr>
          <w:trHeight w:val="363" w:hRule="atLeast"/>
        </w:trPr>
        <w:tc>
          <w:tcPr>
            <w:tcW w:w="761"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14</w:t>
            </w:r>
          </w:p>
        </w:tc>
        <w:tc>
          <w:tcPr>
            <w:tcW w:w="2575"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液位计</w:t>
            </w:r>
          </w:p>
        </w:tc>
        <w:tc>
          <w:tcPr>
            <w:tcW w:w="369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量程0-4米，输出4-20mA，法兰连接</w:t>
            </w:r>
          </w:p>
        </w:tc>
        <w:tc>
          <w:tcPr>
            <w:tcW w:w="75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台</w:t>
            </w:r>
          </w:p>
        </w:tc>
        <w:tc>
          <w:tcPr>
            <w:tcW w:w="130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1</w:t>
            </w:r>
          </w:p>
        </w:tc>
      </w:tr>
      <w:tr>
        <w:tblPrEx>
          <w:tblLayout w:type="fixed"/>
          <w:tblCellMar>
            <w:top w:w="0" w:type="dxa"/>
            <w:left w:w="0" w:type="dxa"/>
            <w:bottom w:w="0" w:type="dxa"/>
            <w:right w:w="0" w:type="dxa"/>
          </w:tblCellMar>
        </w:tblPrEx>
        <w:trPr>
          <w:trHeight w:val="363" w:hRule="atLeast"/>
        </w:trPr>
        <w:tc>
          <w:tcPr>
            <w:tcW w:w="761"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15</w:t>
            </w:r>
          </w:p>
        </w:tc>
        <w:tc>
          <w:tcPr>
            <w:tcW w:w="2575"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温度传感器</w:t>
            </w:r>
          </w:p>
        </w:tc>
        <w:tc>
          <w:tcPr>
            <w:tcW w:w="369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0-100℃，输出4-20mA，螺纹连接</w:t>
            </w:r>
          </w:p>
        </w:tc>
        <w:tc>
          <w:tcPr>
            <w:tcW w:w="75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台</w:t>
            </w:r>
          </w:p>
        </w:tc>
        <w:tc>
          <w:tcPr>
            <w:tcW w:w="130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1</w:t>
            </w:r>
          </w:p>
        </w:tc>
      </w:tr>
      <w:tr>
        <w:tblPrEx>
          <w:tblLayout w:type="fixed"/>
          <w:tblCellMar>
            <w:top w:w="0" w:type="dxa"/>
            <w:left w:w="0" w:type="dxa"/>
            <w:bottom w:w="0" w:type="dxa"/>
            <w:right w:w="0" w:type="dxa"/>
          </w:tblCellMar>
        </w:tblPrEx>
        <w:trPr>
          <w:trHeight w:val="363" w:hRule="atLeast"/>
        </w:trPr>
        <w:tc>
          <w:tcPr>
            <w:tcW w:w="761"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16</w:t>
            </w:r>
          </w:p>
        </w:tc>
        <w:tc>
          <w:tcPr>
            <w:tcW w:w="2575"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冷却塔</w:t>
            </w:r>
          </w:p>
        </w:tc>
        <w:tc>
          <w:tcPr>
            <w:tcW w:w="369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工业型冷却塔，循环冷却水量340t/h</w:t>
            </w:r>
          </w:p>
        </w:tc>
        <w:tc>
          <w:tcPr>
            <w:tcW w:w="75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台</w:t>
            </w:r>
          </w:p>
        </w:tc>
        <w:tc>
          <w:tcPr>
            <w:tcW w:w="130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1</w:t>
            </w:r>
          </w:p>
        </w:tc>
      </w:tr>
      <w:tr>
        <w:tblPrEx>
          <w:tblLayout w:type="fixed"/>
          <w:tblCellMar>
            <w:top w:w="0" w:type="dxa"/>
            <w:left w:w="0" w:type="dxa"/>
            <w:bottom w:w="0" w:type="dxa"/>
            <w:right w:w="0" w:type="dxa"/>
          </w:tblCellMar>
        </w:tblPrEx>
        <w:trPr>
          <w:trHeight w:val="363" w:hRule="atLeast"/>
        </w:trPr>
        <w:tc>
          <w:tcPr>
            <w:tcW w:w="761"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17</w:t>
            </w:r>
          </w:p>
        </w:tc>
        <w:tc>
          <w:tcPr>
            <w:tcW w:w="2575"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板换冷却循环泵</w:t>
            </w:r>
          </w:p>
        </w:tc>
        <w:tc>
          <w:tcPr>
            <w:tcW w:w="369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Q=50m³/h，P=15m</w:t>
            </w:r>
          </w:p>
        </w:tc>
        <w:tc>
          <w:tcPr>
            <w:tcW w:w="75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台</w:t>
            </w:r>
          </w:p>
        </w:tc>
        <w:tc>
          <w:tcPr>
            <w:tcW w:w="130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2</w:t>
            </w:r>
          </w:p>
        </w:tc>
      </w:tr>
      <w:tr>
        <w:tblPrEx>
          <w:tblLayout w:type="fixed"/>
          <w:tblCellMar>
            <w:top w:w="0" w:type="dxa"/>
            <w:left w:w="0" w:type="dxa"/>
            <w:bottom w:w="0" w:type="dxa"/>
            <w:right w:w="0" w:type="dxa"/>
          </w:tblCellMar>
        </w:tblPrEx>
        <w:trPr>
          <w:trHeight w:val="363" w:hRule="atLeast"/>
        </w:trPr>
        <w:tc>
          <w:tcPr>
            <w:tcW w:w="761"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18</w:t>
            </w:r>
          </w:p>
        </w:tc>
        <w:tc>
          <w:tcPr>
            <w:tcW w:w="2575"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热泥冷却循环泵</w:t>
            </w:r>
          </w:p>
        </w:tc>
        <w:tc>
          <w:tcPr>
            <w:tcW w:w="369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Q=150m³/h，P=15m</w:t>
            </w:r>
          </w:p>
        </w:tc>
        <w:tc>
          <w:tcPr>
            <w:tcW w:w="75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台</w:t>
            </w:r>
          </w:p>
        </w:tc>
        <w:tc>
          <w:tcPr>
            <w:tcW w:w="130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2</w:t>
            </w:r>
          </w:p>
        </w:tc>
      </w:tr>
      <w:tr>
        <w:tblPrEx>
          <w:tblLayout w:type="fixed"/>
          <w:tblCellMar>
            <w:top w:w="0" w:type="dxa"/>
            <w:left w:w="0" w:type="dxa"/>
            <w:bottom w:w="0" w:type="dxa"/>
            <w:right w:w="0" w:type="dxa"/>
          </w:tblCellMar>
        </w:tblPrEx>
        <w:trPr>
          <w:trHeight w:val="363" w:hRule="atLeast"/>
        </w:trPr>
        <w:tc>
          <w:tcPr>
            <w:tcW w:w="761"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19</w:t>
            </w:r>
          </w:p>
        </w:tc>
        <w:tc>
          <w:tcPr>
            <w:tcW w:w="2575"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废气引风机</w:t>
            </w:r>
          </w:p>
        </w:tc>
        <w:tc>
          <w:tcPr>
            <w:tcW w:w="369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3000m³/h，风压2000Pa</w:t>
            </w:r>
          </w:p>
        </w:tc>
        <w:tc>
          <w:tcPr>
            <w:tcW w:w="75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套</w:t>
            </w:r>
          </w:p>
        </w:tc>
        <w:tc>
          <w:tcPr>
            <w:tcW w:w="130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1</w:t>
            </w:r>
          </w:p>
        </w:tc>
      </w:tr>
      <w:tr>
        <w:tblPrEx>
          <w:tblLayout w:type="fixed"/>
          <w:tblCellMar>
            <w:top w:w="0" w:type="dxa"/>
            <w:left w:w="0" w:type="dxa"/>
            <w:bottom w:w="0" w:type="dxa"/>
            <w:right w:w="0" w:type="dxa"/>
          </w:tblCellMar>
        </w:tblPrEx>
        <w:trPr>
          <w:trHeight w:val="363" w:hRule="atLeast"/>
        </w:trPr>
        <w:tc>
          <w:tcPr>
            <w:tcW w:w="761"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20</w:t>
            </w:r>
          </w:p>
        </w:tc>
        <w:tc>
          <w:tcPr>
            <w:tcW w:w="2575"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电动葫芦</w:t>
            </w:r>
          </w:p>
        </w:tc>
        <w:tc>
          <w:tcPr>
            <w:tcW w:w="369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起吊重量1t，起吊高度12m</w:t>
            </w:r>
          </w:p>
        </w:tc>
        <w:tc>
          <w:tcPr>
            <w:tcW w:w="75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台</w:t>
            </w:r>
          </w:p>
        </w:tc>
        <w:tc>
          <w:tcPr>
            <w:tcW w:w="130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1</w:t>
            </w:r>
          </w:p>
        </w:tc>
      </w:tr>
      <w:tr>
        <w:tblPrEx>
          <w:tblLayout w:type="fixed"/>
          <w:tblCellMar>
            <w:top w:w="0" w:type="dxa"/>
            <w:left w:w="0" w:type="dxa"/>
            <w:bottom w:w="0" w:type="dxa"/>
            <w:right w:w="0" w:type="dxa"/>
          </w:tblCellMar>
        </w:tblPrEx>
        <w:trPr>
          <w:trHeight w:val="363" w:hRule="atLeast"/>
        </w:trPr>
        <w:tc>
          <w:tcPr>
            <w:tcW w:w="9080" w:type="dxa"/>
            <w:gridSpan w:val="8"/>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b/>
                <w:bCs/>
                <w:sz w:val="21"/>
                <w:szCs w:val="21"/>
                <w:highlight w:val="none"/>
              </w:rPr>
              <w:t>板框压滤车间</w:t>
            </w:r>
          </w:p>
        </w:tc>
      </w:tr>
      <w:tr>
        <w:tblPrEx>
          <w:tblLayout w:type="fixed"/>
          <w:tblCellMar>
            <w:top w:w="0" w:type="dxa"/>
            <w:left w:w="0" w:type="dxa"/>
            <w:bottom w:w="0" w:type="dxa"/>
            <w:right w:w="0" w:type="dxa"/>
          </w:tblCellMar>
        </w:tblPrEx>
        <w:trPr>
          <w:trHeight w:val="363" w:hRule="atLeast"/>
        </w:trPr>
        <w:tc>
          <w:tcPr>
            <w:tcW w:w="761"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1</w:t>
            </w:r>
          </w:p>
        </w:tc>
        <w:tc>
          <w:tcPr>
            <w:tcW w:w="2575"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厢式隔膜压滤机</w:t>
            </w:r>
          </w:p>
        </w:tc>
        <w:tc>
          <w:tcPr>
            <w:tcW w:w="369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Q=14m3/h，h=200m，N=15kW</w:t>
            </w:r>
          </w:p>
        </w:tc>
        <w:tc>
          <w:tcPr>
            <w:tcW w:w="75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台</w:t>
            </w:r>
          </w:p>
        </w:tc>
        <w:tc>
          <w:tcPr>
            <w:tcW w:w="130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3</w:t>
            </w:r>
          </w:p>
        </w:tc>
      </w:tr>
      <w:tr>
        <w:tblPrEx>
          <w:tblLayout w:type="fixed"/>
          <w:tblCellMar>
            <w:top w:w="0" w:type="dxa"/>
            <w:left w:w="0" w:type="dxa"/>
            <w:bottom w:w="0" w:type="dxa"/>
            <w:right w:w="0" w:type="dxa"/>
          </w:tblCellMar>
        </w:tblPrEx>
        <w:trPr>
          <w:trHeight w:val="363" w:hRule="atLeast"/>
        </w:trPr>
        <w:tc>
          <w:tcPr>
            <w:tcW w:w="761"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2</w:t>
            </w:r>
          </w:p>
        </w:tc>
        <w:tc>
          <w:tcPr>
            <w:tcW w:w="2575"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高压进料柱塞泵</w:t>
            </w:r>
          </w:p>
        </w:tc>
        <w:tc>
          <w:tcPr>
            <w:tcW w:w="369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风量Q=20000m3/h，转速1021r/min，风压P=1100Pa，N=11kW</w:t>
            </w:r>
          </w:p>
        </w:tc>
        <w:tc>
          <w:tcPr>
            <w:tcW w:w="75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台</w:t>
            </w:r>
          </w:p>
        </w:tc>
        <w:tc>
          <w:tcPr>
            <w:tcW w:w="130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1</w:t>
            </w:r>
          </w:p>
        </w:tc>
      </w:tr>
      <w:tr>
        <w:tblPrEx>
          <w:tblLayout w:type="fixed"/>
          <w:tblCellMar>
            <w:top w:w="0" w:type="dxa"/>
            <w:left w:w="0" w:type="dxa"/>
            <w:bottom w:w="0" w:type="dxa"/>
            <w:right w:w="0" w:type="dxa"/>
          </w:tblCellMar>
        </w:tblPrEx>
        <w:trPr>
          <w:trHeight w:val="363" w:hRule="atLeast"/>
        </w:trPr>
        <w:tc>
          <w:tcPr>
            <w:tcW w:w="761"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3</w:t>
            </w:r>
          </w:p>
        </w:tc>
        <w:tc>
          <w:tcPr>
            <w:tcW w:w="2575"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污泥切割机</w:t>
            </w:r>
          </w:p>
        </w:tc>
        <w:tc>
          <w:tcPr>
            <w:tcW w:w="369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处理风量Q=20000m3/h，N=4.5kW，带排气筒，高度15m</w:t>
            </w:r>
          </w:p>
        </w:tc>
        <w:tc>
          <w:tcPr>
            <w:tcW w:w="75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套</w:t>
            </w:r>
          </w:p>
        </w:tc>
        <w:tc>
          <w:tcPr>
            <w:tcW w:w="130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1</w:t>
            </w:r>
          </w:p>
        </w:tc>
      </w:tr>
      <w:tr>
        <w:tblPrEx>
          <w:tblLayout w:type="fixed"/>
          <w:tblCellMar>
            <w:top w:w="0" w:type="dxa"/>
            <w:left w:w="0" w:type="dxa"/>
            <w:bottom w:w="0" w:type="dxa"/>
            <w:right w:w="0" w:type="dxa"/>
          </w:tblCellMar>
        </w:tblPrEx>
        <w:trPr>
          <w:trHeight w:val="363" w:hRule="atLeast"/>
        </w:trPr>
        <w:tc>
          <w:tcPr>
            <w:tcW w:w="761"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4</w:t>
            </w:r>
          </w:p>
        </w:tc>
        <w:tc>
          <w:tcPr>
            <w:tcW w:w="2575"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滤布清洗泵</w:t>
            </w:r>
          </w:p>
        </w:tc>
        <w:tc>
          <w:tcPr>
            <w:tcW w:w="369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流量4.8m3/min，压力0.8MPa，功率30kW</w:t>
            </w:r>
          </w:p>
        </w:tc>
        <w:tc>
          <w:tcPr>
            <w:tcW w:w="75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台</w:t>
            </w:r>
          </w:p>
        </w:tc>
        <w:tc>
          <w:tcPr>
            <w:tcW w:w="130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1</w:t>
            </w:r>
          </w:p>
        </w:tc>
      </w:tr>
      <w:tr>
        <w:tblPrEx>
          <w:tblLayout w:type="fixed"/>
          <w:tblCellMar>
            <w:top w:w="0" w:type="dxa"/>
            <w:left w:w="0" w:type="dxa"/>
            <w:bottom w:w="0" w:type="dxa"/>
            <w:right w:w="0" w:type="dxa"/>
          </w:tblCellMar>
        </w:tblPrEx>
        <w:trPr>
          <w:trHeight w:val="363" w:hRule="atLeast"/>
        </w:trPr>
        <w:tc>
          <w:tcPr>
            <w:tcW w:w="761"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5</w:t>
            </w:r>
          </w:p>
        </w:tc>
        <w:tc>
          <w:tcPr>
            <w:tcW w:w="2575"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压榨水泵</w:t>
            </w:r>
          </w:p>
        </w:tc>
        <w:tc>
          <w:tcPr>
            <w:tcW w:w="369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Q=2.1m3/min，P=0.8MPa，N=0.55kW</w:t>
            </w:r>
          </w:p>
        </w:tc>
        <w:tc>
          <w:tcPr>
            <w:tcW w:w="75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台</w:t>
            </w:r>
          </w:p>
        </w:tc>
        <w:tc>
          <w:tcPr>
            <w:tcW w:w="130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1</w:t>
            </w:r>
          </w:p>
        </w:tc>
      </w:tr>
      <w:tr>
        <w:tblPrEx>
          <w:tblLayout w:type="fixed"/>
          <w:tblCellMar>
            <w:top w:w="0" w:type="dxa"/>
            <w:left w:w="0" w:type="dxa"/>
            <w:bottom w:w="0" w:type="dxa"/>
            <w:right w:w="0" w:type="dxa"/>
          </w:tblCellMar>
        </w:tblPrEx>
        <w:trPr>
          <w:trHeight w:val="363" w:hRule="atLeast"/>
        </w:trPr>
        <w:tc>
          <w:tcPr>
            <w:tcW w:w="761"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6</w:t>
            </w:r>
          </w:p>
        </w:tc>
        <w:tc>
          <w:tcPr>
            <w:tcW w:w="2575"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离心风机箱</w:t>
            </w:r>
          </w:p>
        </w:tc>
        <w:tc>
          <w:tcPr>
            <w:tcW w:w="369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V=10m3，P=1.0MPa</w:t>
            </w:r>
          </w:p>
        </w:tc>
        <w:tc>
          <w:tcPr>
            <w:tcW w:w="75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套</w:t>
            </w:r>
          </w:p>
        </w:tc>
        <w:tc>
          <w:tcPr>
            <w:tcW w:w="130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1</w:t>
            </w:r>
          </w:p>
        </w:tc>
      </w:tr>
      <w:tr>
        <w:tblPrEx>
          <w:tblLayout w:type="fixed"/>
          <w:tblCellMar>
            <w:top w:w="0" w:type="dxa"/>
            <w:left w:w="0" w:type="dxa"/>
            <w:bottom w:w="0" w:type="dxa"/>
            <w:right w:w="0" w:type="dxa"/>
          </w:tblCellMar>
        </w:tblPrEx>
        <w:trPr>
          <w:trHeight w:val="363" w:hRule="atLeast"/>
        </w:trPr>
        <w:tc>
          <w:tcPr>
            <w:tcW w:w="761"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7</w:t>
            </w:r>
          </w:p>
        </w:tc>
        <w:tc>
          <w:tcPr>
            <w:tcW w:w="2575"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光分解催化氧化除臭设备</w:t>
            </w:r>
          </w:p>
        </w:tc>
        <w:tc>
          <w:tcPr>
            <w:tcW w:w="369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V=1m3，P=1.0MPa</w:t>
            </w:r>
          </w:p>
        </w:tc>
        <w:tc>
          <w:tcPr>
            <w:tcW w:w="75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套</w:t>
            </w:r>
          </w:p>
        </w:tc>
        <w:tc>
          <w:tcPr>
            <w:tcW w:w="130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1</w:t>
            </w:r>
          </w:p>
        </w:tc>
      </w:tr>
      <w:tr>
        <w:tblPrEx>
          <w:tblLayout w:type="fixed"/>
          <w:tblCellMar>
            <w:top w:w="0" w:type="dxa"/>
            <w:left w:w="0" w:type="dxa"/>
            <w:bottom w:w="0" w:type="dxa"/>
            <w:right w:w="0" w:type="dxa"/>
          </w:tblCellMar>
        </w:tblPrEx>
        <w:trPr>
          <w:trHeight w:val="363" w:hRule="atLeast"/>
        </w:trPr>
        <w:tc>
          <w:tcPr>
            <w:tcW w:w="761"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8</w:t>
            </w:r>
          </w:p>
        </w:tc>
        <w:tc>
          <w:tcPr>
            <w:tcW w:w="2575"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空压机</w:t>
            </w:r>
          </w:p>
        </w:tc>
        <w:tc>
          <w:tcPr>
            <w:tcW w:w="369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碳钢防腐材质</w:t>
            </w:r>
          </w:p>
        </w:tc>
        <w:tc>
          <w:tcPr>
            <w:tcW w:w="75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台</w:t>
            </w:r>
          </w:p>
        </w:tc>
        <w:tc>
          <w:tcPr>
            <w:tcW w:w="130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3</w:t>
            </w:r>
          </w:p>
        </w:tc>
      </w:tr>
      <w:tr>
        <w:tblPrEx>
          <w:tblLayout w:type="fixed"/>
          <w:tblCellMar>
            <w:top w:w="0" w:type="dxa"/>
            <w:left w:w="0" w:type="dxa"/>
            <w:bottom w:w="0" w:type="dxa"/>
            <w:right w:w="0" w:type="dxa"/>
          </w:tblCellMar>
        </w:tblPrEx>
        <w:trPr>
          <w:trHeight w:val="363" w:hRule="atLeast"/>
        </w:trPr>
        <w:tc>
          <w:tcPr>
            <w:tcW w:w="761"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9</w:t>
            </w:r>
          </w:p>
        </w:tc>
        <w:tc>
          <w:tcPr>
            <w:tcW w:w="2575"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冷干机</w:t>
            </w:r>
          </w:p>
        </w:tc>
        <w:tc>
          <w:tcPr>
            <w:tcW w:w="369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B=1000mm，L=13.5m，N=5.5kW</w:t>
            </w:r>
          </w:p>
        </w:tc>
        <w:tc>
          <w:tcPr>
            <w:tcW w:w="75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台</w:t>
            </w:r>
          </w:p>
        </w:tc>
        <w:tc>
          <w:tcPr>
            <w:tcW w:w="130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3</w:t>
            </w:r>
          </w:p>
        </w:tc>
      </w:tr>
      <w:tr>
        <w:tblPrEx>
          <w:tblLayout w:type="fixed"/>
          <w:tblCellMar>
            <w:top w:w="0" w:type="dxa"/>
            <w:left w:w="0" w:type="dxa"/>
            <w:bottom w:w="0" w:type="dxa"/>
            <w:right w:w="0" w:type="dxa"/>
          </w:tblCellMar>
        </w:tblPrEx>
        <w:trPr>
          <w:trHeight w:val="363" w:hRule="atLeast"/>
        </w:trPr>
        <w:tc>
          <w:tcPr>
            <w:tcW w:w="761"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10</w:t>
            </w:r>
          </w:p>
        </w:tc>
        <w:tc>
          <w:tcPr>
            <w:tcW w:w="2575"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储气罐(压滤机用)</w:t>
            </w:r>
          </w:p>
        </w:tc>
        <w:tc>
          <w:tcPr>
            <w:tcW w:w="369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B=1000mm，L=42.5m，N=10kW</w:t>
            </w:r>
          </w:p>
        </w:tc>
        <w:tc>
          <w:tcPr>
            <w:tcW w:w="75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台</w:t>
            </w:r>
          </w:p>
        </w:tc>
        <w:tc>
          <w:tcPr>
            <w:tcW w:w="130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1</w:t>
            </w:r>
          </w:p>
        </w:tc>
      </w:tr>
      <w:tr>
        <w:tblPrEx>
          <w:tblLayout w:type="fixed"/>
          <w:tblCellMar>
            <w:top w:w="0" w:type="dxa"/>
            <w:left w:w="0" w:type="dxa"/>
            <w:bottom w:w="0" w:type="dxa"/>
            <w:right w:w="0" w:type="dxa"/>
          </w:tblCellMar>
        </w:tblPrEx>
        <w:trPr>
          <w:trHeight w:val="363" w:hRule="atLeast"/>
        </w:trPr>
        <w:tc>
          <w:tcPr>
            <w:tcW w:w="761"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11</w:t>
            </w:r>
          </w:p>
        </w:tc>
        <w:tc>
          <w:tcPr>
            <w:tcW w:w="2575"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储气罐(气动阀用)</w:t>
            </w:r>
          </w:p>
        </w:tc>
        <w:tc>
          <w:tcPr>
            <w:tcW w:w="369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Q=6070m3/h，P=121Pa，N=0.37kW</w:t>
            </w:r>
          </w:p>
        </w:tc>
        <w:tc>
          <w:tcPr>
            <w:tcW w:w="75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台</w:t>
            </w:r>
          </w:p>
        </w:tc>
        <w:tc>
          <w:tcPr>
            <w:tcW w:w="130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18</w:t>
            </w:r>
          </w:p>
        </w:tc>
      </w:tr>
      <w:tr>
        <w:tblPrEx>
          <w:tblLayout w:type="fixed"/>
          <w:tblCellMar>
            <w:top w:w="0" w:type="dxa"/>
            <w:left w:w="0" w:type="dxa"/>
            <w:bottom w:w="0" w:type="dxa"/>
            <w:right w:w="0" w:type="dxa"/>
          </w:tblCellMar>
        </w:tblPrEx>
        <w:trPr>
          <w:trHeight w:val="363" w:hRule="atLeast"/>
        </w:trPr>
        <w:tc>
          <w:tcPr>
            <w:tcW w:w="761"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12</w:t>
            </w:r>
          </w:p>
        </w:tc>
        <w:tc>
          <w:tcPr>
            <w:tcW w:w="2575"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导料斗</w:t>
            </w:r>
          </w:p>
        </w:tc>
        <w:tc>
          <w:tcPr>
            <w:tcW w:w="369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Q=14m3/h，h=200m，N=15kW</w:t>
            </w:r>
          </w:p>
        </w:tc>
        <w:tc>
          <w:tcPr>
            <w:tcW w:w="75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台</w:t>
            </w:r>
          </w:p>
        </w:tc>
        <w:tc>
          <w:tcPr>
            <w:tcW w:w="130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3</w:t>
            </w:r>
          </w:p>
        </w:tc>
      </w:tr>
      <w:tr>
        <w:tblPrEx>
          <w:tblLayout w:type="fixed"/>
          <w:tblCellMar>
            <w:top w:w="0" w:type="dxa"/>
            <w:left w:w="0" w:type="dxa"/>
            <w:bottom w:w="0" w:type="dxa"/>
            <w:right w:w="0" w:type="dxa"/>
          </w:tblCellMar>
        </w:tblPrEx>
        <w:trPr>
          <w:trHeight w:val="624" w:hRule="atLeast"/>
        </w:trPr>
        <w:tc>
          <w:tcPr>
            <w:tcW w:w="761"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13</w:t>
            </w:r>
          </w:p>
        </w:tc>
        <w:tc>
          <w:tcPr>
            <w:tcW w:w="2575"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1#皮带输送机</w:t>
            </w:r>
          </w:p>
        </w:tc>
        <w:tc>
          <w:tcPr>
            <w:tcW w:w="369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风量Q=20000m3/h，转速1021r/min，风压P=1100Pa，N=11kW</w:t>
            </w:r>
          </w:p>
        </w:tc>
        <w:tc>
          <w:tcPr>
            <w:tcW w:w="75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台</w:t>
            </w:r>
          </w:p>
        </w:tc>
        <w:tc>
          <w:tcPr>
            <w:tcW w:w="130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1</w:t>
            </w:r>
          </w:p>
        </w:tc>
      </w:tr>
      <w:tr>
        <w:tblPrEx>
          <w:tblLayout w:type="fixed"/>
          <w:tblCellMar>
            <w:top w:w="0" w:type="dxa"/>
            <w:left w:w="0" w:type="dxa"/>
            <w:bottom w:w="0" w:type="dxa"/>
            <w:right w:w="0" w:type="dxa"/>
          </w:tblCellMar>
        </w:tblPrEx>
        <w:trPr>
          <w:trHeight w:val="363" w:hRule="atLeast"/>
        </w:trPr>
        <w:tc>
          <w:tcPr>
            <w:tcW w:w="761"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14</w:t>
            </w:r>
          </w:p>
        </w:tc>
        <w:tc>
          <w:tcPr>
            <w:tcW w:w="2575"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2#皮带输送机</w:t>
            </w:r>
          </w:p>
        </w:tc>
        <w:tc>
          <w:tcPr>
            <w:tcW w:w="369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处理风量Q=20000m3/h，N=4.5kW，带排气筒，高度15m</w:t>
            </w:r>
          </w:p>
        </w:tc>
        <w:tc>
          <w:tcPr>
            <w:tcW w:w="75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套</w:t>
            </w:r>
          </w:p>
        </w:tc>
        <w:tc>
          <w:tcPr>
            <w:tcW w:w="130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1</w:t>
            </w:r>
          </w:p>
        </w:tc>
      </w:tr>
      <w:tr>
        <w:tblPrEx>
          <w:tblLayout w:type="fixed"/>
          <w:tblCellMar>
            <w:top w:w="0" w:type="dxa"/>
            <w:left w:w="0" w:type="dxa"/>
            <w:bottom w:w="0" w:type="dxa"/>
            <w:right w:w="0" w:type="dxa"/>
          </w:tblCellMar>
        </w:tblPrEx>
        <w:trPr>
          <w:trHeight w:val="363" w:hRule="atLeast"/>
        </w:trPr>
        <w:tc>
          <w:tcPr>
            <w:tcW w:w="761"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15</w:t>
            </w:r>
          </w:p>
        </w:tc>
        <w:tc>
          <w:tcPr>
            <w:tcW w:w="2575"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轴流风机</w:t>
            </w:r>
          </w:p>
        </w:tc>
        <w:tc>
          <w:tcPr>
            <w:tcW w:w="369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流量4.8m3/min，压力0.8MPa，功率30kW</w:t>
            </w:r>
          </w:p>
        </w:tc>
        <w:tc>
          <w:tcPr>
            <w:tcW w:w="75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台</w:t>
            </w:r>
          </w:p>
        </w:tc>
        <w:tc>
          <w:tcPr>
            <w:tcW w:w="130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1</w:t>
            </w:r>
          </w:p>
        </w:tc>
      </w:tr>
      <w:tr>
        <w:tblPrEx>
          <w:tblLayout w:type="fixed"/>
          <w:tblCellMar>
            <w:top w:w="0" w:type="dxa"/>
            <w:left w:w="0" w:type="dxa"/>
            <w:bottom w:w="0" w:type="dxa"/>
            <w:right w:w="0" w:type="dxa"/>
          </w:tblCellMar>
        </w:tblPrEx>
        <w:trPr>
          <w:trHeight w:val="363" w:hRule="atLeast"/>
        </w:trPr>
        <w:tc>
          <w:tcPr>
            <w:tcW w:w="9080" w:type="dxa"/>
            <w:gridSpan w:val="8"/>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b/>
                <w:bCs/>
                <w:sz w:val="21"/>
                <w:szCs w:val="21"/>
                <w:highlight w:val="none"/>
              </w:rPr>
              <w:t>脱水单元（备用）</w:t>
            </w:r>
          </w:p>
        </w:tc>
      </w:tr>
      <w:tr>
        <w:tblPrEx>
          <w:tblLayout w:type="fixed"/>
          <w:tblCellMar>
            <w:top w:w="0" w:type="dxa"/>
            <w:left w:w="0" w:type="dxa"/>
            <w:bottom w:w="0" w:type="dxa"/>
            <w:right w:w="0" w:type="dxa"/>
          </w:tblCellMar>
        </w:tblPrEx>
        <w:trPr>
          <w:trHeight w:val="363" w:hRule="atLeast"/>
        </w:trPr>
        <w:tc>
          <w:tcPr>
            <w:tcW w:w="738"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1</w:t>
            </w:r>
          </w:p>
        </w:tc>
        <w:tc>
          <w:tcPr>
            <w:tcW w:w="250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反冲洗水槽</w:t>
            </w:r>
          </w:p>
        </w:tc>
        <w:tc>
          <w:tcPr>
            <w:tcW w:w="358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∅2300×2400</w:t>
            </w:r>
          </w:p>
        </w:tc>
        <w:tc>
          <w:tcPr>
            <w:tcW w:w="96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个</w:t>
            </w:r>
          </w:p>
        </w:tc>
        <w:tc>
          <w:tcPr>
            <w:tcW w:w="130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1</w:t>
            </w:r>
          </w:p>
        </w:tc>
      </w:tr>
      <w:tr>
        <w:tblPrEx>
          <w:tblLayout w:type="fixed"/>
          <w:tblCellMar>
            <w:top w:w="0" w:type="dxa"/>
            <w:left w:w="0" w:type="dxa"/>
            <w:bottom w:w="0" w:type="dxa"/>
            <w:right w:w="0" w:type="dxa"/>
          </w:tblCellMar>
        </w:tblPrEx>
        <w:trPr>
          <w:trHeight w:val="363" w:hRule="atLeast"/>
        </w:trPr>
        <w:tc>
          <w:tcPr>
            <w:tcW w:w="738"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2</w:t>
            </w:r>
          </w:p>
        </w:tc>
        <w:tc>
          <w:tcPr>
            <w:tcW w:w="250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配药槽（脱水机房）</w:t>
            </w:r>
          </w:p>
        </w:tc>
        <w:tc>
          <w:tcPr>
            <w:tcW w:w="358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∅2200×2400</w:t>
            </w:r>
          </w:p>
        </w:tc>
        <w:tc>
          <w:tcPr>
            <w:tcW w:w="96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台</w:t>
            </w:r>
          </w:p>
        </w:tc>
        <w:tc>
          <w:tcPr>
            <w:tcW w:w="130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2</w:t>
            </w:r>
          </w:p>
        </w:tc>
      </w:tr>
      <w:tr>
        <w:tblPrEx>
          <w:tblLayout w:type="fixed"/>
          <w:tblCellMar>
            <w:top w:w="0" w:type="dxa"/>
            <w:left w:w="0" w:type="dxa"/>
            <w:bottom w:w="0" w:type="dxa"/>
            <w:right w:w="0" w:type="dxa"/>
          </w:tblCellMar>
        </w:tblPrEx>
        <w:trPr>
          <w:trHeight w:val="363" w:hRule="atLeast"/>
        </w:trPr>
        <w:tc>
          <w:tcPr>
            <w:tcW w:w="738"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3</w:t>
            </w:r>
          </w:p>
        </w:tc>
        <w:tc>
          <w:tcPr>
            <w:tcW w:w="250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投药槽（脱水机房）</w:t>
            </w:r>
          </w:p>
        </w:tc>
        <w:tc>
          <w:tcPr>
            <w:tcW w:w="358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∅2330×2750</w:t>
            </w:r>
          </w:p>
        </w:tc>
        <w:tc>
          <w:tcPr>
            <w:tcW w:w="96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台</w:t>
            </w:r>
          </w:p>
        </w:tc>
        <w:tc>
          <w:tcPr>
            <w:tcW w:w="130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2</w:t>
            </w:r>
          </w:p>
        </w:tc>
      </w:tr>
      <w:tr>
        <w:tblPrEx>
          <w:tblLayout w:type="fixed"/>
          <w:tblCellMar>
            <w:top w:w="0" w:type="dxa"/>
            <w:left w:w="0" w:type="dxa"/>
            <w:bottom w:w="0" w:type="dxa"/>
            <w:right w:w="0" w:type="dxa"/>
          </w:tblCellMar>
        </w:tblPrEx>
        <w:trPr>
          <w:trHeight w:val="363" w:hRule="atLeast"/>
        </w:trPr>
        <w:tc>
          <w:tcPr>
            <w:tcW w:w="738"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4</w:t>
            </w:r>
          </w:p>
        </w:tc>
        <w:tc>
          <w:tcPr>
            <w:tcW w:w="250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潜污泵（消化污泥贮池）</w:t>
            </w:r>
          </w:p>
        </w:tc>
        <w:tc>
          <w:tcPr>
            <w:tcW w:w="358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95m3/h-12m－5.5kw</w:t>
            </w:r>
          </w:p>
        </w:tc>
        <w:tc>
          <w:tcPr>
            <w:tcW w:w="96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台</w:t>
            </w:r>
          </w:p>
        </w:tc>
        <w:tc>
          <w:tcPr>
            <w:tcW w:w="130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2</w:t>
            </w:r>
          </w:p>
        </w:tc>
      </w:tr>
      <w:tr>
        <w:tblPrEx>
          <w:tblLayout w:type="fixed"/>
          <w:tblCellMar>
            <w:top w:w="0" w:type="dxa"/>
            <w:left w:w="0" w:type="dxa"/>
            <w:bottom w:w="0" w:type="dxa"/>
            <w:right w:w="0" w:type="dxa"/>
          </w:tblCellMar>
        </w:tblPrEx>
        <w:trPr>
          <w:trHeight w:val="363" w:hRule="atLeast"/>
        </w:trPr>
        <w:tc>
          <w:tcPr>
            <w:tcW w:w="738"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5</w:t>
            </w:r>
          </w:p>
        </w:tc>
        <w:tc>
          <w:tcPr>
            <w:tcW w:w="250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螺杆泵（脱水机污泥进料）</w:t>
            </w:r>
          </w:p>
        </w:tc>
        <w:tc>
          <w:tcPr>
            <w:tcW w:w="358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30m3/h</w:t>
            </w:r>
          </w:p>
        </w:tc>
        <w:tc>
          <w:tcPr>
            <w:tcW w:w="96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台</w:t>
            </w:r>
          </w:p>
        </w:tc>
        <w:tc>
          <w:tcPr>
            <w:tcW w:w="130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2</w:t>
            </w:r>
          </w:p>
        </w:tc>
      </w:tr>
      <w:tr>
        <w:tblPrEx>
          <w:tblLayout w:type="fixed"/>
          <w:tblCellMar>
            <w:top w:w="0" w:type="dxa"/>
            <w:left w:w="0" w:type="dxa"/>
            <w:bottom w:w="0" w:type="dxa"/>
            <w:right w:w="0" w:type="dxa"/>
          </w:tblCellMar>
        </w:tblPrEx>
        <w:trPr>
          <w:trHeight w:val="363" w:hRule="atLeast"/>
        </w:trPr>
        <w:tc>
          <w:tcPr>
            <w:tcW w:w="738"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6</w:t>
            </w:r>
          </w:p>
        </w:tc>
        <w:tc>
          <w:tcPr>
            <w:tcW w:w="250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螺杆泵备件转子、定子、橡胶骨架防护套、填料（脱水机污泥进料）</w:t>
            </w:r>
          </w:p>
        </w:tc>
        <w:tc>
          <w:tcPr>
            <w:tcW w:w="358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p>
        </w:tc>
        <w:tc>
          <w:tcPr>
            <w:tcW w:w="96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台</w:t>
            </w:r>
          </w:p>
        </w:tc>
        <w:tc>
          <w:tcPr>
            <w:tcW w:w="130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1</w:t>
            </w:r>
          </w:p>
        </w:tc>
      </w:tr>
      <w:tr>
        <w:tblPrEx>
          <w:tblLayout w:type="fixed"/>
          <w:tblCellMar>
            <w:top w:w="0" w:type="dxa"/>
            <w:left w:w="0" w:type="dxa"/>
            <w:bottom w:w="0" w:type="dxa"/>
            <w:right w:w="0" w:type="dxa"/>
          </w:tblCellMar>
        </w:tblPrEx>
        <w:trPr>
          <w:trHeight w:val="363" w:hRule="atLeast"/>
        </w:trPr>
        <w:tc>
          <w:tcPr>
            <w:tcW w:w="738"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7</w:t>
            </w:r>
          </w:p>
        </w:tc>
        <w:tc>
          <w:tcPr>
            <w:tcW w:w="250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螺杆泵（脱水加药）</w:t>
            </w:r>
          </w:p>
        </w:tc>
        <w:tc>
          <w:tcPr>
            <w:tcW w:w="358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20m3/h</w:t>
            </w:r>
          </w:p>
        </w:tc>
        <w:tc>
          <w:tcPr>
            <w:tcW w:w="96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台</w:t>
            </w:r>
          </w:p>
        </w:tc>
        <w:tc>
          <w:tcPr>
            <w:tcW w:w="130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2</w:t>
            </w:r>
          </w:p>
        </w:tc>
      </w:tr>
      <w:tr>
        <w:tblPrEx>
          <w:tblLayout w:type="fixed"/>
          <w:tblCellMar>
            <w:top w:w="0" w:type="dxa"/>
            <w:left w:w="0" w:type="dxa"/>
            <w:bottom w:w="0" w:type="dxa"/>
            <w:right w:w="0" w:type="dxa"/>
          </w:tblCellMar>
        </w:tblPrEx>
        <w:trPr>
          <w:trHeight w:val="363" w:hRule="atLeast"/>
        </w:trPr>
        <w:tc>
          <w:tcPr>
            <w:tcW w:w="738"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8</w:t>
            </w:r>
          </w:p>
        </w:tc>
        <w:tc>
          <w:tcPr>
            <w:tcW w:w="250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螺杆泵备件转子、定子、橡胶骨架防护套、填料（脱水加药）</w:t>
            </w:r>
          </w:p>
        </w:tc>
        <w:tc>
          <w:tcPr>
            <w:tcW w:w="358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p>
        </w:tc>
        <w:tc>
          <w:tcPr>
            <w:tcW w:w="96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套</w:t>
            </w:r>
          </w:p>
        </w:tc>
        <w:tc>
          <w:tcPr>
            <w:tcW w:w="130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1</w:t>
            </w:r>
          </w:p>
        </w:tc>
      </w:tr>
      <w:tr>
        <w:tblPrEx>
          <w:tblLayout w:type="fixed"/>
          <w:tblCellMar>
            <w:top w:w="0" w:type="dxa"/>
            <w:left w:w="0" w:type="dxa"/>
            <w:bottom w:w="0" w:type="dxa"/>
            <w:right w:w="0" w:type="dxa"/>
          </w:tblCellMar>
        </w:tblPrEx>
        <w:trPr>
          <w:trHeight w:val="363" w:hRule="atLeast"/>
        </w:trPr>
        <w:tc>
          <w:tcPr>
            <w:tcW w:w="738"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9</w:t>
            </w:r>
          </w:p>
        </w:tc>
        <w:tc>
          <w:tcPr>
            <w:tcW w:w="250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干井无堵塞泵</w:t>
            </w:r>
          </w:p>
          <w:p>
            <w:pPr>
              <w:spacing w:line="240" w:lineRule="auto"/>
              <w:jc w:val="center"/>
              <w:rPr>
                <w:rFonts w:hint="eastAsia" w:eastAsiaTheme="minorEastAsia"/>
                <w:sz w:val="21"/>
                <w:szCs w:val="21"/>
                <w:highlight w:val="none"/>
              </w:rPr>
            </w:pPr>
            <w:r>
              <w:rPr>
                <w:rFonts w:hint="eastAsia" w:eastAsiaTheme="minorEastAsia"/>
                <w:sz w:val="21"/>
                <w:szCs w:val="21"/>
                <w:highlight w:val="none"/>
              </w:rPr>
              <w:t>（沉淀池）</w:t>
            </w:r>
          </w:p>
        </w:tc>
        <w:tc>
          <w:tcPr>
            <w:tcW w:w="358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40m3/h，2.2kw</w:t>
            </w:r>
          </w:p>
        </w:tc>
        <w:tc>
          <w:tcPr>
            <w:tcW w:w="96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台</w:t>
            </w:r>
          </w:p>
        </w:tc>
        <w:tc>
          <w:tcPr>
            <w:tcW w:w="130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2</w:t>
            </w:r>
          </w:p>
        </w:tc>
      </w:tr>
      <w:tr>
        <w:tblPrEx>
          <w:tblLayout w:type="fixed"/>
          <w:tblCellMar>
            <w:top w:w="0" w:type="dxa"/>
            <w:left w:w="0" w:type="dxa"/>
            <w:bottom w:w="0" w:type="dxa"/>
            <w:right w:w="0" w:type="dxa"/>
          </w:tblCellMar>
        </w:tblPrEx>
        <w:trPr>
          <w:trHeight w:val="363" w:hRule="atLeast"/>
        </w:trPr>
        <w:tc>
          <w:tcPr>
            <w:tcW w:w="738"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10</w:t>
            </w:r>
          </w:p>
        </w:tc>
        <w:tc>
          <w:tcPr>
            <w:tcW w:w="250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脱水机反冲洗水泵</w:t>
            </w:r>
          </w:p>
        </w:tc>
        <w:tc>
          <w:tcPr>
            <w:tcW w:w="358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11.7m3/h，3.7kw</w:t>
            </w:r>
          </w:p>
        </w:tc>
        <w:tc>
          <w:tcPr>
            <w:tcW w:w="96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台</w:t>
            </w:r>
          </w:p>
        </w:tc>
        <w:tc>
          <w:tcPr>
            <w:tcW w:w="130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2</w:t>
            </w:r>
          </w:p>
        </w:tc>
      </w:tr>
      <w:tr>
        <w:tblPrEx>
          <w:tblLayout w:type="fixed"/>
          <w:tblCellMar>
            <w:top w:w="0" w:type="dxa"/>
            <w:left w:w="0" w:type="dxa"/>
            <w:bottom w:w="0" w:type="dxa"/>
            <w:right w:w="0" w:type="dxa"/>
          </w:tblCellMar>
        </w:tblPrEx>
        <w:trPr>
          <w:trHeight w:val="363" w:hRule="atLeast"/>
        </w:trPr>
        <w:tc>
          <w:tcPr>
            <w:tcW w:w="738"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11</w:t>
            </w:r>
          </w:p>
        </w:tc>
        <w:tc>
          <w:tcPr>
            <w:tcW w:w="250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搅拌机</w:t>
            </w:r>
          </w:p>
          <w:p>
            <w:pPr>
              <w:spacing w:line="240" w:lineRule="auto"/>
              <w:jc w:val="center"/>
              <w:rPr>
                <w:rFonts w:hint="eastAsia" w:eastAsiaTheme="minorEastAsia"/>
                <w:sz w:val="21"/>
                <w:szCs w:val="21"/>
                <w:highlight w:val="none"/>
              </w:rPr>
            </w:pPr>
            <w:r>
              <w:rPr>
                <w:rFonts w:hint="eastAsia" w:eastAsiaTheme="minorEastAsia"/>
                <w:sz w:val="21"/>
                <w:szCs w:val="21"/>
                <w:highlight w:val="none"/>
              </w:rPr>
              <w:t>（消化污泥贮池）</w:t>
            </w:r>
          </w:p>
        </w:tc>
        <w:tc>
          <w:tcPr>
            <w:tcW w:w="358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136rpm-7.5kw</w:t>
            </w:r>
          </w:p>
        </w:tc>
        <w:tc>
          <w:tcPr>
            <w:tcW w:w="96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台</w:t>
            </w:r>
          </w:p>
        </w:tc>
        <w:tc>
          <w:tcPr>
            <w:tcW w:w="130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4</w:t>
            </w:r>
          </w:p>
        </w:tc>
      </w:tr>
      <w:tr>
        <w:tblPrEx>
          <w:tblLayout w:type="fixed"/>
          <w:tblCellMar>
            <w:top w:w="0" w:type="dxa"/>
            <w:left w:w="0" w:type="dxa"/>
            <w:bottom w:w="0" w:type="dxa"/>
            <w:right w:w="0" w:type="dxa"/>
          </w:tblCellMar>
        </w:tblPrEx>
        <w:trPr>
          <w:trHeight w:val="363" w:hRule="atLeast"/>
        </w:trPr>
        <w:tc>
          <w:tcPr>
            <w:tcW w:w="738"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12</w:t>
            </w:r>
          </w:p>
        </w:tc>
        <w:tc>
          <w:tcPr>
            <w:tcW w:w="250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搅拌机（污泥调配池）</w:t>
            </w:r>
          </w:p>
        </w:tc>
        <w:tc>
          <w:tcPr>
            <w:tcW w:w="358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136rpm-7.5kw</w:t>
            </w:r>
          </w:p>
        </w:tc>
        <w:tc>
          <w:tcPr>
            <w:tcW w:w="96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台</w:t>
            </w:r>
          </w:p>
        </w:tc>
        <w:tc>
          <w:tcPr>
            <w:tcW w:w="130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2</w:t>
            </w:r>
          </w:p>
        </w:tc>
      </w:tr>
      <w:tr>
        <w:tblPrEx>
          <w:tblLayout w:type="fixed"/>
          <w:tblCellMar>
            <w:top w:w="0" w:type="dxa"/>
            <w:left w:w="0" w:type="dxa"/>
            <w:bottom w:w="0" w:type="dxa"/>
            <w:right w:w="0" w:type="dxa"/>
          </w:tblCellMar>
        </w:tblPrEx>
        <w:trPr>
          <w:trHeight w:val="363" w:hRule="atLeast"/>
        </w:trPr>
        <w:tc>
          <w:tcPr>
            <w:tcW w:w="738"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13</w:t>
            </w:r>
          </w:p>
        </w:tc>
        <w:tc>
          <w:tcPr>
            <w:tcW w:w="250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搅拌机（PAM配药槽）</w:t>
            </w:r>
          </w:p>
        </w:tc>
        <w:tc>
          <w:tcPr>
            <w:tcW w:w="358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88rpm－1.5kw</w:t>
            </w:r>
          </w:p>
        </w:tc>
        <w:tc>
          <w:tcPr>
            <w:tcW w:w="96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台</w:t>
            </w:r>
          </w:p>
        </w:tc>
        <w:tc>
          <w:tcPr>
            <w:tcW w:w="130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2</w:t>
            </w:r>
          </w:p>
        </w:tc>
      </w:tr>
      <w:tr>
        <w:tblPrEx>
          <w:tblLayout w:type="fixed"/>
          <w:tblCellMar>
            <w:top w:w="0" w:type="dxa"/>
            <w:left w:w="0" w:type="dxa"/>
            <w:bottom w:w="0" w:type="dxa"/>
            <w:right w:w="0" w:type="dxa"/>
          </w:tblCellMar>
        </w:tblPrEx>
        <w:trPr>
          <w:trHeight w:val="363" w:hRule="atLeast"/>
        </w:trPr>
        <w:tc>
          <w:tcPr>
            <w:tcW w:w="738"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14</w:t>
            </w:r>
          </w:p>
        </w:tc>
        <w:tc>
          <w:tcPr>
            <w:tcW w:w="250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干粉投料机</w:t>
            </w:r>
          </w:p>
          <w:p>
            <w:pPr>
              <w:spacing w:line="240" w:lineRule="auto"/>
              <w:jc w:val="center"/>
              <w:rPr>
                <w:rFonts w:hint="eastAsia" w:eastAsiaTheme="minorEastAsia"/>
                <w:sz w:val="21"/>
                <w:szCs w:val="21"/>
                <w:highlight w:val="none"/>
              </w:rPr>
            </w:pPr>
            <w:r>
              <w:rPr>
                <w:rFonts w:hint="eastAsia" w:eastAsiaTheme="minorEastAsia"/>
                <w:sz w:val="21"/>
                <w:szCs w:val="21"/>
                <w:highlight w:val="none"/>
              </w:rPr>
              <w:t>（PAM）</w:t>
            </w:r>
          </w:p>
        </w:tc>
        <w:tc>
          <w:tcPr>
            <w:tcW w:w="358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0.5～1.5kg/h，槽容量100L</w:t>
            </w:r>
          </w:p>
        </w:tc>
        <w:tc>
          <w:tcPr>
            <w:tcW w:w="96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台</w:t>
            </w:r>
          </w:p>
        </w:tc>
        <w:tc>
          <w:tcPr>
            <w:tcW w:w="130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2</w:t>
            </w:r>
          </w:p>
        </w:tc>
      </w:tr>
      <w:tr>
        <w:tblPrEx>
          <w:tblLayout w:type="fixed"/>
          <w:tblCellMar>
            <w:top w:w="0" w:type="dxa"/>
            <w:left w:w="0" w:type="dxa"/>
            <w:bottom w:w="0" w:type="dxa"/>
            <w:right w:w="0" w:type="dxa"/>
          </w:tblCellMar>
        </w:tblPrEx>
        <w:trPr>
          <w:trHeight w:val="363" w:hRule="atLeast"/>
        </w:trPr>
        <w:tc>
          <w:tcPr>
            <w:tcW w:w="738"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15</w:t>
            </w:r>
          </w:p>
        </w:tc>
        <w:tc>
          <w:tcPr>
            <w:tcW w:w="250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罗茨风机</w:t>
            </w:r>
          </w:p>
          <w:p>
            <w:pPr>
              <w:spacing w:line="240" w:lineRule="auto"/>
              <w:jc w:val="center"/>
              <w:rPr>
                <w:rFonts w:hint="eastAsia" w:eastAsiaTheme="minorEastAsia"/>
                <w:sz w:val="21"/>
                <w:szCs w:val="21"/>
                <w:highlight w:val="none"/>
              </w:rPr>
            </w:pPr>
            <w:r>
              <w:rPr>
                <w:rFonts w:hint="eastAsia" w:eastAsiaTheme="minorEastAsia"/>
                <w:sz w:val="21"/>
                <w:szCs w:val="21"/>
                <w:highlight w:val="none"/>
              </w:rPr>
              <w:t>（污泥调配池）</w:t>
            </w:r>
          </w:p>
        </w:tc>
        <w:tc>
          <w:tcPr>
            <w:tcW w:w="358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4.64m3/min，1310rpm，7.5kw，53.9KPa</w:t>
            </w:r>
          </w:p>
        </w:tc>
        <w:tc>
          <w:tcPr>
            <w:tcW w:w="96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台</w:t>
            </w:r>
          </w:p>
        </w:tc>
        <w:tc>
          <w:tcPr>
            <w:tcW w:w="130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2</w:t>
            </w:r>
          </w:p>
        </w:tc>
      </w:tr>
      <w:tr>
        <w:tblPrEx>
          <w:tblLayout w:type="fixed"/>
          <w:tblCellMar>
            <w:top w:w="0" w:type="dxa"/>
            <w:left w:w="0" w:type="dxa"/>
            <w:bottom w:w="0" w:type="dxa"/>
            <w:right w:w="0" w:type="dxa"/>
          </w:tblCellMar>
        </w:tblPrEx>
        <w:trPr>
          <w:trHeight w:val="363" w:hRule="atLeast"/>
        </w:trPr>
        <w:tc>
          <w:tcPr>
            <w:tcW w:w="738"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16</w:t>
            </w:r>
          </w:p>
        </w:tc>
        <w:tc>
          <w:tcPr>
            <w:tcW w:w="250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污泥离心脱水机</w:t>
            </w:r>
          </w:p>
        </w:tc>
        <w:tc>
          <w:tcPr>
            <w:tcW w:w="358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p>
        </w:tc>
        <w:tc>
          <w:tcPr>
            <w:tcW w:w="96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台</w:t>
            </w:r>
          </w:p>
        </w:tc>
        <w:tc>
          <w:tcPr>
            <w:tcW w:w="130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2</w:t>
            </w:r>
          </w:p>
        </w:tc>
      </w:tr>
      <w:tr>
        <w:tblPrEx>
          <w:tblLayout w:type="fixed"/>
          <w:tblCellMar>
            <w:top w:w="0" w:type="dxa"/>
            <w:left w:w="0" w:type="dxa"/>
            <w:bottom w:w="0" w:type="dxa"/>
            <w:right w:w="0" w:type="dxa"/>
          </w:tblCellMar>
        </w:tblPrEx>
        <w:trPr>
          <w:trHeight w:val="363" w:hRule="atLeast"/>
        </w:trPr>
        <w:tc>
          <w:tcPr>
            <w:tcW w:w="738"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17</w:t>
            </w:r>
          </w:p>
        </w:tc>
        <w:tc>
          <w:tcPr>
            <w:tcW w:w="250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无轴螺旋输送机</w:t>
            </w:r>
          </w:p>
        </w:tc>
        <w:tc>
          <w:tcPr>
            <w:tcW w:w="358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污泥输送量8m3/h，3kw</w:t>
            </w:r>
          </w:p>
        </w:tc>
        <w:tc>
          <w:tcPr>
            <w:tcW w:w="96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台</w:t>
            </w:r>
          </w:p>
        </w:tc>
        <w:tc>
          <w:tcPr>
            <w:tcW w:w="130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2</w:t>
            </w:r>
          </w:p>
        </w:tc>
      </w:tr>
      <w:tr>
        <w:tblPrEx>
          <w:tblLayout w:type="fixed"/>
          <w:tblCellMar>
            <w:top w:w="0" w:type="dxa"/>
            <w:left w:w="0" w:type="dxa"/>
            <w:bottom w:w="0" w:type="dxa"/>
            <w:right w:w="0" w:type="dxa"/>
          </w:tblCellMar>
        </w:tblPrEx>
        <w:trPr>
          <w:trHeight w:val="363" w:hRule="atLeast"/>
        </w:trPr>
        <w:tc>
          <w:tcPr>
            <w:tcW w:w="738"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18</w:t>
            </w:r>
          </w:p>
        </w:tc>
        <w:tc>
          <w:tcPr>
            <w:tcW w:w="250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悬挂电动单梁起重机5.0T吊梁跨度5m</w:t>
            </w:r>
          </w:p>
        </w:tc>
        <w:tc>
          <w:tcPr>
            <w:tcW w:w="358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LX5-5</w:t>
            </w:r>
          </w:p>
        </w:tc>
        <w:tc>
          <w:tcPr>
            <w:tcW w:w="96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台</w:t>
            </w:r>
          </w:p>
        </w:tc>
        <w:tc>
          <w:tcPr>
            <w:tcW w:w="130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1</w:t>
            </w:r>
          </w:p>
        </w:tc>
      </w:tr>
      <w:tr>
        <w:tblPrEx>
          <w:tblLayout w:type="fixed"/>
          <w:tblCellMar>
            <w:top w:w="0" w:type="dxa"/>
            <w:left w:w="0" w:type="dxa"/>
            <w:bottom w:w="0" w:type="dxa"/>
            <w:right w:w="0" w:type="dxa"/>
          </w:tblCellMar>
        </w:tblPrEx>
        <w:trPr>
          <w:trHeight w:val="363" w:hRule="atLeast"/>
        </w:trPr>
        <w:tc>
          <w:tcPr>
            <w:tcW w:w="738"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19</w:t>
            </w:r>
          </w:p>
        </w:tc>
        <w:tc>
          <w:tcPr>
            <w:tcW w:w="250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电磁流量计</w:t>
            </w:r>
          </w:p>
          <w:p>
            <w:pPr>
              <w:spacing w:line="240" w:lineRule="auto"/>
              <w:jc w:val="center"/>
              <w:rPr>
                <w:rFonts w:hint="eastAsia" w:eastAsiaTheme="minorEastAsia"/>
                <w:sz w:val="21"/>
                <w:szCs w:val="21"/>
                <w:highlight w:val="none"/>
              </w:rPr>
            </w:pPr>
            <w:r>
              <w:rPr>
                <w:rFonts w:hint="eastAsia" w:eastAsiaTheme="minorEastAsia"/>
                <w:sz w:val="21"/>
                <w:szCs w:val="21"/>
                <w:highlight w:val="none"/>
              </w:rPr>
              <w:t>（消化污泥贮池）</w:t>
            </w:r>
          </w:p>
          <w:p>
            <w:pPr>
              <w:spacing w:line="240" w:lineRule="auto"/>
              <w:jc w:val="center"/>
              <w:rPr>
                <w:rFonts w:hint="eastAsia" w:eastAsiaTheme="minorEastAsia"/>
                <w:sz w:val="21"/>
                <w:szCs w:val="21"/>
                <w:highlight w:val="none"/>
              </w:rPr>
            </w:pPr>
            <w:r>
              <w:rPr>
                <w:rFonts w:hint="eastAsia" w:eastAsiaTheme="minorEastAsia"/>
                <w:sz w:val="21"/>
                <w:szCs w:val="21"/>
                <w:highlight w:val="none"/>
              </w:rPr>
              <w:t>DN125</w:t>
            </w:r>
          </w:p>
        </w:tc>
        <w:tc>
          <w:tcPr>
            <w:tcW w:w="358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50L1Z-UC0A1AC2AAAA</w:t>
            </w:r>
          </w:p>
        </w:tc>
        <w:tc>
          <w:tcPr>
            <w:tcW w:w="96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台</w:t>
            </w:r>
          </w:p>
        </w:tc>
        <w:tc>
          <w:tcPr>
            <w:tcW w:w="130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2</w:t>
            </w:r>
          </w:p>
        </w:tc>
      </w:tr>
      <w:tr>
        <w:tblPrEx>
          <w:tblLayout w:type="fixed"/>
          <w:tblCellMar>
            <w:top w:w="0" w:type="dxa"/>
            <w:left w:w="0" w:type="dxa"/>
            <w:bottom w:w="0" w:type="dxa"/>
            <w:right w:w="0" w:type="dxa"/>
          </w:tblCellMar>
        </w:tblPrEx>
        <w:trPr>
          <w:trHeight w:val="363" w:hRule="atLeast"/>
        </w:trPr>
        <w:tc>
          <w:tcPr>
            <w:tcW w:w="738"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20</w:t>
            </w:r>
          </w:p>
        </w:tc>
        <w:tc>
          <w:tcPr>
            <w:tcW w:w="250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转子流量计</w:t>
            </w:r>
          </w:p>
        </w:tc>
        <w:tc>
          <w:tcPr>
            <w:tcW w:w="358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p>
        </w:tc>
        <w:tc>
          <w:tcPr>
            <w:tcW w:w="96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台</w:t>
            </w:r>
          </w:p>
        </w:tc>
        <w:tc>
          <w:tcPr>
            <w:tcW w:w="130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2</w:t>
            </w:r>
          </w:p>
        </w:tc>
      </w:tr>
      <w:tr>
        <w:tblPrEx>
          <w:tblLayout w:type="fixed"/>
          <w:tblCellMar>
            <w:top w:w="0" w:type="dxa"/>
            <w:left w:w="0" w:type="dxa"/>
            <w:bottom w:w="0" w:type="dxa"/>
            <w:right w:w="0" w:type="dxa"/>
          </w:tblCellMar>
        </w:tblPrEx>
        <w:trPr>
          <w:trHeight w:val="363" w:hRule="atLeast"/>
        </w:trPr>
        <w:tc>
          <w:tcPr>
            <w:tcW w:w="738"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21</w:t>
            </w:r>
          </w:p>
        </w:tc>
        <w:tc>
          <w:tcPr>
            <w:tcW w:w="250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超声波液位计</w:t>
            </w:r>
          </w:p>
        </w:tc>
        <w:tc>
          <w:tcPr>
            <w:tcW w:w="358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FMU90-R11CA111AA3A</w:t>
            </w:r>
          </w:p>
        </w:tc>
        <w:tc>
          <w:tcPr>
            <w:tcW w:w="96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台</w:t>
            </w:r>
          </w:p>
        </w:tc>
        <w:tc>
          <w:tcPr>
            <w:tcW w:w="130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2</w:t>
            </w:r>
          </w:p>
        </w:tc>
      </w:tr>
      <w:tr>
        <w:tblPrEx>
          <w:tblLayout w:type="fixed"/>
          <w:tblCellMar>
            <w:top w:w="0" w:type="dxa"/>
            <w:left w:w="0" w:type="dxa"/>
            <w:bottom w:w="0" w:type="dxa"/>
            <w:right w:w="0" w:type="dxa"/>
          </w:tblCellMar>
        </w:tblPrEx>
        <w:trPr>
          <w:trHeight w:val="363" w:hRule="atLeast"/>
        </w:trPr>
        <w:tc>
          <w:tcPr>
            <w:tcW w:w="738"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22</w:t>
            </w:r>
          </w:p>
        </w:tc>
        <w:tc>
          <w:tcPr>
            <w:tcW w:w="250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浮球液位计</w:t>
            </w:r>
          </w:p>
          <w:p>
            <w:pPr>
              <w:spacing w:line="240" w:lineRule="auto"/>
              <w:jc w:val="center"/>
              <w:rPr>
                <w:rFonts w:hint="eastAsia" w:eastAsiaTheme="minorEastAsia"/>
                <w:sz w:val="21"/>
                <w:szCs w:val="21"/>
                <w:highlight w:val="none"/>
              </w:rPr>
            </w:pPr>
            <w:r>
              <w:rPr>
                <w:rFonts w:hint="eastAsia" w:eastAsiaTheme="minorEastAsia"/>
                <w:sz w:val="21"/>
                <w:szCs w:val="21"/>
                <w:highlight w:val="none"/>
              </w:rPr>
              <w:t>（沼液缓冲池）</w:t>
            </w:r>
          </w:p>
        </w:tc>
        <w:tc>
          <w:tcPr>
            <w:tcW w:w="358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2球，测量深度5.0m</w:t>
            </w:r>
          </w:p>
        </w:tc>
        <w:tc>
          <w:tcPr>
            <w:tcW w:w="96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台</w:t>
            </w:r>
          </w:p>
        </w:tc>
        <w:tc>
          <w:tcPr>
            <w:tcW w:w="130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1</w:t>
            </w:r>
          </w:p>
        </w:tc>
      </w:tr>
      <w:tr>
        <w:tblPrEx>
          <w:tblLayout w:type="fixed"/>
          <w:tblCellMar>
            <w:top w:w="0" w:type="dxa"/>
            <w:left w:w="0" w:type="dxa"/>
            <w:bottom w:w="0" w:type="dxa"/>
            <w:right w:w="0" w:type="dxa"/>
          </w:tblCellMar>
        </w:tblPrEx>
        <w:trPr>
          <w:trHeight w:val="363" w:hRule="atLeast"/>
        </w:trPr>
        <w:tc>
          <w:tcPr>
            <w:tcW w:w="738"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23</w:t>
            </w:r>
          </w:p>
        </w:tc>
        <w:tc>
          <w:tcPr>
            <w:tcW w:w="250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浮球液位计</w:t>
            </w:r>
          </w:p>
          <w:p>
            <w:pPr>
              <w:spacing w:line="240" w:lineRule="auto"/>
              <w:jc w:val="center"/>
              <w:rPr>
                <w:rFonts w:hint="eastAsia" w:eastAsiaTheme="minorEastAsia"/>
                <w:sz w:val="21"/>
                <w:szCs w:val="21"/>
                <w:highlight w:val="none"/>
              </w:rPr>
            </w:pPr>
            <w:r>
              <w:rPr>
                <w:rFonts w:hint="eastAsia" w:eastAsiaTheme="minorEastAsia"/>
                <w:sz w:val="21"/>
                <w:szCs w:val="21"/>
                <w:highlight w:val="none"/>
              </w:rPr>
              <w:t>（反冲洗水槽）</w:t>
            </w:r>
          </w:p>
        </w:tc>
        <w:tc>
          <w:tcPr>
            <w:tcW w:w="358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3球，测量深度2.2m</w:t>
            </w:r>
          </w:p>
        </w:tc>
        <w:tc>
          <w:tcPr>
            <w:tcW w:w="96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台</w:t>
            </w:r>
          </w:p>
        </w:tc>
        <w:tc>
          <w:tcPr>
            <w:tcW w:w="130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1</w:t>
            </w:r>
          </w:p>
        </w:tc>
      </w:tr>
      <w:tr>
        <w:tblPrEx>
          <w:tblLayout w:type="fixed"/>
          <w:tblCellMar>
            <w:top w:w="0" w:type="dxa"/>
            <w:left w:w="0" w:type="dxa"/>
            <w:bottom w:w="0" w:type="dxa"/>
            <w:right w:w="0" w:type="dxa"/>
          </w:tblCellMar>
        </w:tblPrEx>
        <w:trPr>
          <w:trHeight w:val="363" w:hRule="atLeast"/>
        </w:trPr>
        <w:tc>
          <w:tcPr>
            <w:tcW w:w="738"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24</w:t>
            </w:r>
          </w:p>
        </w:tc>
        <w:tc>
          <w:tcPr>
            <w:tcW w:w="250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普通压力表</w:t>
            </w:r>
          </w:p>
        </w:tc>
        <w:tc>
          <w:tcPr>
            <w:tcW w:w="358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进料螺杆泵0～1.0MPa</w:t>
            </w:r>
          </w:p>
        </w:tc>
        <w:tc>
          <w:tcPr>
            <w:tcW w:w="96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台</w:t>
            </w:r>
          </w:p>
        </w:tc>
        <w:tc>
          <w:tcPr>
            <w:tcW w:w="130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2</w:t>
            </w:r>
          </w:p>
        </w:tc>
      </w:tr>
      <w:tr>
        <w:tblPrEx>
          <w:tblLayout w:type="fixed"/>
          <w:tblCellMar>
            <w:top w:w="0" w:type="dxa"/>
            <w:left w:w="0" w:type="dxa"/>
            <w:bottom w:w="0" w:type="dxa"/>
            <w:right w:w="0" w:type="dxa"/>
          </w:tblCellMar>
        </w:tblPrEx>
        <w:trPr>
          <w:trHeight w:val="363" w:hRule="atLeast"/>
        </w:trPr>
        <w:tc>
          <w:tcPr>
            <w:tcW w:w="738"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25</w:t>
            </w:r>
          </w:p>
        </w:tc>
        <w:tc>
          <w:tcPr>
            <w:tcW w:w="250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普通压力表</w:t>
            </w:r>
          </w:p>
        </w:tc>
        <w:tc>
          <w:tcPr>
            <w:tcW w:w="358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加药螺杆泵0～0.6MPa</w:t>
            </w:r>
          </w:p>
        </w:tc>
        <w:tc>
          <w:tcPr>
            <w:tcW w:w="96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台</w:t>
            </w:r>
          </w:p>
        </w:tc>
        <w:tc>
          <w:tcPr>
            <w:tcW w:w="130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2</w:t>
            </w:r>
          </w:p>
        </w:tc>
      </w:tr>
      <w:tr>
        <w:tblPrEx>
          <w:tblLayout w:type="fixed"/>
          <w:tblCellMar>
            <w:top w:w="0" w:type="dxa"/>
            <w:left w:w="0" w:type="dxa"/>
            <w:bottom w:w="0" w:type="dxa"/>
            <w:right w:w="0" w:type="dxa"/>
          </w:tblCellMar>
        </w:tblPrEx>
        <w:trPr>
          <w:trHeight w:val="363" w:hRule="atLeast"/>
        </w:trPr>
        <w:tc>
          <w:tcPr>
            <w:tcW w:w="738"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26</w:t>
            </w:r>
          </w:p>
        </w:tc>
        <w:tc>
          <w:tcPr>
            <w:tcW w:w="250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普通压力表</w:t>
            </w:r>
          </w:p>
        </w:tc>
        <w:tc>
          <w:tcPr>
            <w:tcW w:w="358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0～0.4MPa</w:t>
            </w:r>
          </w:p>
        </w:tc>
        <w:tc>
          <w:tcPr>
            <w:tcW w:w="96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台</w:t>
            </w:r>
          </w:p>
        </w:tc>
        <w:tc>
          <w:tcPr>
            <w:tcW w:w="130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4</w:t>
            </w:r>
          </w:p>
        </w:tc>
      </w:tr>
      <w:tr>
        <w:tblPrEx>
          <w:tblLayout w:type="fixed"/>
          <w:tblCellMar>
            <w:top w:w="0" w:type="dxa"/>
            <w:left w:w="0" w:type="dxa"/>
            <w:bottom w:w="0" w:type="dxa"/>
            <w:right w:w="0" w:type="dxa"/>
          </w:tblCellMar>
        </w:tblPrEx>
        <w:trPr>
          <w:trHeight w:val="363" w:hRule="atLeast"/>
        </w:trPr>
        <w:tc>
          <w:tcPr>
            <w:tcW w:w="738"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27</w:t>
            </w:r>
          </w:p>
        </w:tc>
        <w:tc>
          <w:tcPr>
            <w:tcW w:w="250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普通压力表</w:t>
            </w:r>
          </w:p>
        </w:tc>
        <w:tc>
          <w:tcPr>
            <w:tcW w:w="358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0～0.16MPa</w:t>
            </w:r>
          </w:p>
        </w:tc>
        <w:tc>
          <w:tcPr>
            <w:tcW w:w="96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台</w:t>
            </w:r>
          </w:p>
        </w:tc>
        <w:tc>
          <w:tcPr>
            <w:tcW w:w="130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2</w:t>
            </w:r>
          </w:p>
        </w:tc>
      </w:tr>
      <w:tr>
        <w:tblPrEx>
          <w:tblLayout w:type="fixed"/>
          <w:tblCellMar>
            <w:top w:w="0" w:type="dxa"/>
            <w:left w:w="0" w:type="dxa"/>
            <w:bottom w:w="0" w:type="dxa"/>
            <w:right w:w="0" w:type="dxa"/>
          </w:tblCellMar>
        </w:tblPrEx>
        <w:trPr>
          <w:trHeight w:val="363" w:hRule="atLeast"/>
        </w:trPr>
        <w:tc>
          <w:tcPr>
            <w:tcW w:w="738"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28</w:t>
            </w:r>
          </w:p>
        </w:tc>
        <w:tc>
          <w:tcPr>
            <w:tcW w:w="250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远传压力表</w:t>
            </w:r>
          </w:p>
        </w:tc>
        <w:tc>
          <w:tcPr>
            <w:tcW w:w="358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反冲洗水泵0～1.6MPa</w:t>
            </w:r>
          </w:p>
        </w:tc>
        <w:tc>
          <w:tcPr>
            <w:tcW w:w="96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台</w:t>
            </w:r>
          </w:p>
        </w:tc>
        <w:tc>
          <w:tcPr>
            <w:tcW w:w="130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1</w:t>
            </w:r>
          </w:p>
        </w:tc>
      </w:tr>
      <w:tr>
        <w:tblPrEx>
          <w:tblLayout w:type="fixed"/>
          <w:tblCellMar>
            <w:top w:w="0" w:type="dxa"/>
            <w:left w:w="0" w:type="dxa"/>
            <w:bottom w:w="0" w:type="dxa"/>
            <w:right w:w="0" w:type="dxa"/>
          </w:tblCellMar>
        </w:tblPrEx>
        <w:trPr>
          <w:trHeight w:val="363" w:hRule="atLeast"/>
        </w:trPr>
        <w:tc>
          <w:tcPr>
            <w:tcW w:w="9080" w:type="dxa"/>
            <w:gridSpan w:val="8"/>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b/>
                <w:bCs/>
                <w:sz w:val="21"/>
                <w:szCs w:val="21"/>
                <w:highlight w:val="none"/>
              </w:rPr>
              <w:t>锅炉房单元</w:t>
            </w:r>
          </w:p>
        </w:tc>
      </w:tr>
      <w:tr>
        <w:tblPrEx>
          <w:tblLayout w:type="fixed"/>
          <w:tblCellMar>
            <w:top w:w="0" w:type="dxa"/>
            <w:left w:w="0" w:type="dxa"/>
            <w:bottom w:w="0" w:type="dxa"/>
            <w:right w:w="0" w:type="dxa"/>
          </w:tblCellMar>
        </w:tblPrEx>
        <w:trPr>
          <w:trHeight w:val="363" w:hRule="atLeast"/>
        </w:trPr>
        <w:tc>
          <w:tcPr>
            <w:tcW w:w="738"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1</w:t>
            </w:r>
          </w:p>
        </w:tc>
        <w:tc>
          <w:tcPr>
            <w:tcW w:w="250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燃气锅炉</w:t>
            </w:r>
          </w:p>
        </w:tc>
        <w:tc>
          <w:tcPr>
            <w:tcW w:w="358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蒸发量4t/h，3kW</w:t>
            </w:r>
          </w:p>
        </w:tc>
        <w:tc>
          <w:tcPr>
            <w:tcW w:w="96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套</w:t>
            </w:r>
          </w:p>
        </w:tc>
        <w:tc>
          <w:tcPr>
            <w:tcW w:w="130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3</w:t>
            </w:r>
          </w:p>
        </w:tc>
      </w:tr>
      <w:tr>
        <w:tblPrEx>
          <w:tblLayout w:type="fixed"/>
          <w:tblCellMar>
            <w:top w:w="0" w:type="dxa"/>
            <w:left w:w="0" w:type="dxa"/>
            <w:bottom w:w="0" w:type="dxa"/>
            <w:right w:w="0" w:type="dxa"/>
          </w:tblCellMar>
        </w:tblPrEx>
        <w:trPr>
          <w:trHeight w:val="363" w:hRule="atLeast"/>
        </w:trPr>
        <w:tc>
          <w:tcPr>
            <w:tcW w:w="738"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2</w:t>
            </w:r>
          </w:p>
        </w:tc>
        <w:tc>
          <w:tcPr>
            <w:tcW w:w="250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省煤器</w:t>
            </w:r>
          </w:p>
        </w:tc>
        <w:tc>
          <w:tcPr>
            <w:tcW w:w="358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1m×50组</w:t>
            </w:r>
          </w:p>
        </w:tc>
        <w:tc>
          <w:tcPr>
            <w:tcW w:w="96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台</w:t>
            </w:r>
          </w:p>
        </w:tc>
        <w:tc>
          <w:tcPr>
            <w:tcW w:w="130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1</w:t>
            </w:r>
          </w:p>
        </w:tc>
      </w:tr>
      <w:tr>
        <w:tblPrEx>
          <w:tblLayout w:type="fixed"/>
          <w:tblCellMar>
            <w:top w:w="0" w:type="dxa"/>
            <w:left w:w="0" w:type="dxa"/>
            <w:bottom w:w="0" w:type="dxa"/>
            <w:right w:w="0" w:type="dxa"/>
          </w:tblCellMar>
        </w:tblPrEx>
        <w:trPr>
          <w:trHeight w:val="363" w:hRule="atLeast"/>
        </w:trPr>
        <w:tc>
          <w:tcPr>
            <w:tcW w:w="738"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3</w:t>
            </w:r>
          </w:p>
        </w:tc>
        <w:tc>
          <w:tcPr>
            <w:tcW w:w="250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燃烧器</w:t>
            </w:r>
          </w:p>
        </w:tc>
        <w:tc>
          <w:tcPr>
            <w:tcW w:w="358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DNFL125-41</w:t>
            </w:r>
          </w:p>
        </w:tc>
        <w:tc>
          <w:tcPr>
            <w:tcW w:w="96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台</w:t>
            </w:r>
          </w:p>
        </w:tc>
        <w:tc>
          <w:tcPr>
            <w:tcW w:w="130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1</w:t>
            </w:r>
          </w:p>
        </w:tc>
      </w:tr>
      <w:tr>
        <w:tblPrEx>
          <w:tblLayout w:type="fixed"/>
          <w:tblCellMar>
            <w:top w:w="0" w:type="dxa"/>
            <w:left w:w="0" w:type="dxa"/>
            <w:bottom w:w="0" w:type="dxa"/>
            <w:right w:w="0" w:type="dxa"/>
          </w:tblCellMar>
        </w:tblPrEx>
        <w:trPr>
          <w:trHeight w:val="363" w:hRule="atLeast"/>
        </w:trPr>
        <w:tc>
          <w:tcPr>
            <w:tcW w:w="738"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4</w:t>
            </w:r>
          </w:p>
        </w:tc>
        <w:tc>
          <w:tcPr>
            <w:tcW w:w="250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给水泵</w:t>
            </w:r>
          </w:p>
        </w:tc>
        <w:tc>
          <w:tcPr>
            <w:tcW w:w="358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4m3/h，4kw，152m，2900rpm</w:t>
            </w:r>
          </w:p>
        </w:tc>
        <w:tc>
          <w:tcPr>
            <w:tcW w:w="96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台</w:t>
            </w:r>
          </w:p>
        </w:tc>
        <w:tc>
          <w:tcPr>
            <w:tcW w:w="130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4</w:t>
            </w:r>
          </w:p>
        </w:tc>
      </w:tr>
      <w:tr>
        <w:tblPrEx>
          <w:tblLayout w:type="fixed"/>
          <w:tblCellMar>
            <w:top w:w="0" w:type="dxa"/>
            <w:left w:w="0" w:type="dxa"/>
            <w:bottom w:w="0" w:type="dxa"/>
            <w:right w:w="0" w:type="dxa"/>
          </w:tblCellMar>
        </w:tblPrEx>
        <w:trPr>
          <w:trHeight w:val="363" w:hRule="atLeast"/>
        </w:trPr>
        <w:tc>
          <w:tcPr>
            <w:tcW w:w="738"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5</w:t>
            </w:r>
          </w:p>
        </w:tc>
        <w:tc>
          <w:tcPr>
            <w:tcW w:w="250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软水处理装置</w:t>
            </w:r>
          </w:p>
        </w:tc>
        <w:tc>
          <w:tcPr>
            <w:tcW w:w="358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流量：Q=5m3/h</w:t>
            </w:r>
          </w:p>
        </w:tc>
        <w:tc>
          <w:tcPr>
            <w:tcW w:w="96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台</w:t>
            </w:r>
          </w:p>
        </w:tc>
        <w:tc>
          <w:tcPr>
            <w:tcW w:w="130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2</w:t>
            </w:r>
          </w:p>
        </w:tc>
      </w:tr>
      <w:tr>
        <w:tblPrEx>
          <w:tblLayout w:type="fixed"/>
          <w:tblCellMar>
            <w:top w:w="0" w:type="dxa"/>
            <w:left w:w="0" w:type="dxa"/>
            <w:bottom w:w="0" w:type="dxa"/>
            <w:right w:w="0" w:type="dxa"/>
          </w:tblCellMar>
        </w:tblPrEx>
        <w:trPr>
          <w:trHeight w:val="363" w:hRule="atLeast"/>
        </w:trPr>
        <w:tc>
          <w:tcPr>
            <w:tcW w:w="738"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6</w:t>
            </w:r>
          </w:p>
        </w:tc>
        <w:tc>
          <w:tcPr>
            <w:tcW w:w="250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软水箱</w:t>
            </w:r>
          </w:p>
        </w:tc>
        <w:tc>
          <w:tcPr>
            <w:tcW w:w="358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12m3、18m3</w:t>
            </w:r>
          </w:p>
        </w:tc>
        <w:tc>
          <w:tcPr>
            <w:tcW w:w="96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套</w:t>
            </w:r>
          </w:p>
        </w:tc>
        <w:tc>
          <w:tcPr>
            <w:tcW w:w="130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2</w:t>
            </w:r>
          </w:p>
        </w:tc>
      </w:tr>
      <w:tr>
        <w:tblPrEx>
          <w:tblLayout w:type="fixed"/>
          <w:tblCellMar>
            <w:top w:w="0" w:type="dxa"/>
            <w:left w:w="0" w:type="dxa"/>
            <w:bottom w:w="0" w:type="dxa"/>
            <w:right w:w="0" w:type="dxa"/>
          </w:tblCellMar>
        </w:tblPrEx>
        <w:trPr>
          <w:trHeight w:val="363" w:hRule="atLeast"/>
        </w:trPr>
        <w:tc>
          <w:tcPr>
            <w:tcW w:w="738"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7</w:t>
            </w:r>
          </w:p>
        </w:tc>
        <w:tc>
          <w:tcPr>
            <w:tcW w:w="250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加药装置</w:t>
            </w:r>
          </w:p>
        </w:tc>
        <w:tc>
          <w:tcPr>
            <w:tcW w:w="358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EHN-C16PH1/2R-H</w:t>
            </w:r>
          </w:p>
        </w:tc>
        <w:tc>
          <w:tcPr>
            <w:tcW w:w="96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台</w:t>
            </w:r>
          </w:p>
        </w:tc>
        <w:tc>
          <w:tcPr>
            <w:tcW w:w="130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5</w:t>
            </w:r>
          </w:p>
        </w:tc>
      </w:tr>
      <w:tr>
        <w:tblPrEx>
          <w:tblLayout w:type="fixed"/>
          <w:tblCellMar>
            <w:top w:w="0" w:type="dxa"/>
            <w:left w:w="0" w:type="dxa"/>
            <w:bottom w:w="0" w:type="dxa"/>
            <w:right w:w="0" w:type="dxa"/>
          </w:tblCellMar>
        </w:tblPrEx>
        <w:trPr>
          <w:trHeight w:val="363" w:hRule="atLeast"/>
        </w:trPr>
        <w:tc>
          <w:tcPr>
            <w:tcW w:w="738"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8</w:t>
            </w:r>
          </w:p>
        </w:tc>
        <w:tc>
          <w:tcPr>
            <w:tcW w:w="250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取样冷却器</w:t>
            </w:r>
          </w:p>
        </w:tc>
        <w:tc>
          <w:tcPr>
            <w:tcW w:w="358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DN200</w:t>
            </w:r>
          </w:p>
        </w:tc>
        <w:tc>
          <w:tcPr>
            <w:tcW w:w="96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台</w:t>
            </w:r>
          </w:p>
        </w:tc>
        <w:tc>
          <w:tcPr>
            <w:tcW w:w="130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3</w:t>
            </w:r>
          </w:p>
        </w:tc>
      </w:tr>
      <w:tr>
        <w:tblPrEx>
          <w:tblLayout w:type="fixed"/>
          <w:tblCellMar>
            <w:top w:w="0" w:type="dxa"/>
            <w:left w:w="0" w:type="dxa"/>
            <w:bottom w:w="0" w:type="dxa"/>
            <w:right w:w="0" w:type="dxa"/>
          </w:tblCellMar>
        </w:tblPrEx>
        <w:trPr>
          <w:trHeight w:val="363" w:hRule="atLeast"/>
        </w:trPr>
        <w:tc>
          <w:tcPr>
            <w:tcW w:w="738"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9</w:t>
            </w:r>
          </w:p>
        </w:tc>
        <w:tc>
          <w:tcPr>
            <w:tcW w:w="250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日用轻油箱</w:t>
            </w:r>
          </w:p>
        </w:tc>
        <w:tc>
          <w:tcPr>
            <w:tcW w:w="358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L1000×W1000×H1000</w:t>
            </w:r>
          </w:p>
        </w:tc>
        <w:tc>
          <w:tcPr>
            <w:tcW w:w="96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套</w:t>
            </w:r>
          </w:p>
        </w:tc>
        <w:tc>
          <w:tcPr>
            <w:tcW w:w="130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1</w:t>
            </w:r>
          </w:p>
        </w:tc>
      </w:tr>
      <w:tr>
        <w:tblPrEx>
          <w:tblLayout w:type="fixed"/>
          <w:tblCellMar>
            <w:top w:w="0" w:type="dxa"/>
            <w:left w:w="0" w:type="dxa"/>
            <w:bottom w:w="0" w:type="dxa"/>
            <w:right w:w="0" w:type="dxa"/>
          </w:tblCellMar>
        </w:tblPrEx>
        <w:trPr>
          <w:trHeight w:val="363" w:hRule="atLeast"/>
        </w:trPr>
        <w:tc>
          <w:tcPr>
            <w:tcW w:w="738"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10</w:t>
            </w:r>
          </w:p>
        </w:tc>
        <w:tc>
          <w:tcPr>
            <w:tcW w:w="250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油泵</w:t>
            </w:r>
          </w:p>
        </w:tc>
        <w:tc>
          <w:tcPr>
            <w:tcW w:w="358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KCB-18.3</w:t>
            </w:r>
          </w:p>
        </w:tc>
        <w:tc>
          <w:tcPr>
            <w:tcW w:w="96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台</w:t>
            </w:r>
          </w:p>
        </w:tc>
        <w:tc>
          <w:tcPr>
            <w:tcW w:w="130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2</w:t>
            </w:r>
          </w:p>
        </w:tc>
      </w:tr>
      <w:tr>
        <w:tblPrEx>
          <w:tblLayout w:type="fixed"/>
          <w:tblCellMar>
            <w:top w:w="0" w:type="dxa"/>
            <w:left w:w="0" w:type="dxa"/>
            <w:bottom w:w="0" w:type="dxa"/>
            <w:right w:w="0" w:type="dxa"/>
          </w:tblCellMar>
        </w:tblPrEx>
        <w:trPr>
          <w:trHeight w:val="363" w:hRule="atLeast"/>
        </w:trPr>
        <w:tc>
          <w:tcPr>
            <w:tcW w:w="738"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11</w:t>
            </w:r>
          </w:p>
        </w:tc>
        <w:tc>
          <w:tcPr>
            <w:tcW w:w="250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储油罐</w:t>
            </w:r>
          </w:p>
        </w:tc>
        <w:tc>
          <w:tcPr>
            <w:tcW w:w="358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L2500×W2000×H2000</w:t>
            </w:r>
          </w:p>
        </w:tc>
        <w:tc>
          <w:tcPr>
            <w:tcW w:w="96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台</w:t>
            </w:r>
          </w:p>
        </w:tc>
        <w:tc>
          <w:tcPr>
            <w:tcW w:w="130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1</w:t>
            </w:r>
          </w:p>
        </w:tc>
      </w:tr>
      <w:tr>
        <w:tblPrEx>
          <w:tblLayout w:type="fixed"/>
          <w:tblCellMar>
            <w:top w:w="0" w:type="dxa"/>
            <w:left w:w="0" w:type="dxa"/>
            <w:bottom w:w="0" w:type="dxa"/>
            <w:right w:w="0" w:type="dxa"/>
          </w:tblCellMar>
        </w:tblPrEx>
        <w:trPr>
          <w:trHeight w:val="363" w:hRule="atLeast"/>
        </w:trPr>
        <w:tc>
          <w:tcPr>
            <w:tcW w:w="738"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12</w:t>
            </w:r>
          </w:p>
        </w:tc>
        <w:tc>
          <w:tcPr>
            <w:tcW w:w="250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热水循环泵</w:t>
            </w:r>
          </w:p>
        </w:tc>
        <w:tc>
          <w:tcPr>
            <w:tcW w:w="358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130m3/h，36m，22kw</w:t>
            </w:r>
          </w:p>
        </w:tc>
        <w:tc>
          <w:tcPr>
            <w:tcW w:w="96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套</w:t>
            </w:r>
          </w:p>
        </w:tc>
        <w:tc>
          <w:tcPr>
            <w:tcW w:w="130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4</w:t>
            </w:r>
          </w:p>
        </w:tc>
      </w:tr>
      <w:tr>
        <w:tblPrEx>
          <w:tblLayout w:type="fixed"/>
          <w:tblCellMar>
            <w:top w:w="0" w:type="dxa"/>
            <w:left w:w="0" w:type="dxa"/>
            <w:bottom w:w="0" w:type="dxa"/>
            <w:right w:w="0" w:type="dxa"/>
          </w:tblCellMar>
        </w:tblPrEx>
        <w:trPr>
          <w:trHeight w:val="363" w:hRule="atLeast"/>
        </w:trPr>
        <w:tc>
          <w:tcPr>
            <w:tcW w:w="738"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13</w:t>
            </w:r>
          </w:p>
        </w:tc>
        <w:tc>
          <w:tcPr>
            <w:tcW w:w="250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补水泵</w:t>
            </w:r>
          </w:p>
        </w:tc>
        <w:tc>
          <w:tcPr>
            <w:tcW w:w="358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4m3/h，48m，1.1kw</w:t>
            </w:r>
          </w:p>
        </w:tc>
        <w:tc>
          <w:tcPr>
            <w:tcW w:w="96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台</w:t>
            </w:r>
          </w:p>
        </w:tc>
        <w:tc>
          <w:tcPr>
            <w:tcW w:w="130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2</w:t>
            </w:r>
          </w:p>
        </w:tc>
      </w:tr>
      <w:tr>
        <w:tblPrEx>
          <w:tblLayout w:type="fixed"/>
          <w:tblCellMar>
            <w:top w:w="0" w:type="dxa"/>
            <w:left w:w="0" w:type="dxa"/>
            <w:bottom w:w="0" w:type="dxa"/>
            <w:right w:w="0" w:type="dxa"/>
          </w:tblCellMar>
        </w:tblPrEx>
        <w:trPr>
          <w:trHeight w:val="363" w:hRule="atLeast"/>
        </w:trPr>
        <w:tc>
          <w:tcPr>
            <w:tcW w:w="738"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14</w:t>
            </w:r>
          </w:p>
        </w:tc>
        <w:tc>
          <w:tcPr>
            <w:tcW w:w="250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循环水缓冲罐</w:t>
            </w:r>
          </w:p>
        </w:tc>
        <w:tc>
          <w:tcPr>
            <w:tcW w:w="358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300L</w:t>
            </w:r>
          </w:p>
        </w:tc>
        <w:tc>
          <w:tcPr>
            <w:tcW w:w="96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台</w:t>
            </w:r>
          </w:p>
        </w:tc>
        <w:tc>
          <w:tcPr>
            <w:tcW w:w="130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1</w:t>
            </w:r>
          </w:p>
        </w:tc>
      </w:tr>
      <w:tr>
        <w:tblPrEx>
          <w:tblLayout w:type="fixed"/>
          <w:tblCellMar>
            <w:top w:w="0" w:type="dxa"/>
            <w:left w:w="0" w:type="dxa"/>
            <w:bottom w:w="0" w:type="dxa"/>
            <w:right w:w="0" w:type="dxa"/>
          </w:tblCellMar>
        </w:tblPrEx>
        <w:trPr>
          <w:trHeight w:val="363" w:hRule="atLeast"/>
        </w:trPr>
        <w:tc>
          <w:tcPr>
            <w:tcW w:w="738"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15</w:t>
            </w:r>
          </w:p>
        </w:tc>
        <w:tc>
          <w:tcPr>
            <w:tcW w:w="250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板式换热器</w:t>
            </w:r>
          </w:p>
        </w:tc>
        <w:tc>
          <w:tcPr>
            <w:tcW w:w="358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GC-26×32</w:t>
            </w:r>
          </w:p>
        </w:tc>
        <w:tc>
          <w:tcPr>
            <w:tcW w:w="96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台</w:t>
            </w:r>
          </w:p>
        </w:tc>
        <w:tc>
          <w:tcPr>
            <w:tcW w:w="130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1</w:t>
            </w:r>
          </w:p>
        </w:tc>
      </w:tr>
      <w:tr>
        <w:tblPrEx>
          <w:tblLayout w:type="fixed"/>
          <w:tblCellMar>
            <w:top w:w="0" w:type="dxa"/>
            <w:left w:w="0" w:type="dxa"/>
            <w:bottom w:w="0" w:type="dxa"/>
            <w:right w:w="0" w:type="dxa"/>
          </w:tblCellMar>
        </w:tblPrEx>
        <w:trPr>
          <w:trHeight w:val="363" w:hRule="atLeast"/>
        </w:trPr>
        <w:tc>
          <w:tcPr>
            <w:tcW w:w="738"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16</w:t>
            </w:r>
          </w:p>
        </w:tc>
        <w:tc>
          <w:tcPr>
            <w:tcW w:w="250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空压机</w:t>
            </w:r>
          </w:p>
        </w:tc>
        <w:tc>
          <w:tcPr>
            <w:tcW w:w="358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GE150300</w:t>
            </w:r>
          </w:p>
        </w:tc>
        <w:tc>
          <w:tcPr>
            <w:tcW w:w="96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台</w:t>
            </w:r>
          </w:p>
        </w:tc>
        <w:tc>
          <w:tcPr>
            <w:tcW w:w="130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1</w:t>
            </w:r>
          </w:p>
        </w:tc>
      </w:tr>
      <w:tr>
        <w:tblPrEx>
          <w:tblLayout w:type="fixed"/>
          <w:tblCellMar>
            <w:top w:w="0" w:type="dxa"/>
            <w:left w:w="0" w:type="dxa"/>
            <w:bottom w:w="0" w:type="dxa"/>
            <w:right w:w="0" w:type="dxa"/>
          </w:tblCellMar>
        </w:tblPrEx>
        <w:trPr>
          <w:trHeight w:val="363" w:hRule="atLeast"/>
        </w:trPr>
        <w:tc>
          <w:tcPr>
            <w:tcW w:w="738"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17</w:t>
            </w:r>
          </w:p>
        </w:tc>
        <w:tc>
          <w:tcPr>
            <w:tcW w:w="250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储气罐</w:t>
            </w:r>
          </w:p>
        </w:tc>
        <w:tc>
          <w:tcPr>
            <w:tcW w:w="358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V=1.0m3</w:t>
            </w:r>
            <w:r>
              <w:rPr>
                <w:rFonts w:hint="eastAsia" w:eastAsiaTheme="minorEastAsia"/>
                <w:sz w:val="21"/>
                <w:szCs w:val="21"/>
                <w:highlight w:val="none"/>
              </w:rPr>
              <w:tab/>
            </w:r>
            <w:r>
              <w:rPr>
                <w:rFonts w:hint="eastAsia" w:eastAsiaTheme="minorEastAsia"/>
                <w:sz w:val="21"/>
                <w:szCs w:val="21"/>
                <w:highlight w:val="none"/>
              </w:rPr>
              <w:t>P=0.8MPa</w:t>
            </w:r>
          </w:p>
        </w:tc>
        <w:tc>
          <w:tcPr>
            <w:tcW w:w="96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台</w:t>
            </w:r>
          </w:p>
        </w:tc>
        <w:tc>
          <w:tcPr>
            <w:tcW w:w="130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1</w:t>
            </w:r>
          </w:p>
        </w:tc>
      </w:tr>
      <w:tr>
        <w:tblPrEx>
          <w:tblLayout w:type="fixed"/>
          <w:tblCellMar>
            <w:top w:w="0" w:type="dxa"/>
            <w:left w:w="0" w:type="dxa"/>
            <w:bottom w:w="0" w:type="dxa"/>
            <w:right w:w="0" w:type="dxa"/>
          </w:tblCellMar>
        </w:tblPrEx>
        <w:trPr>
          <w:trHeight w:val="363" w:hRule="atLeast"/>
        </w:trPr>
        <w:tc>
          <w:tcPr>
            <w:tcW w:w="738"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18</w:t>
            </w:r>
          </w:p>
        </w:tc>
        <w:tc>
          <w:tcPr>
            <w:tcW w:w="250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分汽缸</w:t>
            </w:r>
          </w:p>
        </w:tc>
        <w:tc>
          <w:tcPr>
            <w:tcW w:w="358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0.38m3</w:t>
            </w:r>
          </w:p>
        </w:tc>
        <w:tc>
          <w:tcPr>
            <w:tcW w:w="96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台</w:t>
            </w:r>
          </w:p>
        </w:tc>
        <w:tc>
          <w:tcPr>
            <w:tcW w:w="130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2</w:t>
            </w:r>
          </w:p>
        </w:tc>
      </w:tr>
      <w:tr>
        <w:tblPrEx>
          <w:tblLayout w:type="fixed"/>
          <w:tblCellMar>
            <w:top w:w="0" w:type="dxa"/>
            <w:left w:w="0" w:type="dxa"/>
            <w:bottom w:w="0" w:type="dxa"/>
            <w:right w:w="0" w:type="dxa"/>
          </w:tblCellMar>
        </w:tblPrEx>
        <w:trPr>
          <w:trHeight w:val="363" w:hRule="atLeast"/>
        </w:trPr>
        <w:tc>
          <w:tcPr>
            <w:tcW w:w="738"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19</w:t>
            </w:r>
          </w:p>
        </w:tc>
        <w:tc>
          <w:tcPr>
            <w:tcW w:w="250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烟囱</w:t>
            </w:r>
          </w:p>
        </w:tc>
        <w:tc>
          <w:tcPr>
            <w:tcW w:w="358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∅500*10m</w:t>
            </w:r>
          </w:p>
        </w:tc>
        <w:tc>
          <w:tcPr>
            <w:tcW w:w="96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个</w:t>
            </w:r>
          </w:p>
        </w:tc>
        <w:tc>
          <w:tcPr>
            <w:tcW w:w="130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1</w:t>
            </w:r>
          </w:p>
        </w:tc>
      </w:tr>
      <w:tr>
        <w:tblPrEx>
          <w:tblLayout w:type="fixed"/>
          <w:tblCellMar>
            <w:top w:w="0" w:type="dxa"/>
            <w:left w:w="0" w:type="dxa"/>
            <w:bottom w:w="0" w:type="dxa"/>
            <w:right w:w="0" w:type="dxa"/>
          </w:tblCellMar>
        </w:tblPrEx>
        <w:trPr>
          <w:trHeight w:val="363" w:hRule="atLeast"/>
        </w:trPr>
        <w:tc>
          <w:tcPr>
            <w:tcW w:w="738"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20</w:t>
            </w:r>
          </w:p>
        </w:tc>
        <w:tc>
          <w:tcPr>
            <w:tcW w:w="250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冷冻式干燥机</w:t>
            </w:r>
          </w:p>
        </w:tc>
        <w:tc>
          <w:tcPr>
            <w:tcW w:w="358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JMS15AC</w:t>
            </w:r>
          </w:p>
        </w:tc>
        <w:tc>
          <w:tcPr>
            <w:tcW w:w="96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台</w:t>
            </w:r>
          </w:p>
        </w:tc>
        <w:tc>
          <w:tcPr>
            <w:tcW w:w="130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1</w:t>
            </w:r>
          </w:p>
        </w:tc>
      </w:tr>
      <w:tr>
        <w:tblPrEx>
          <w:tblLayout w:type="fixed"/>
          <w:tblCellMar>
            <w:top w:w="0" w:type="dxa"/>
            <w:left w:w="0" w:type="dxa"/>
            <w:bottom w:w="0" w:type="dxa"/>
            <w:right w:w="0" w:type="dxa"/>
          </w:tblCellMar>
        </w:tblPrEx>
        <w:trPr>
          <w:trHeight w:val="363" w:hRule="atLeast"/>
        </w:trPr>
        <w:tc>
          <w:tcPr>
            <w:tcW w:w="738"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21</w:t>
            </w:r>
          </w:p>
        </w:tc>
        <w:tc>
          <w:tcPr>
            <w:tcW w:w="250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精密过滤器</w:t>
            </w:r>
          </w:p>
        </w:tc>
        <w:tc>
          <w:tcPr>
            <w:tcW w:w="358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024Q/P/S</w:t>
            </w:r>
          </w:p>
        </w:tc>
        <w:tc>
          <w:tcPr>
            <w:tcW w:w="96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台</w:t>
            </w:r>
          </w:p>
        </w:tc>
        <w:tc>
          <w:tcPr>
            <w:tcW w:w="130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3</w:t>
            </w:r>
          </w:p>
        </w:tc>
      </w:tr>
      <w:tr>
        <w:tblPrEx>
          <w:tblLayout w:type="fixed"/>
          <w:tblCellMar>
            <w:top w:w="0" w:type="dxa"/>
            <w:left w:w="0" w:type="dxa"/>
            <w:bottom w:w="0" w:type="dxa"/>
            <w:right w:w="0" w:type="dxa"/>
          </w:tblCellMar>
        </w:tblPrEx>
        <w:trPr>
          <w:trHeight w:val="363" w:hRule="atLeast"/>
        </w:trPr>
        <w:tc>
          <w:tcPr>
            <w:tcW w:w="9080" w:type="dxa"/>
            <w:gridSpan w:val="8"/>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沼气净化单元</w:t>
            </w:r>
          </w:p>
        </w:tc>
      </w:tr>
      <w:tr>
        <w:tblPrEx>
          <w:tblLayout w:type="fixed"/>
          <w:tblCellMar>
            <w:top w:w="0" w:type="dxa"/>
            <w:left w:w="0" w:type="dxa"/>
            <w:bottom w:w="0" w:type="dxa"/>
            <w:right w:w="0" w:type="dxa"/>
          </w:tblCellMar>
        </w:tblPrEx>
        <w:trPr>
          <w:trHeight w:val="363" w:hRule="atLeast"/>
        </w:trPr>
        <w:tc>
          <w:tcPr>
            <w:tcW w:w="738"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1</w:t>
            </w:r>
          </w:p>
        </w:tc>
        <w:tc>
          <w:tcPr>
            <w:tcW w:w="250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干燥脱硫塔</w:t>
            </w:r>
          </w:p>
        </w:tc>
        <w:tc>
          <w:tcPr>
            <w:tcW w:w="358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∅2200×9000，30kPa，内装</w:t>
            </w:r>
          </w:p>
          <w:p>
            <w:pPr>
              <w:spacing w:line="240" w:lineRule="auto"/>
              <w:jc w:val="center"/>
              <w:rPr>
                <w:rFonts w:hint="eastAsia" w:eastAsiaTheme="minorEastAsia"/>
                <w:sz w:val="21"/>
                <w:szCs w:val="21"/>
                <w:highlight w:val="none"/>
              </w:rPr>
            </w:pPr>
            <w:r>
              <w:rPr>
                <w:rFonts w:hint="eastAsia" w:eastAsiaTheme="minorEastAsia"/>
                <w:sz w:val="21"/>
                <w:szCs w:val="21"/>
                <w:highlight w:val="none"/>
              </w:rPr>
              <w:t>脱硫剂22.9m3，每段高6m，</w:t>
            </w:r>
          </w:p>
          <w:p>
            <w:pPr>
              <w:spacing w:line="240" w:lineRule="auto"/>
              <w:jc w:val="center"/>
              <w:rPr>
                <w:rFonts w:hint="eastAsia" w:eastAsiaTheme="minorEastAsia"/>
                <w:sz w:val="21"/>
                <w:szCs w:val="21"/>
                <w:highlight w:val="none"/>
              </w:rPr>
            </w:pPr>
            <w:r>
              <w:rPr>
                <w:rFonts w:hint="eastAsia" w:eastAsiaTheme="minorEastAsia"/>
                <w:sz w:val="21"/>
                <w:szCs w:val="21"/>
                <w:highlight w:val="none"/>
              </w:rPr>
              <w:t>处理风量9600m3/d</w:t>
            </w:r>
          </w:p>
        </w:tc>
        <w:tc>
          <w:tcPr>
            <w:tcW w:w="96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台</w:t>
            </w:r>
          </w:p>
        </w:tc>
        <w:tc>
          <w:tcPr>
            <w:tcW w:w="130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1</w:t>
            </w:r>
          </w:p>
        </w:tc>
      </w:tr>
      <w:tr>
        <w:tblPrEx>
          <w:tblLayout w:type="fixed"/>
          <w:tblCellMar>
            <w:top w:w="0" w:type="dxa"/>
            <w:left w:w="0" w:type="dxa"/>
            <w:bottom w:w="0" w:type="dxa"/>
            <w:right w:w="0" w:type="dxa"/>
          </w:tblCellMar>
        </w:tblPrEx>
        <w:trPr>
          <w:trHeight w:val="363" w:hRule="atLeast"/>
        </w:trPr>
        <w:tc>
          <w:tcPr>
            <w:tcW w:w="738"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2</w:t>
            </w:r>
          </w:p>
        </w:tc>
        <w:tc>
          <w:tcPr>
            <w:tcW w:w="250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鼓风机</w:t>
            </w:r>
          </w:p>
        </w:tc>
        <w:tc>
          <w:tcPr>
            <w:tcW w:w="358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6-18.5kw，19.3m3/min，960r/min，29.4KPa</w:t>
            </w:r>
          </w:p>
        </w:tc>
        <w:tc>
          <w:tcPr>
            <w:tcW w:w="96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台</w:t>
            </w:r>
          </w:p>
        </w:tc>
        <w:tc>
          <w:tcPr>
            <w:tcW w:w="130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2</w:t>
            </w:r>
          </w:p>
        </w:tc>
      </w:tr>
      <w:tr>
        <w:tblPrEx>
          <w:tblLayout w:type="fixed"/>
          <w:tblCellMar>
            <w:top w:w="0" w:type="dxa"/>
            <w:left w:w="0" w:type="dxa"/>
            <w:bottom w:w="0" w:type="dxa"/>
            <w:right w:w="0" w:type="dxa"/>
          </w:tblCellMar>
        </w:tblPrEx>
        <w:trPr>
          <w:trHeight w:val="363" w:hRule="atLeast"/>
        </w:trPr>
        <w:tc>
          <w:tcPr>
            <w:tcW w:w="738"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3</w:t>
            </w:r>
          </w:p>
        </w:tc>
        <w:tc>
          <w:tcPr>
            <w:tcW w:w="250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除沫分离器</w:t>
            </w:r>
          </w:p>
        </w:tc>
        <w:tc>
          <w:tcPr>
            <w:tcW w:w="358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∅1400*3000</w:t>
            </w:r>
          </w:p>
        </w:tc>
        <w:tc>
          <w:tcPr>
            <w:tcW w:w="96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台</w:t>
            </w:r>
          </w:p>
        </w:tc>
        <w:tc>
          <w:tcPr>
            <w:tcW w:w="130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1</w:t>
            </w:r>
          </w:p>
        </w:tc>
      </w:tr>
      <w:tr>
        <w:tblPrEx>
          <w:tblLayout w:type="fixed"/>
          <w:tblCellMar>
            <w:top w:w="0" w:type="dxa"/>
            <w:left w:w="0" w:type="dxa"/>
            <w:bottom w:w="0" w:type="dxa"/>
            <w:right w:w="0" w:type="dxa"/>
          </w:tblCellMar>
        </w:tblPrEx>
        <w:trPr>
          <w:trHeight w:val="363" w:hRule="atLeast"/>
        </w:trPr>
        <w:tc>
          <w:tcPr>
            <w:tcW w:w="738"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4</w:t>
            </w:r>
          </w:p>
        </w:tc>
        <w:tc>
          <w:tcPr>
            <w:tcW w:w="250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在线分析仪</w:t>
            </w:r>
          </w:p>
        </w:tc>
        <w:tc>
          <w:tcPr>
            <w:tcW w:w="358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Gasboard-3060</w:t>
            </w:r>
          </w:p>
        </w:tc>
        <w:tc>
          <w:tcPr>
            <w:tcW w:w="96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台</w:t>
            </w:r>
          </w:p>
        </w:tc>
        <w:tc>
          <w:tcPr>
            <w:tcW w:w="130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1</w:t>
            </w:r>
          </w:p>
        </w:tc>
      </w:tr>
      <w:tr>
        <w:tblPrEx>
          <w:tblLayout w:type="fixed"/>
          <w:tblCellMar>
            <w:top w:w="0" w:type="dxa"/>
            <w:left w:w="0" w:type="dxa"/>
            <w:bottom w:w="0" w:type="dxa"/>
            <w:right w:w="0" w:type="dxa"/>
          </w:tblCellMar>
        </w:tblPrEx>
        <w:trPr>
          <w:trHeight w:val="363" w:hRule="atLeast"/>
        </w:trPr>
        <w:tc>
          <w:tcPr>
            <w:tcW w:w="738"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5</w:t>
            </w:r>
          </w:p>
        </w:tc>
        <w:tc>
          <w:tcPr>
            <w:tcW w:w="250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火炬设备</w:t>
            </w:r>
          </w:p>
        </w:tc>
        <w:tc>
          <w:tcPr>
            <w:tcW w:w="358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HDHI-1500</w:t>
            </w:r>
          </w:p>
        </w:tc>
        <w:tc>
          <w:tcPr>
            <w:tcW w:w="96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套</w:t>
            </w:r>
          </w:p>
        </w:tc>
        <w:tc>
          <w:tcPr>
            <w:tcW w:w="130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1</w:t>
            </w:r>
          </w:p>
        </w:tc>
      </w:tr>
      <w:tr>
        <w:tblPrEx>
          <w:tblLayout w:type="fixed"/>
          <w:tblCellMar>
            <w:top w:w="0" w:type="dxa"/>
            <w:left w:w="0" w:type="dxa"/>
            <w:bottom w:w="0" w:type="dxa"/>
            <w:right w:w="0" w:type="dxa"/>
          </w:tblCellMar>
        </w:tblPrEx>
        <w:trPr>
          <w:trHeight w:val="363" w:hRule="atLeast"/>
        </w:trPr>
        <w:tc>
          <w:tcPr>
            <w:tcW w:w="738"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6</w:t>
            </w:r>
          </w:p>
        </w:tc>
        <w:tc>
          <w:tcPr>
            <w:tcW w:w="250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普通压力表</w:t>
            </w:r>
          </w:p>
        </w:tc>
        <w:tc>
          <w:tcPr>
            <w:tcW w:w="358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0～0.1MPa</w:t>
            </w:r>
          </w:p>
        </w:tc>
        <w:tc>
          <w:tcPr>
            <w:tcW w:w="96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台</w:t>
            </w:r>
          </w:p>
        </w:tc>
        <w:tc>
          <w:tcPr>
            <w:tcW w:w="130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4</w:t>
            </w:r>
          </w:p>
        </w:tc>
      </w:tr>
      <w:tr>
        <w:tblPrEx>
          <w:tblLayout w:type="fixed"/>
          <w:tblCellMar>
            <w:top w:w="0" w:type="dxa"/>
            <w:left w:w="0" w:type="dxa"/>
            <w:bottom w:w="0" w:type="dxa"/>
            <w:right w:w="0" w:type="dxa"/>
          </w:tblCellMar>
        </w:tblPrEx>
        <w:trPr>
          <w:trHeight w:val="363" w:hRule="atLeast"/>
        </w:trPr>
        <w:tc>
          <w:tcPr>
            <w:tcW w:w="738"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7</w:t>
            </w:r>
          </w:p>
        </w:tc>
        <w:tc>
          <w:tcPr>
            <w:tcW w:w="250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隔爆压力变送器</w:t>
            </w:r>
          </w:p>
        </w:tc>
        <w:tc>
          <w:tcPr>
            <w:tcW w:w="358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-10～10KPa</w:t>
            </w:r>
          </w:p>
        </w:tc>
        <w:tc>
          <w:tcPr>
            <w:tcW w:w="96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台</w:t>
            </w:r>
          </w:p>
        </w:tc>
        <w:tc>
          <w:tcPr>
            <w:tcW w:w="130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3</w:t>
            </w:r>
          </w:p>
        </w:tc>
      </w:tr>
      <w:tr>
        <w:tblPrEx>
          <w:tblLayout w:type="fixed"/>
          <w:tblCellMar>
            <w:top w:w="0" w:type="dxa"/>
            <w:left w:w="0" w:type="dxa"/>
            <w:bottom w:w="0" w:type="dxa"/>
            <w:right w:w="0" w:type="dxa"/>
          </w:tblCellMar>
        </w:tblPrEx>
        <w:trPr>
          <w:trHeight w:val="363" w:hRule="atLeast"/>
        </w:trPr>
        <w:tc>
          <w:tcPr>
            <w:tcW w:w="738"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8</w:t>
            </w:r>
          </w:p>
        </w:tc>
        <w:tc>
          <w:tcPr>
            <w:tcW w:w="250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隔爆压力变送器</w:t>
            </w:r>
          </w:p>
        </w:tc>
        <w:tc>
          <w:tcPr>
            <w:tcW w:w="358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0～40KPa</w:t>
            </w:r>
          </w:p>
        </w:tc>
        <w:tc>
          <w:tcPr>
            <w:tcW w:w="960"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台</w:t>
            </w:r>
          </w:p>
        </w:tc>
        <w:tc>
          <w:tcPr>
            <w:tcW w:w="130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1"/>
                <w:szCs w:val="21"/>
                <w:highlight w:val="none"/>
              </w:rPr>
            </w:pPr>
            <w:r>
              <w:rPr>
                <w:rFonts w:hint="eastAsia" w:eastAsiaTheme="minorEastAsia"/>
                <w:sz w:val="21"/>
                <w:szCs w:val="21"/>
                <w:highlight w:val="none"/>
              </w:rPr>
              <w:t>3</w:t>
            </w:r>
          </w:p>
        </w:tc>
      </w:tr>
    </w:tbl>
    <w:p>
      <w:pPr>
        <w:pStyle w:val="3"/>
      </w:pPr>
      <w:bookmarkStart w:id="118" w:name="_Toc23780"/>
      <w:bookmarkStart w:id="119" w:name="_Toc2158"/>
      <w:bookmarkStart w:id="120" w:name="_Toc22262"/>
      <w:bookmarkStart w:id="121" w:name="_Toc28601"/>
      <w:r>
        <w:t>2.</w:t>
      </w:r>
      <w:r>
        <w:rPr>
          <w:rFonts w:hint="eastAsia"/>
          <w:lang w:val="en-US" w:eastAsia="zh-CN"/>
        </w:rPr>
        <w:t>3</w:t>
      </w:r>
      <w:r>
        <w:t xml:space="preserve"> 产排污情况</w:t>
      </w:r>
      <w:bookmarkEnd w:id="118"/>
      <w:bookmarkEnd w:id="119"/>
      <w:bookmarkEnd w:id="120"/>
      <w:bookmarkEnd w:id="121"/>
    </w:p>
    <w:p>
      <w:pPr>
        <w:pStyle w:val="4"/>
      </w:pPr>
      <w:bookmarkStart w:id="122" w:name="_Toc3072"/>
      <w:bookmarkStart w:id="123" w:name="_Toc23528"/>
      <w:r>
        <w:t>2.</w:t>
      </w:r>
      <w:r>
        <w:rPr>
          <w:rFonts w:hint="eastAsia"/>
          <w:lang w:val="en-US" w:eastAsia="zh-CN"/>
        </w:rPr>
        <w:t>3</w:t>
      </w:r>
      <w:r>
        <w:t>.1水污染物</w:t>
      </w:r>
      <w:bookmarkEnd w:id="122"/>
      <w:bookmarkEnd w:id="123"/>
    </w:p>
    <w:p>
      <w:pPr>
        <w:spacing w:line="360" w:lineRule="auto"/>
        <w:ind w:firstLine="552" w:firstLineChars="200"/>
        <w:rPr>
          <w:szCs w:val="28"/>
        </w:rPr>
      </w:pPr>
      <w:r>
        <w:rPr>
          <w:rFonts w:hint="eastAsia"/>
          <w:lang w:eastAsia="zh-CN"/>
        </w:rPr>
        <w:t>民东公司废水产生量为 286.5m3/d（104572.5m3/a），其中生活污水产生量为13.5m3/d（4927.5m3/a），生产废水产生量为273m3/d（99645m3/a）。公司废水存放于沼液缓冲池，定期泵入运输船，经水路运输排入珍家山污水处理厂处理。</w:t>
      </w:r>
    </w:p>
    <w:p>
      <w:pPr>
        <w:pStyle w:val="4"/>
      </w:pPr>
      <w:bookmarkStart w:id="124" w:name="_Toc31064"/>
      <w:bookmarkStart w:id="125" w:name="_Toc15617"/>
      <w:r>
        <w:t>2.</w:t>
      </w:r>
      <w:r>
        <w:rPr>
          <w:rFonts w:hint="eastAsia"/>
          <w:lang w:val="en-US" w:eastAsia="zh-CN"/>
        </w:rPr>
        <w:t>3</w:t>
      </w:r>
      <w:r>
        <w:t>.2大气污染物</w:t>
      </w:r>
      <w:bookmarkEnd w:id="124"/>
      <w:bookmarkEnd w:id="125"/>
    </w:p>
    <w:p>
      <w:pPr>
        <w:pStyle w:val="17"/>
        <w:ind w:firstLine="560" w:firstLineChars="200"/>
        <w:rPr>
          <w:rFonts w:hint="eastAsia" w:ascii="Times New Roman" w:hAnsi="Times New Roman" w:eastAsia="宋体"/>
          <w:bCs/>
          <w:szCs w:val="28"/>
          <w:lang w:eastAsia="zh-CN"/>
        </w:rPr>
      </w:pPr>
      <w:r>
        <w:rPr>
          <w:rFonts w:ascii="Times New Roman" w:hAnsi="Times New Roman"/>
          <w:bCs/>
          <w:szCs w:val="28"/>
        </w:rPr>
        <w:t>（一）</w:t>
      </w:r>
      <w:r>
        <w:rPr>
          <w:rFonts w:hint="eastAsia" w:ascii="Times New Roman" w:hAnsi="Times New Roman"/>
          <w:bCs/>
          <w:szCs w:val="28"/>
          <w:lang w:eastAsia="zh-CN"/>
        </w:rPr>
        <w:t>锅炉废气</w:t>
      </w:r>
    </w:p>
    <w:p>
      <w:pPr>
        <w:pStyle w:val="17"/>
        <w:ind w:firstLine="560" w:firstLineChars="200"/>
        <w:rPr>
          <w:rFonts w:hint="default" w:ascii="Times New Roman" w:hAnsi="Times New Roman" w:eastAsia="宋体"/>
          <w:bCs/>
          <w:szCs w:val="28"/>
          <w:lang w:val="en-US" w:eastAsia="zh-CN"/>
        </w:rPr>
      </w:pPr>
      <w:r>
        <w:rPr>
          <w:rFonts w:ascii="Times New Roman" w:hAnsi="Times New Roman"/>
          <w:bCs/>
          <w:szCs w:val="28"/>
        </w:rPr>
        <w:t>公司共设有3台4t/h 蒸汽锅炉，均使用脱硫沼气作为燃料。由于脱硫沼气属清洁能源，因此蒸汽锅炉运行过程中产生的锅炉废气对周围的大气环境影响不大。燃气锅炉废气中</w:t>
      </w:r>
      <w:r>
        <w:rPr>
          <w:rFonts w:hint="eastAsia" w:ascii="Times New Roman" w:hAnsi="Times New Roman"/>
          <w:bCs/>
          <w:szCs w:val="28"/>
          <w:lang w:eastAsia="zh-CN"/>
        </w:rPr>
        <w:t>的污染物：</w:t>
      </w:r>
      <w:r>
        <w:rPr>
          <w:rFonts w:ascii="Times New Roman" w:hAnsi="Times New Roman"/>
          <w:bCs/>
          <w:szCs w:val="28"/>
        </w:rPr>
        <w:t>颗粒物（烟尘）、二氧化硫、氮氧化物排放浓度、排放速率均满足广东省地方标准《锅炉大气污染物排放标准》（DB44/765-2019）燃气锅炉标准限值要求</w:t>
      </w:r>
      <w:r>
        <w:rPr>
          <w:rFonts w:hint="eastAsia" w:ascii="Times New Roman" w:hAnsi="Times New Roman"/>
          <w:bCs/>
          <w:szCs w:val="28"/>
          <w:lang w:eastAsia="zh-CN"/>
        </w:rPr>
        <w:t>后</w:t>
      </w:r>
      <w:r>
        <w:rPr>
          <w:rFonts w:ascii="Times New Roman" w:hAnsi="Times New Roman"/>
          <w:bCs/>
          <w:szCs w:val="28"/>
        </w:rPr>
        <w:t>分别单独经根不低于 15m排气筒排放</w:t>
      </w:r>
      <w:r>
        <w:rPr>
          <w:rFonts w:hint="eastAsia" w:ascii="Times New Roman" w:hAnsi="Times New Roman"/>
          <w:bCs/>
          <w:szCs w:val="28"/>
          <w:lang w:eastAsia="zh-CN"/>
        </w:rPr>
        <w:t>，废气排放风量为</w:t>
      </w:r>
      <w:r>
        <w:rPr>
          <w:rFonts w:hint="eastAsia" w:ascii="Times New Roman" w:hAnsi="Times New Roman"/>
          <w:bCs/>
          <w:szCs w:val="28"/>
          <w:lang w:val="en-US" w:eastAsia="zh-CN"/>
        </w:rPr>
        <w:t>1800m3/h。</w:t>
      </w:r>
    </w:p>
    <w:p>
      <w:pPr>
        <w:pStyle w:val="17"/>
        <w:ind w:firstLine="560" w:firstLineChars="200"/>
        <w:rPr>
          <w:rFonts w:hint="eastAsia" w:ascii="Times New Roman" w:hAnsi="Times New Roman" w:eastAsia="宋体"/>
          <w:bCs/>
          <w:szCs w:val="28"/>
          <w:lang w:eastAsia="zh-CN"/>
        </w:rPr>
      </w:pPr>
      <w:r>
        <w:rPr>
          <w:rFonts w:ascii="Times New Roman" w:hAnsi="Times New Roman"/>
          <w:bCs/>
          <w:szCs w:val="28"/>
        </w:rPr>
        <w:t>（二）</w:t>
      </w:r>
      <w:r>
        <w:rPr>
          <w:rFonts w:hint="eastAsia" w:ascii="Times New Roman" w:hAnsi="Times New Roman"/>
          <w:bCs/>
          <w:szCs w:val="28"/>
          <w:lang w:eastAsia="zh-CN"/>
        </w:rPr>
        <w:t>恶臭气体</w:t>
      </w:r>
    </w:p>
    <w:p>
      <w:pPr>
        <w:spacing w:line="360" w:lineRule="auto"/>
        <w:ind w:firstLine="480"/>
        <w:rPr>
          <w:rFonts w:hint="eastAsia"/>
          <w:bCs/>
          <w:color w:val="000000"/>
          <w:lang w:val="en-US" w:eastAsia="zh-CN"/>
        </w:rPr>
      </w:pPr>
      <w:r>
        <w:rPr>
          <w:rFonts w:hint="eastAsia"/>
          <w:bCs/>
          <w:color w:val="000000"/>
          <w:lang w:val="en-US" w:eastAsia="zh-CN"/>
        </w:rPr>
        <w:t>公司产生的恶臭污染物主要为臭气、氨、硫化氢和甲硫醇等，主要来自于前处理单元的污泥卸料仓和板框压滤车间的板框压滤机。</w:t>
      </w:r>
    </w:p>
    <w:p>
      <w:pPr>
        <w:spacing w:line="360" w:lineRule="auto"/>
        <w:ind w:firstLine="480"/>
        <w:rPr>
          <w:rFonts w:hint="eastAsia"/>
          <w:bCs/>
          <w:color w:val="000000"/>
          <w:lang w:val="en-US" w:eastAsia="zh-CN"/>
        </w:rPr>
      </w:pPr>
      <w:r>
        <w:rPr>
          <w:rFonts w:hint="eastAsia"/>
          <w:bCs/>
          <w:color w:val="000000"/>
          <w:lang w:val="en-US" w:eastAsia="zh-CN"/>
        </w:rPr>
        <w:t>热水解处理站的预热罐、热水解反应器、排料缓冲罐、换热缓存罐、除砂缓存罐、旋流除砂器等设备以及厌氧消化单元的厌氧消化罐等设备均为全密封设备，整个反应过程均在全密闭环境中进行，同时物料通过管道运输，不会有恶臭污染物向外散发；脱水单元的消化污泥存贮池和沼液缓冲池等池体均在全密闭的钢筋混凝土建筑物内，同时物料通过管道运输，不会有恶臭污染物向外散发；经厌氧消化和脱水后，污泥中的有机物分解和水分大大减少，自然堆放状态不再腐败发臭，泥棚中污泥堆放过程产生的恶臭污染物极少，通过加强泥棚机械通风即可满足无组织排放要求。</w:t>
      </w:r>
    </w:p>
    <w:p>
      <w:pPr>
        <w:spacing w:line="360" w:lineRule="auto"/>
        <w:ind w:firstLine="480"/>
        <w:rPr>
          <w:rFonts w:hint="eastAsia"/>
          <w:bCs/>
          <w:color w:val="000000"/>
          <w:lang w:val="en-US" w:eastAsia="zh-CN"/>
        </w:rPr>
      </w:pPr>
      <w:r>
        <w:rPr>
          <w:rFonts w:hint="eastAsia"/>
          <w:bCs/>
          <w:color w:val="000000"/>
          <w:lang w:val="en-US" w:eastAsia="zh-CN"/>
        </w:rPr>
        <w:t>①前处理单元</w:t>
      </w:r>
    </w:p>
    <w:p>
      <w:pPr>
        <w:pStyle w:val="16"/>
        <w:spacing w:before="135" w:line="338" w:lineRule="auto"/>
        <w:ind w:right="21"/>
        <w:jc w:val="left"/>
        <w:rPr>
          <w:rFonts w:hint="default" w:eastAsia="宋体"/>
          <w:bCs/>
          <w:color w:val="000000"/>
          <w:lang w:val="en-US" w:eastAsia="zh-CN"/>
        </w:rPr>
      </w:pPr>
      <w:r>
        <w:rPr>
          <w:rFonts w:hint="eastAsia"/>
          <w:bCs/>
          <w:color w:val="000000"/>
          <w:lang w:val="en-US" w:eastAsia="zh-CN"/>
        </w:rPr>
        <w:t>污泥前处理过程中产生一定量的恶臭污染物，污泥前处理过程中的臭气主要来自污泥卸料仓，臭气的主要成分为氨、硫化氢等恶臭气体。公司对前处理单元污泥卸料仓的臭气进行单独抽风管道抽风收集，同时对前处理单元内部的臭气进行抽风管道收集，收集后的臭气送生物除臭装置进行处理，臭 气处理采用“生物滤池”工艺，处理达标后废气通过1根不低于15m 排气筒排放。废气治理设施处理风量为20000m3/h。</w:t>
      </w:r>
    </w:p>
    <w:p>
      <w:pPr>
        <w:spacing w:line="360" w:lineRule="auto"/>
        <w:ind w:firstLine="480"/>
        <w:rPr>
          <w:rFonts w:hint="eastAsia"/>
          <w:bCs/>
          <w:color w:val="000000"/>
          <w:lang w:val="en-US" w:eastAsia="zh-CN"/>
        </w:rPr>
      </w:pPr>
      <w:r>
        <w:rPr>
          <w:rFonts w:hint="eastAsia"/>
          <w:bCs/>
          <w:color w:val="000000"/>
          <w:lang w:val="en-US" w:eastAsia="zh-CN"/>
        </w:rPr>
        <w:t>②板框压滤车间。</w:t>
      </w:r>
    </w:p>
    <w:p>
      <w:pPr>
        <w:spacing w:line="360" w:lineRule="auto"/>
        <w:ind w:firstLine="480"/>
        <w:rPr>
          <w:rFonts w:hint="eastAsia"/>
          <w:bCs/>
          <w:color w:val="000000"/>
          <w:lang w:val="en-US" w:eastAsia="zh-CN"/>
        </w:rPr>
      </w:pPr>
      <w:r>
        <w:rPr>
          <w:rFonts w:hint="eastAsia"/>
          <w:bCs/>
          <w:color w:val="000000"/>
          <w:lang w:val="en-US" w:eastAsia="zh-CN"/>
        </w:rPr>
        <w:t>污泥脱水过程中产生一定量的恶臭污染物，污泥脱水过程中的臭气主要来自板框压滤机等，臭气的主要成分为氨、硫化氢等恶臭气体。公司对板框压滤车间二层、三层（板框压滤间共分为三层，第一层放置其配套设备及新建配电间，第二层放置皮带输送机，第三层放置板框压滤机）的臭气进行抽风管道收集，收集后的臭气送除臭装置进行处理，臭气处理采用“光催化氧化”工艺，处理达标后废气通过1根不低于15m 排气筒排放。废气治理设施处理风量为20000m3/h。</w:t>
      </w:r>
      <w:r>
        <w:t>满足《恶臭污染物排放标准》</w:t>
      </w:r>
      <w:r>
        <w:rPr>
          <w:spacing w:val="-2"/>
        </w:rPr>
        <w:t>（</w:t>
      </w:r>
      <w:r>
        <w:rPr>
          <w:rFonts w:ascii="Times New Roman" w:hAnsi="Times New Roman" w:eastAsia="Times New Roman" w:cs="Times New Roman"/>
          <w:spacing w:val="-2"/>
        </w:rPr>
        <w:t>GB14554</w:t>
      </w:r>
      <w:r>
        <w:rPr>
          <w:spacing w:val="-2"/>
        </w:rPr>
        <w:t>－</w:t>
      </w:r>
      <w:r>
        <w:rPr>
          <w:rFonts w:ascii="Times New Roman" w:hAnsi="Times New Roman" w:eastAsia="Times New Roman" w:cs="Times New Roman"/>
          <w:spacing w:val="-2"/>
        </w:rPr>
        <w:t>93</w:t>
      </w:r>
      <w:r>
        <w:rPr>
          <w:spacing w:val="-2"/>
        </w:rPr>
        <w:t>）表</w:t>
      </w:r>
      <w:r>
        <w:rPr>
          <w:spacing w:val="-56"/>
        </w:rPr>
        <w:t xml:space="preserve"> </w:t>
      </w:r>
      <w:r>
        <w:rPr>
          <w:rFonts w:ascii="Times New Roman" w:hAnsi="Times New Roman" w:eastAsia="Times New Roman" w:cs="Times New Roman"/>
        </w:rPr>
        <w:t>2</w:t>
      </w:r>
      <w:r>
        <w:rPr>
          <w:rFonts w:ascii="Times New Roman" w:hAnsi="Times New Roman" w:eastAsia="Times New Roman" w:cs="Times New Roman"/>
          <w:spacing w:val="6"/>
        </w:rPr>
        <w:t xml:space="preserve"> </w:t>
      </w:r>
      <w:r>
        <w:rPr>
          <w:spacing w:val="-2"/>
        </w:rPr>
        <w:t>恶臭污染物排放标准值</w:t>
      </w:r>
      <w:r>
        <w:rPr>
          <w:rFonts w:hint="eastAsia"/>
          <w:spacing w:val="-2"/>
          <w:lang w:eastAsia="zh-CN"/>
        </w:rPr>
        <w:t>。</w:t>
      </w:r>
    </w:p>
    <w:p>
      <w:pPr>
        <w:spacing w:line="360" w:lineRule="auto"/>
        <w:ind w:firstLine="480"/>
        <w:rPr>
          <w:rFonts w:hint="eastAsia" w:eastAsia="宋体"/>
          <w:bCs/>
          <w:color w:val="000000"/>
          <w:lang w:eastAsia="zh-CN"/>
        </w:rPr>
      </w:pPr>
      <w:r>
        <w:rPr>
          <w:rFonts w:hint="eastAsia"/>
          <w:bCs/>
          <w:color w:val="000000"/>
          <w:lang w:eastAsia="zh-CN"/>
        </w:rPr>
        <w:t>（三）火炬燃烧废气</w:t>
      </w:r>
    </w:p>
    <w:p>
      <w:pPr>
        <w:spacing w:line="360" w:lineRule="auto"/>
        <w:ind w:firstLine="480"/>
        <w:rPr>
          <w:rFonts w:hint="eastAsia"/>
          <w:bCs/>
          <w:color w:val="000000"/>
          <w:lang w:eastAsia="zh-CN"/>
        </w:rPr>
      </w:pPr>
      <w:r>
        <w:rPr>
          <w:rFonts w:hint="eastAsia"/>
          <w:bCs/>
          <w:color w:val="000000"/>
          <w:lang w:eastAsia="zh-CN"/>
        </w:rPr>
        <w:t>公司设1座沼气火炬，厌氧消化过程所产沼气经脱硫后用于沼气锅炉产蒸汽，多余脱硫沼气通过火炬燃烧掉。由于脱硫沼气属清洁能源，</w:t>
      </w:r>
      <w:r>
        <w:rPr>
          <w:spacing w:val="-3"/>
        </w:rPr>
        <w:t>满足广东省地方标准《大气污染物排放限值》（</w:t>
      </w:r>
      <w:r>
        <w:rPr>
          <w:rFonts w:ascii="Times New Roman" w:hAnsi="Times New Roman" w:eastAsia="Times New Roman" w:cs="Times New Roman"/>
          <w:spacing w:val="-3"/>
        </w:rPr>
        <w:t>DB44/27-2001</w:t>
      </w:r>
      <w:r>
        <w:rPr>
          <w:spacing w:val="-3"/>
        </w:rPr>
        <w:t>）第二时</w:t>
      </w:r>
      <w:r>
        <w:rPr>
          <w:spacing w:val="-90"/>
        </w:rPr>
        <w:t xml:space="preserve"> </w:t>
      </w:r>
      <w:r>
        <w:rPr>
          <w:spacing w:val="-4"/>
        </w:rPr>
        <w:t>段二级标准限值</w:t>
      </w:r>
      <w:r>
        <w:rPr>
          <w:rFonts w:hint="eastAsia"/>
          <w:spacing w:val="-4"/>
          <w:lang w:eastAsia="zh-CN"/>
        </w:rPr>
        <w:t>。</w:t>
      </w:r>
      <w:r>
        <w:rPr>
          <w:rFonts w:hint="eastAsia"/>
          <w:bCs/>
          <w:color w:val="000000"/>
          <w:lang w:eastAsia="zh-CN"/>
        </w:rPr>
        <w:t>因此火炬燃烧过程中产生的燃烧废气对周围的大气环境影响不大。</w:t>
      </w:r>
      <w:r>
        <w:rPr>
          <w:rFonts w:hint="eastAsia" w:ascii="Times New Roman" w:hAnsi="Times New Roman"/>
          <w:bCs/>
          <w:szCs w:val="28"/>
          <w:lang w:eastAsia="zh-CN"/>
        </w:rPr>
        <w:t>废气排放风量为</w:t>
      </w:r>
      <w:r>
        <w:rPr>
          <w:rFonts w:hint="eastAsia" w:ascii="Times New Roman" w:hAnsi="Times New Roman"/>
          <w:bCs/>
          <w:szCs w:val="28"/>
          <w:lang w:val="en-US" w:eastAsia="zh-CN"/>
        </w:rPr>
        <w:t>1</w:t>
      </w:r>
      <w:r>
        <w:rPr>
          <w:rFonts w:hint="eastAsia"/>
          <w:bCs/>
          <w:szCs w:val="28"/>
          <w:lang w:val="en-US" w:eastAsia="zh-CN"/>
        </w:rPr>
        <w:t>6</w:t>
      </w:r>
      <w:r>
        <w:rPr>
          <w:rFonts w:hint="eastAsia" w:ascii="Times New Roman" w:hAnsi="Times New Roman"/>
          <w:bCs/>
          <w:szCs w:val="28"/>
          <w:lang w:val="en-US" w:eastAsia="zh-CN"/>
        </w:rPr>
        <w:t>00m3/h</w:t>
      </w:r>
      <w:r>
        <w:rPr>
          <w:rFonts w:hint="eastAsia"/>
          <w:bCs/>
          <w:szCs w:val="28"/>
          <w:lang w:val="en-US" w:eastAsia="zh-CN"/>
        </w:rPr>
        <w:t>。</w:t>
      </w:r>
    </w:p>
    <w:p>
      <w:pPr>
        <w:spacing w:line="360" w:lineRule="auto"/>
        <w:ind w:firstLine="480"/>
        <w:rPr>
          <w:bCs/>
          <w:color w:val="000000"/>
        </w:rPr>
      </w:pPr>
      <w:r>
        <w:rPr>
          <w:rFonts w:hint="eastAsia"/>
          <w:bCs/>
          <w:color w:val="000000"/>
          <w:lang w:eastAsia="zh-CN"/>
        </w:rPr>
        <w:t>（四）食堂油烟</w:t>
      </w:r>
    </w:p>
    <w:p>
      <w:pPr>
        <w:spacing w:line="360" w:lineRule="auto"/>
        <w:ind w:firstLine="552" w:firstLineChars="200"/>
        <w:rPr>
          <w:rFonts w:hint="eastAsia" w:eastAsia="宋体"/>
          <w:szCs w:val="28"/>
          <w:lang w:eastAsia="zh-CN"/>
        </w:rPr>
      </w:pPr>
      <w:r>
        <w:rPr>
          <w:rFonts w:hint="eastAsia"/>
          <w:bCs/>
          <w:color w:val="000000"/>
        </w:rPr>
        <w:t>项目厨房以瓶装石油气作为燃料，在使用过程中，产生油烟和火烟。食堂油烟采用运水烟罩+静电机处理达标后高空排放，外排油烟浓度达到《饮食业 油烟排放标准(试行)》（GB18483-2001）的要求后通过15米排气筒外排，对周围环境影响不大</w:t>
      </w:r>
      <w:r>
        <w:rPr>
          <w:rFonts w:hint="eastAsia"/>
          <w:szCs w:val="28"/>
          <w:lang w:val="it-CH" w:eastAsia="zh-CN"/>
        </w:rPr>
        <w:t>。废气治理设施处理风量为</w:t>
      </w:r>
      <w:r>
        <w:rPr>
          <w:rFonts w:hint="eastAsia"/>
          <w:szCs w:val="28"/>
          <w:lang w:val="en-US" w:eastAsia="zh-CN"/>
        </w:rPr>
        <w:t>8</w:t>
      </w:r>
      <w:r>
        <w:rPr>
          <w:rFonts w:hint="eastAsia"/>
          <w:szCs w:val="28"/>
          <w:lang w:val="it-CH" w:eastAsia="zh-CN"/>
        </w:rPr>
        <w:t>000m3/h。</w:t>
      </w:r>
    </w:p>
    <w:p>
      <w:pPr>
        <w:pStyle w:val="4"/>
      </w:pPr>
      <w:bookmarkStart w:id="126" w:name="_Toc9179"/>
      <w:bookmarkStart w:id="127" w:name="_Toc15000"/>
      <w:r>
        <w:t>2.</w:t>
      </w:r>
      <w:r>
        <w:rPr>
          <w:rFonts w:hint="eastAsia"/>
          <w:lang w:val="en-US" w:eastAsia="zh-CN"/>
        </w:rPr>
        <w:t>3</w:t>
      </w:r>
      <w:r>
        <w:t>.3固体废弃物</w:t>
      </w:r>
      <w:bookmarkEnd w:id="126"/>
      <w:bookmarkEnd w:id="127"/>
    </w:p>
    <w:p>
      <w:pPr>
        <w:spacing w:line="360" w:lineRule="auto"/>
        <w:ind w:firstLine="552" w:firstLineChars="200"/>
        <w:rPr>
          <w:color w:val="000000"/>
        </w:rPr>
      </w:pPr>
      <w:bookmarkStart w:id="128" w:name="_Toc269892897"/>
      <w:r>
        <w:rPr>
          <w:rFonts w:hint="eastAsia"/>
          <w:szCs w:val="28"/>
          <w:lang w:eastAsia="zh-CN"/>
        </w:rPr>
        <w:t>公司</w:t>
      </w:r>
      <w:r>
        <w:rPr>
          <w:szCs w:val="28"/>
        </w:rPr>
        <w:t>在生产过程中所产生的固体废物主要包括</w:t>
      </w:r>
      <w:r>
        <w:rPr>
          <w:rFonts w:hint="eastAsia"/>
          <w:szCs w:val="28"/>
        </w:rPr>
        <w:t>废矿物油</w:t>
      </w:r>
      <w:r>
        <w:rPr>
          <w:rFonts w:hint="eastAsia"/>
          <w:szCs w:val="28"/>
          <w:lang w:eastAsia="zh-CN"/>
        </w:rPr>
        <w:t>、</w:t>
      </w:r>
      <w:r>
        <w:rPr>
          <w:rFonts w:hint="eastAsia"/>
          <w:szCs w:val="28"/>
        </w:rPr>
        <w:t>试验废液</w:t>
      </w:r>
      <w:r>
        <w:rPr>
          <w:rFonts w:hint="eastAsia"/>
          <w:szCs w:val="28"/>
          <w:lang w:eastAsia="zh-CN"/>
        </w:rPr>
        <w:t>、</w:t>
      </w:r>
      <w:r>
        <w:rPr>
          <w:rFonts w:hint="eastAsia"/>
          <w:szCs w:val="28"/>
        </w:rPr>
        <w:t>废离子交换树脂</w:t>
      </w:r>
      <w:r>
        <w:rPr>
          <w:rFonts w:hint="eastAsia"/>
          <w:szCs w:val="28"/>
          <w:lang w:eastAsia="zh-CN"/>
        </w:rPr>
        <w:t>、</w:t>
      </w:r>
      <w:r>
        <w:rPr>
          <w:rFonts w:hint="eastAsia"/>
          <w:szCs w:val="28"/>
        </w:rPr>
        <w:t>废脱硫剂</w:t>
      </w:r>
      <w:r>
        <w:rPr>
          <w:rFonts w:hint="eastAsia"/>
          <w:szCs w:val="28"/>
          <w:lang w:eastAsia="zh-CN"/>
        </w:rPr>
        <w:t>、</w:t>
      </w:r>
      <w:r>
        <w:rPr>
          <w:rFonts w:hint="eastAsia"/>
          <w:szCs w:val="28"/>
        </w:rPr>
        <w:t>沼渣</w:t>
      </w:r>
      <w:r>
        <w:rPr>
          <w:rFonts w:hint="eastAsia"/>
          <w:szCs w:val="28"/>
          <w:lang w:eastAsia="zh-CN"/>
        </w:rPr>
        <w:t>、</w:t>
      </w:r>
      <w:r>
        <w:rPr>
          <w:rFonts w:hint="eastAsia"/>
          <w:szCs w:val="28"/>
        </w:rPr>
        <w:t>生活垃圾</w:t>
      </w:r>
      <w:r>
        <w:rPr>
          <w:szCs w:val="28"/>
        </w:rPr>
        <w:t>等。</w:t>
      </w:r>
      <w:r>
        <w:rPr>
          <w:color w:val="000000"/>
        </w:rPr>
        <w:t>各</w:t>
      </w:r>
      <w:r>
        <w:rPr>
          <w:rFonts w:hint="eastAsia"/>
          <w:color w:val="000000"/>
        </w:rPr>
        <w:t>类</w:t>
      </w:r>
      <w:r>
        <w:rPr>
          <w:color w:val="000000"/>
        </w:rPr>
        <w:t>固废的</w:t>
      </w:r>
      <w:r>
        <w:rPr>
          <w:rFonts w:hint="eastAsia"/>
          <w:color w:val="000000"/>
        </w:rPr>
        <w:t>产生量、暂存量及</w:t>
      </w:r>
      <w:r>
        <w:rPr>
          <w:color w:val="000000"/>
        </w:rPr>
        <w:t>处理方法如下：</w:t>
      </w:r>
    </w:p>
    <w:p>
      <w:pPr>
        <w:pStyle w:val="80"/>
        <w:snapToGrid w:val="0"/>
        <w:spacing w:line="420" w:lineRule="exact"/>
        <w:ind w:firstLine="2"/>
        <w:jc w:val="center"/>
        <w:rPr>
          <w:rFonts w:ascii="Times New Roman" w:hAnsi="Times New Roman"/>
          <w:b/>
          <w:szCs w:val="28"/>
        </w:rPr>
      </w:pPr>
      <w:r>
        <w:rPr>
          <w:rFonts w:ascii="Times New Roman" w:hAnsi="Times New Roman"/>
          <w:b/>
          <w:szCs w:val="28"/>
        </w:rPr>
        <w:t>表2-</w:t>
      </w:r>
      <w:r>
        <w:rPr>
          <w:rFonts w:hint="eastAsia" w:ascii="Times New Roman" w:hAnsi="Times New Roman"/>
          <w:b/>
          <w:szCs w:val="28"/>
          <w:lang w:val="en-US" w:eastAsia="zh-CN"/>
        </w:rPr>
        <w:t>6</w:t>
      </w:r>
      <w:r>
        <w:rPr>
          <w:rFonts w:hint="eastAsia" w:ascii="Times New Roman" w:hAnsi="Times New Roman"/>
          <w:b/>
          <w:szCs w:val="28"/>
          <w:lang w:eastAsia="zh-CN"/>
        </w:rPr>
        <w:t>固体废气产生及处理情况</w:t>
      </w:r>
      <w:r>
        <w:rPr>
          <w:rFonts w:ascii="Times New Roman" w:hAnsi="Times New Roman"/>
          <w:b/>
          <w:szCs w:val="28"/>
        </w:rPr>
        <w:t>一览表</w:t>
      </w:r>
    </w:p>
    <w:bookmarkEnd w:id="128"/>
    <w:tbl>
      <w:tblPr>
        <w:tblStyle w:val="42"/>
        <w:tblW w:w="8816" w:type="dxa"/>
        <w:jc w:val="center"/>
        <w:tblInd w:w="334" w:type="dxa"/>
        <w:tblLayout w:type="fixed"/>
        <w:tblCellMar>
          <w:top w:w="0" w:type="dxa"/>
          <w:left w:w="0" w:type="dxa"/>
          <w:bottom w:w="0" w:type="dxa"/>
          <w:right w:w="0" w:type="dxa"/>
        </w:tblCellMar>
      </w:tblPr>
      <w:tblGrid>
        <w:gridCol w:w="545"/>
        <w:gridCol w:w="1367"/>
        <w:gridCol w:w="857"/>
        <w:gridCol w:w="1140"/>
        <w:gridCol w:w="1015"/>
        <w:gridCol w:w="1512"/>
        <w:gridCol w:w="2380"/>
      </w:tblGrid>
      <w:tr>
        <w:tblPrEx>
          <w:tblLayout w:type="fixed"/>
          <w:tblCellMar>
            <w:top w:w="0" w:type="dxa"/>
            <w:left w:w="0" w:type="dxa"/>
            <w:bottom w:w="0" w:type="dxa"/>
            <w:right w:w="0" w:type="dxa"/>
          </w:tblCellMar>
        </w:tblPrEx>
        <w:trPr>
          <w:trHeight w:val="23" w:hRule="atLeast"/>
          <w:jc w:val="center"/>
        </w:trPr>
        <w:tc>
          <w:tcPr>
            <w:tcW w:w="545"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b/>
                <w:bCs/>
                <w:sz w:val="24"/>
                <w:szCs w:val="24"/>
                <w:highlight w:val="none"/>
              </w:rPr>
            </w:pPr>
            <w:bookmarkStart w:id="129" w:name="_Toc18096"/>
            <w:bookmarkStart w:id="130" w:name="_Toc779"/>
            <w:r>
              <w:rPr>
                <w:rFonts w:hint="eastAsia" w:eastAsiaTheme="minorEastAsia"/>
                <w:b/>
                <w:bCs/>
                <w:sz w:val="24"/>
                <w:szCs w:val="24"/>
                <w:highlight w:val="none"/>
              </w:rPr>
              <w:t>序号</w:t>
            </w:r>
          </w:p>
        </w:tc>
        <w:tc>
          <w:tcPr>
            <w:tcW w:w="1367"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b/>
                <w:bCs/>
                <w:sz w:val="24"/>
                <w:szCs w:val="24"/>
                <w:highlight w:val="none"/>
              </w:rPr>
            </w:pPr>
            <w:r>
              <w:rPr>
                <w:rFonts w:hint="eastAsia" w:eastAsiaTheme="minorEastAsia"/>
                <w:b/>
                <w:bCs/>
                <w:sz w:val="24"/>
                <w:szCs w:val="24"/>
                <w:highlight w:val="none"/>
              </w:rPr>
              <w:t>名称</w:t>
            </w:r>
          </w:p>
        </w:tc>
        <w:tc>
          <w:tcPr>
            <w:tcW w:w="857"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b/>
                <w:bCs/>
                <w:sz w:val="24"/>
                <w:szCs w:val="24"/>
                <w:highlight w:val="none"/>
                <w:lang w:eastAsia="zh-CN"/>
              </w:rPr>
            </w:pPr>
            <w:r>
              <w:rPr>
                <w:rFonts w:hint="eastAsia" w:eastAsiaTheme="minorEastAsia"/>
                <w:b/>
                <w:bCs/>
                <w:sz w:val="24"/>
                <w:szCs w:val="24"/>
                <w:highlight w:val="none"/>
                <w:lang w:eastAsia="zh-CN"/>
              </w:rPr>
              <w:t>危险</w:t>
            </w:r>
          </w:p>
          <w:p>
            <w:pPr>
              <w:spacing w:line="240" w:lineRule="auto"/>
              <w:jc w:val="center"/>
              <w:rPr>
                <w:rFonts w:hint="eastAsia" w:eastAsiaTheme="minorEastAsia"/>
                <w:b/>
                <w:bCs/>
                <w:sz w:val="24"/>
                <w:szCs w:val="24"/>
                <w:highlight w:val="none"/>
                <w:lang w:eastAsia="zh-CN"/>
              </w:rPr>
            </w:pPr>
            <w:r>
              <w:rPr>
                <w:rFonts w:hint="eastAsia" w:eastAsiaTheme="minorEastAsia"/>
                <w:b/>
                <w:bCs/>
                <w:sz w:val="24"/>
                <w:szCs w:val="24"/>
                <w:highlight w:val="none"/>
                <w:lang w:eastAsia="zh-CN"/>
              </w:rPr>
              <w:t>性质</w:t>
            </w:r>
          </w:p>
        </w:tc>
        <w:tc>
          <w:tcPr>
            <w:tcW w:w="1140"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b/>
                <w:bCs/>
                <w:sz w:val="24"/>
                <w:szCs w:val="24"/>
                <w:highlight w:val="none"/>
              </w:rPr>
            </w:pPr>
            <w:r>
              <w:rPr>
                <w:rFonts w:hint="eastAsia" w:eastAsiaTheme="minorEastAsia"/>
                <w:b/>
                <w:bCs/>
                <w:sz w:val="24"/>
                <w:szCs w:val="24"/>
                <w:highlight w:val="none"/>
              </w:rPr>
              <w:t>产生量</w:t>
            </w:r>
          </w:p>
          <w:p>
            <w:pPr>
              <w:spacing w:line="240" w:lineRule="auto"/>
              <w:jc w:val="center"/>
              <w:rPr>
                <w:rFonts w:hint="eastAsia" w:eastAsiaTheme="minorEastAsia"/>
                <w:b/>
                <w:bCs/>
                <w:sz w:val="24"/>
                <w:szCs w:val="24"/>
                <w:highlight w:val="none"/>
              </w:rPr>
            </w:pPr>
            <w:r>
              <w:rPr>
                <w:rFonts w:hint="eastAsia" w:eastAsiaTheme="minorEastAsia"/>
                <w:b/>
                <w:bCs/>
                <w:sz w:val="24"/>
                <w:szCs w:val="24"/>
                <w:highlight w:val="none"/>
              </w:rPr>
              <w:t>（t/a）</w:t>
            </w:r>
          </w:p>
        </w:tc>
        <w:tc>
          <w:tcPr>
            <w:tcW w:w="1015"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b/>
                <w:bCs/>
                <w:sz w:val="24"/>
                <w:szCs w:val="24"/>
                <w:highlight w:val="none"/>
                <w:lang w:eastAsia="zh-CN"/>
              </w:rPr>
            </w:pPr>
            <w:r>
              <w:rPr>
                <w:rFonts w:hint="eastAsia" w:eastAsiaTheme="minorEastAsia"/>
                <w:b/>
                <w:bCs/>
                <w:sz w:val="24"/>
                <w:szCs w:val="24"/>
                <w:highlight w:val="none"/>
                <w:lang w:eastAsia="zh-CN"/>
              </w:rPr>
              <w:t>最大储存量（</w:t>
            </w:r>
            <w:r>
              <w:rPr>
                <w:rFonts w:hint="eastAsia" w:eastAsiaTheme="minorEastAsia"/>
                <w:b/>
                <w:bCs/>
                <w:sz w:val="24"/>
                <w:szCs w:val="24"/>
                <w:highlight w:val="none"/>
                <w:lang w:val="en-US" w:eastAsia="zh-CN"/>
              </w:rPr>
              <w:t>t</w:t>
            </w:r>
            <w:r>
              <w:rPr>
                <w:rFonts w:hint="eastAsia" w:eastAsiaTheme="minorEastAsia"/>
                <w:b/>
                <w:bCs/>
                <w:sz w:val="24"/>
                <w:szCs w:val="24"/>
                <w:highlight w:val="none"/>
                <w:lang w:eastAsia="zh-CN"/>
              </w:rPr>
              <w:t>）</w:t>
            </w:r>
          </w:p>
        </w:tc>
        <w:tc>
          <w:tcPr>
            <w:tcW w:w="151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b/>
                <w:bCs/>
                <w:sz w:val="24"/>
                <w:szCs w:val="24"/>
                <w:highlight w:val="none"/>
              </w:rPr>
            </w:pPr>
            <w:r>
              <w:rPr>
                <w:rFonts w:hint="eastAsia" w:eastAsiaTheme="minorEastAsia"/>
                <w:b/>
                <w:bCs/>
                <w:sz w:val="24"/>
                <w:szCs w:val="24"/>
                <w:highlight w:val="none"/>
              </w:rPr>
              <w:t>类别</w:t>
            </w:r>
          </w:p>
        </w:tc>
        <w:tc>
          <w:tcPr>
            <w:tcW w:w="2380"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b/>
                <w:bCs/>
                <w:sz w:val="24"/>
                <w:szCs w:val="24"/>
                <w:highlight w:val="none"/>
              </w:rPr>
            </w:pPr>
            <w:r>
              <w:rPr>
                <w:rFonts w:hint="eastAsia" w:eastAsiaTheme="minorEastAsia"/>
                <w:b/>
                <w:bCs/>
                <w:sz w:val="24"/>
                <w:szCs w:val="24"/>
                <w:highlight w:val="none"/>
              </w:rPr>
              <w:t>处置方式</w:t>
            </w:r>
          </w:p>
        </w:tc>
      </w:tr>
      <w:tr>
        <w:tblPrEx>
          <w:tblLayout w:type="fixed"/>
          <w:tblCellMar>
            <w:top w:w="0" w:type="dxa"/>
            <w:left w:w="0" w:type="dxa"/>
            <w:bottom w:w="0" w:type="dxa"/>
            <w:right w:w="0" w:type="dxa"/>
          </w:tblCellMar>
        </w:tblPrEx>
        <w:trPr>
          <w:trHeight w:val="23" w:hRule="atLeast"/>
          <w:jc w:val="center"/>
        </w:trPr>
        <w:tc>
          <w:tcPr>
            <w:tcW w:w="545"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4"/>
                <w:szCs w:val="24"/>
                <w:highlight w:val="none"/>
              </w:rPr>
            </w:pPr>
            <w:r>
              <w:rPr>
                <w:rFonts w:hint="eastAsia" w:eastAsiaTheme="minorEastAsia"/>
                <w:sz w:val="24"/>
                <w:szCs w:val="24"/>
                <w:highlight w:val="none"/>
              </w:rPr>
              <w:t>1</w:t>
            </w:r>
          </w:p>
        </w:tc>
        <w:tc>
          <w:tcPr>
            <w:tcW w:w="1367"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4"/>
                <w:szCs w:val="24"/>
                <w:highlight w:val="none"/>
              </w:rPr>
            </w:pPr>
            <w:r>
              <w:rPr>
                <w:rFonts w:hint="eastAsia" w:eastAsiaTheme="minorEastAsia"/>
                <w:sz w:val="24"/>
                <w:szCs w:val="24"/>
                <w:highlight w:val="none"/>
              </w:rPr>
              <w:t>废矿物油</w:t>
            </w:r>
          </w:p>
        </w:tc>
        <w:tc>
          <w:tcPr>
            <w:tcW w:w="857"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4"/>
                <w:szCs w:val="24"/>
                <w:highlight w:val="none"/>
                <w:lang w:eastAsia="zh-CN"/>
              </w:rPr>
            </w:pPr>
            <w:r>
              <w:rPr>
                <w:rFonts w:hint="eastAsia" w:eastAsiaTheme="minorEastAsia"/>
                <w:sz w:val="24"/>
                <w:szCs w:val="24"/>
                <w:highlight w:val="none"/>
                <w:lang w:eastAsia="zh-CN"/>
              </w:rPr>
              <w:t>易燃</w:t>
            </w:r>
          </w:p>
        </w:tc>
        <w:tc>
          <w:tcPr>
            <w:tcW w:w="1140"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4"/>
                <w:szCs w:val="24"/>
                <w:highlight w:val="none"/>
              </w:rPr>
            </w:pPr>
            <w:r>
              <w:rPr>
                <w:rFonts w:hint="eastAsia" w:eastAsiaTheme="minorEastAsia"/>
                <w:sz w:val="24"/>
                <w:szCs w:val="24"/>
                <w:highlight w:val="none"/>
              </w:rPr>
              <w:t>0.8</w:t>
            </w:r>
          </w:p>
        </w:tc>
        <w:tc>
          <w:tcPr>
            <w:tcW w:w="1015"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default" w:eastAsiaTheme="minorEastAsia"/>
                <w:sz w:val="24"/>
                <w:szCs w:val="24"/>
                <w:highlight w:val="none"/>
                <w:lang w:val="en-US" w:eastAsia="zh-CN"/>
              </w:rPr>
            </w:pPr>
            <w:r>
              <w:rPr>
                <w:rFonts w:hint="eastAsia" w:eastAsiaTheme="minorEastAsia"/>
                <w:sz w:val="24"/>
                <w:szCs w:val="24"/>
                <w:highlight w:val="none"/>
                <w:lang w:val="en-US" w:eastAsia="zh-CN"/>
              </w:rPr>
              <w:t>0.4</w:t>
            </w:r>
          </w:p>
        </w:tc>
        <w:tc>
          <w:tcPr>
            <w:tcW w:w="151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4"/>
                <w:szCs w:val="24"/>
                <w:highlight w:val="none"/>
              </w:rPr>
            </w:pPr>
            <w:r>
              <w:rPr>
                <w:rFonts w:hint="eastAsia" w:eastAsiaTheme="minorEastAsia"/>
                <w:sz w:val="24"/>
                <w:szCs w:val="24"/>
                <w:highlight w:val="none"/>
              </w:rPr>
              <w:t>危险废物（HW08）</w:t>
            </w:r>
          </w:p>
        </w:tc>
        <w:tc>
          <w:tcPr>
            <w:tcW w:w="2380" w:type="dxa"/>
            <w:vMerge w:val="restart"/>
            <w:tcBorders>
              <w:top w:val="single" w:color="000000" w:sz="4" w:space="0"/>
              <w:left w:val="single" w:color="000000" w:sz="4" w:space="0"/>
              <w:right w:val="single" w:color="000000" w:sz="4" w:space="0"/>
            </w:tcBorders>
            <w:vAlign w:val="center"/>
          </w:tcPr>
          <w:p>
            <w:pPr>
              <w:spacing w:line="240" w:lineRule="auto"/>
              <w:jc w:val="center"/>
              <w:rPr>
                <w:rFonts w:hint="eastAsia" w:eastAsiaTheme="minorEastAsia"/>
                <w:sz w:val="24"/>
                <w:szCs w:val="24"/>
                <w:highlight w:val="none"/>
              </w:rPr>
            </w:pPr>
          </w:p>
          <w:p>
            <w:pPr>
              <w:spacing w:line="240" w:lineRule="auto"/>
              <w:jc w:val="center"/>
              <w:rPr>
                <w:rFonts w:hint="eastAsia" w:eastAsiaTheme="minorEastAsia"/>
                <w:sz w:val="24"/>
                <w:szCs w:val="24"/>
                <w:highlight w:val="none"/>
              </w:rPr>
            </w:pPr>
            <w:r>
              <w:rPr>
                <w:rFonts w:hint="eastAsia" w:eastAsiaTheme="minorEastAsia"/>
                <w:sz w:val="24"/>
                <w:szCs w:val="24"/>
                <w:highlight w:val="none"/>
              </w:rPr>
              <w:t>交由具有相关危险废物经营许可 证的单位处理</w:t>
            </w:r>
          </w:p>
        </w:tc>
      </w:tr>
      <w:tr>
        <w:tblPrEx>
          <w:tblLayout w:type="fixed"/>
          <w:tblCellMar>
            <w:top w:w="0" w:type="dxa"/>
            <w:left w:w="0" w:type="dxa"/>
            <w:bottom w:w="0" w:type="dxa"/>
            <w:right w:w="0" w:type="dxa"/>
          </w:tblCellMar>
        </w:tblPrEx>
        <w:trPr>
          <w:trHeight w:val="23" w:hRule="atLeast"/>
          <w:jc w:val="center"/>
        </w:trPr>
        <w:tc>
          <w:tcPr>
            <w:tcW w:w="545"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4"/>
                <w:szCs w:val="24"/>
                <w:highlight w:val="none"/>
              </w:rPr>
            </w:pPr>
            <w:r>
              <w:rPr>
                <w:rFonts w:hint="eastAsia" w:eastAsiaTheme="minorEastAsia"/>
                <w:sz w:val="24"/>
                <w:szCs w:val="24"/>
                <w:highlight w:val="none"/>
              </w:rPr>
              <w:t>2</w:t>
            </w:r>
          </w:p>
        </w:tc>
        <w:tc>
          <w:tcPr>
            <w:tcW w:w="1367"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4"/>
                <w:szCs w:val="24"/>
                <w:highlight w:val="none"/>
              </w:rPr>
            </w:pPr>
            <w:r>
              <w:rPr>
                <w:rFonts w:hint="eastAsia" w:eastAsiaTheme="minorEastAsia"/>
                <w:sz w:val="24"/>
                <w:szCs w:val="24"/>
                <w:highlight w:val="none"/>
              </w:rPr>
              <w:t>试验废液</w:t>
            </w:r>
          </w:p>
        </w:tc>
        <w:tc>
          <w:tcPr>
            <w:tcW w:w="857"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4"/>
                <w:szCs w:val="24"/>
                <w:highlight w:val="none"/>
                <w:lang w:eastAsia="zh-CN"/>
              </w:rPr>
            </w:pPr>
            <w:r>
              <w:rPr>
                <w:rFonts w:hint="eastAsia" w:eastAsiaTheme="minorEastAsia"/>
                <w:sz w:val="24"/>
                <w:szCs w:val="24"/>
                <w:highlight w:val="none"/>
                <w:lang w:eastAsia="zh-CN"/>
              </w:rPr>
              <w:t>毒性</w:t>
            </w:r>
          </w:p>
        </w:tc>
        <w:tc>
          <w:tcPr>
            <w:tcW w:w="1140"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4"/>
                <w:szCs w:val="24"/>
                <w:highlight w:val="none"/>
              </w:rPr>
            </w:pPr>
            <w:r>
              <w:rPr>
                <w:rFonts w:hint="eastAsia" w:eastAsiaTheme="minorEastAsia"/>
                <w:sz w:val="24"/>
                <w:szCs w:val="24"/>
                <w:highlight w:val="none"/>
              </w:rPr>
              <w:t>0.5</w:t>
            </w:r>
          </w:p>
        </w:tc>
        <w:tc>
          <w:tcPr>
            <w:tcW w:w="1015"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default" w:eastAsiaTheme="minorEastAsia"/>
                <w:sz w:val="24"/>
                <w:szCs w:val="24"/>
                <w:highlight w:val="none"/>
                <w:lang w:val="en-US" w:eastAsia="zh-CN"/>
              </w:rPr>
            </w:pPr>
            <w:r>
              <w:rPr>
                <w:rFonts w:hint="eastAsia" w:eastAsiaTheme="minorEastAsia"/>
                <w:sz w:val="24"/>
                <w:szCs w:val="24"/>
                <w:highlight w:val="none"/>
                <w:lang w:val="en-US" w:eastAsia="zh-CN"/>
              </w:rPr>
              <w:t>0.25</w:t>
            </w:r>
          </w:p>
        </w:tc>
        <w:tc>
          <w:tcPr>
            <w:tcW w:w="151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4"/>
                <w:szCs w:val="24"/>
                <w:highlight w:val="none"/>
              </w:rPr>
            </w:pPr>
            <w:r>
              <w:rPr>
                <w:rFonts w:hint="eastAsia" w:eastAsiaTheme="minorEastAsia"/>
                <w:sz w:val="24"/>
                <w:szCs w:val="24"/>
                <w:highlight w:val="none"/>
              </w:rPr>
              <w:t>危险废物（HW49）</w:t>
            </w:r>
          </w:p>
        </w:tc>
        <w:tc>
          <w:tcPr>
            <w:tcW w:w="2380" w:type="dxa"/>
            <w:vMerge w:val="continue"/>
            <w:tcBorders>
              <w:left w:val="single" w:color="000000" w:sz="4" w:space="0"/>
              <w:right w:val="single" w:color="000000" w:sz="4" w:space="0"/>
            </w:tcBorders>
            <w:vAlign w:val="center"/>
          </w:tcPr>
          <w:p>
            <w:pPr>
              <w:spacing w:line="240" w:lineRule="auto"/>
              <w:jc w:val="center"/>
              <w:rPr>
                <w:rFonts w:hint="eastAsia" w:eastAsiaTheme="minorEastAsia"/>
                <w:sz w:val="24"/>
                <w:szCs w:val="24"/>
                <w:highlight w:val="none"/>
              </w:rPr>
            </w:pPr>
          </w:p>
        </w:tc>
      </w:tr>
      <w:tr>
        <w:tblPrEx>
          <w:tblLayout w:type="fixed"/>
          <w:tblCellMar>
            <w:top w:w="0" w:type="dxa"/>
            <w:left w:w="0" w:type="dxa"/>
            <w:bottom w:w="0" w:type="dxa"/>
            <w:right w:w="0" w:type="dxa"/>
          </w:tblCellMar>
        </w:tblPrEx>
        <w:trPr>
          <w:trHeight w:val="23" w:hRule="atLeast"/>
          <w:jc w:val="center"/>
        </w:trPr>
        <w:tc>
          <w:tcPr>
            <w:tcW w:w="545"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4"/>
                <w:szCs w:val="24"/>
                <w:highlight w:val="none"/>
              </w:rPr>
            </w:pPr>
            <w:r>
              <w:rPr>
                <w:rFonts w:hint="eastAsia" w:eastAsiaTheme="minorEastAsia"/>
                <w:sz w:val="24"/>
                <w:szCs w:val="24"/>
                <w:highlight w:val="none"/>
              </w:rPr>
              <w:t>3</w:t>
            </w:r>
          </w:p>
        </w:tc>
        <w:tc>
          <w:tcPr>
            <w:tcW w:w="1367"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4"/>
                <w:szCs w:val="24"/>
                <w:highlight w:val="none"/>
              </w:rPr>
            </w:pPr>
            <w:r>
              <w:rPr>
                <w:rFonts w:hint="eastAsia" w:eastAsiaTheme="minorEastAsia"/>
                <w:sz w:val="24"/>
                <w:szCs w:val="24"/>
                <w:highlight w:val="none"/>
              </w:rPr>
              <w:t>废离子交换树脂</w:t>
            </w:r>
          </w:p>
        </w:tc>
        <w:tc>
          <w:tcPr>
            <w:tcW w:w="857"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4"/>
                <w:szCs w:val="24"/>
                <w:highlight w:val="none"/>
                <w:lang w:eastAsia="zh-CN"/>
              </w:rPr>
            </w:pPr>
            <w:r>
              <w:rPr>
                <w:rFonts w:hint="eastAsia" w:eastAsiaTheme="minorEastAsia"/>
                <w:sz w:val="24"/>
                <w:szCs w:val="24"/>
                <w:highlight w:val="none"/>
                <w:lang w:eastAsia="zh-CN"/>
              </w:rPr>
              <w:t>毒性</w:t>
            </w:r>
          </w:p>
        </w:tc>
        <w:tc>
          <w:tcPr>
            <w:tcW w:w="1140"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4"/>
                <w:szCs w:val="24"/>
                <w:highlight w:val="none"/>
              </w:rPr>
            </w:pPr>
            <w:r>
              <w:rPr>
                <w:rFonts w:hint="eastAsia" w:eastAsiaTheme="minorEastAsia"/>
                <w:sz w:val="24"/>
                <w:szCs w:val="24"/>
                <w:highlight w:val="none"/>
              </w:rPr>
              <w:t>0.1</w:t>
            </w:r>
          </w:p>
        </w:tc>
        <w:tc>
          <w:tcPr>
            <w:tcW w:w="1015"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default" w:eastAsiaTheme="minorEastAsia"/>
                <w:sz w:val="24"/>
                <w:szCs w:val="24"/>
                <w:highlight w:val="none"/>
                <w:lang w:val="en-US" w:eastAsia="zh-CN"/>
              </w:rPr>
            </w:pPr>
            <w:r>
              <w:rPr>
                <w:rFonts w:hint="eastAsia" w:eastAsiaTheme="minorEastAsia"/>
                <w:sz w:val="24"/>
                <w:szCs w:val="24"/>
                <w:highlight w:val="none"/>
                <w:lang w:val="en-US" w:eastAsia="zh-CN"/>
              </w:rPr>
              <w:t>0.05</w:t>
            </w:r>
          </w:p>
        </w:tc>
        <w:tc>
          <w:tcPr>
            <w:tcW w:w="151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4"/>
                <w:szCs w:val="24"/>
                <w:highlight w:val="none"/>
              </w:rPr>
            </w:pPr>
            <w:r>
              <w:rPr>
                <w:rFonts w:hint="eastAsia" w:eastAsiaTheme="minorEastAsia"/>
                <w:sz w:val="24"/>
                <w:szCs w:val="24"/>
                <w:highlight w:val="none"/>
              </w:rPr>
              <w:t>危险废物（HW13）</w:t>
            </w:r>
          </w:p>
        </w:tc>
        <w:tc>
          <w:tcPr>
            <w:tcW w:w="2380" w:type="dxa"/>
            <w:vMerge w:val="continue"/>
            <w:tcBorders>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4"/>
                <w:szCs w:val="24"/>
                <w:highlight w:val="none"/>
              </w:rPr>
            </w:pPr>
          </w:p>
        </w:tc>
      </w:tr>
      <w:tr>
        <w:tblPrEx>
          <w:tblLayout w:type="fixed"/>
          <w:tblCellMar>
            <w:top w:w="0" w:type="dxa"/>
            <w:left w:w="0" w:type="dxa"/>
            <w:bottom w:w="0" w:type="dxa"/>
            <w:right w:w="0" w:type="dxa"/>
          </w:tblCellMar>
        </w:tblPrEx>
        <w:trPr>
          <w:trHeight w:val="23" w:hRule="atLeast"/>
          <w:jc w:val="center"/>
        </w:trPr>
        <w:tc>
          <w:tcPr>
            <w:tcW w:w="545"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4"/>
                <w:szCs w:val="24"/>
                <w:highlight w:val="none"/>
              </w:rPr>
            </w:pPr>
            <w:r>
              <w:rPr>
                <w:rFonts w:hint="eastAsia" w:eastAsiaTheme="minorEastAsia"/>
                <w:sz w:val="24"/>
                <w:szCs w:val="24"/>
                <w:highlight w:val="none"/>
              </w:rPr>
              <w:t>4</w:t>
            </w:r>
          </w:p>
        </w:tc>
        <w:tc>
          <w:tcPr>
            <w:tcW w:w="1367"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4"/>
                <w:szCs w:val="24"/>
                <w:highlight w:val="none"/>
              </w:rPr>
            </w:pPr>
            <w:r>
              <w:rPr>
                <w:rFonts w:hint="eastAsia" w:eastAsiaTheme="minorEastAsia"/>
                <w:sz w:val="24"/>
                <w:szCs w:val="24"/>
                <w:highlight w:val="none"/>
              </w:rPr>
              <w:t>废脱硫剂</w:t>
            </w:r>
          </w:p>
        </w:tc>
        <w:tc>
          <w:tcPr>
            <w:tcW w:w="857"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4"/>
                <w:szCs w:val="24"/>
                <w:highlight w:val="none"/>
                <w:lang w:val="en-US" w:eastAsia="zh-CN"/>
              </w:rPr>
            </w:pPr>
            <w:r>
              <w:rPr>
                <w:rFonts w:hint="eastAsia" w:eastAsiaTheme="minorEastAsia"/>
                <w:sz w:val="24"/>
                <w:szCs w:val="24"/>
                <w:highlight w:val="none"/>
                <w:lang w:val="en-US" w:eastAsia="zh-CN"/>
              </w:rPr>
              <w:t>/</w:t>
            </w:r>
          </w:p>
        </w:tc>
        <w:tc>
          <w:tcPr>
            <w:tcW w:w="1140"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4"/>
                <w:szCs w:val="24"/>
                <w:highlight w:val="none"/>
              </w:rPr>
            </w:pPr>
            <w:r>
              <w:rPr>
                <w:rFonts w:hint="eastAsia" w:eastAsiaTheme="minorEastAsia"/>
                <w:sz w:val="24"/>
                <w:szCs w:val="24"/>
                <w:highlight w:val="none"/>
              </w:rPr>
              <w:t>10</w:t>
            </w:r>
          </w:p>
        </w:tc>
        <w:tc>
          <w:tcPr>
            <w:tcW w:w="1015"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4"/>
                <w:szCs w:val="24"/>
                <w:highlight w:val="none"/>
                <w:lang w:val="en-US" w:eastAsia="zh-CN"/>
              </w:rPr>
            </w:pPr>
            <w:r>
              <w:rPr>
                <w:rFonts w:hint="eastAsia" w:eastAsiaTheme="minorEastAsia"/>
                <w:sz w:val="24"/>
                <w:szCs w:val="24"/>
                <w:highlight w:val="none"/>
                <w:lang w:val="en-US" w:eastAsia="zh-CN"/>
              </w:rPr>
              <w:t>/</w:t>
            </w:r>
          </w:p>
        </w:tc>
        <w:tc>
          <w:tcPr>
            <w:tcW w:w="151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4"/>
                <w:szCs w:val="24"/>
                <w:highlight w:val="none"/>
              </w:rPr>
            </w:pPr>
            <w:r>
              <w:rPr>
                <w:rFonts w:hint="eastAsia" w:eastAsiaTheme="minorEastAsia"/>
                <w:sz w:val="24"/>
                <w:szCs w:val="24"/>
                <w:highlight w:val="none"/>
              </w:rPr>
              <w:t>一般工业固废</w:t>
            </w:r>
          </w:p>
        </w:tc>
        <w:tc>
          <w:tcPr>
            <w:tcW w:w="2380"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4"/>
                <w:szCs w:val="24"/>
                <w:highlight w:val="none"/>
              </w:rPr>
            </w:pPr>
            <w:r>
              <w:rPr>
                <w:rFonts w:hint="eastAsia" w:eastAsiaTheme="minorEastAsia"/>
                <w:sz w:val="24"/>
                <w:szCs w:val="24"/>
                <w:highlight w:val="none"/>
              </w:rPr>
              <w:t>交由具有特定处理废硫化铁能力 的单位处理</w:t>
            </w:r>
          </w:p>
        </w:tc>
      </w:tr>
      <w:tr>
        <w:tblPrEx>
          <w:tblLayout w:type="fixed"/>
          <w:tblCellMar>
            <w:top w:w="0" w:type="dxa"/>
            <w:left w:w="0" w:type="dxa"/>
            <w:bottom w:w="0" w:type="dxa"/>
            <w:right w:w="0" w:type="dxa"/>
          </w:tblCellMar>
        </w:tblPrEx>
        <w:trPr>
          <w:trHeight w:val="23" w:hRule="atLeast"/>
          <w:jc w:val="center"/>
        </w:trPr>
        <w:tc>
          <w:tcPr>
            <w:tcW w:w="545"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4"/>
                <w:szCs w:val="24"/>
                <w:highlight w:val="none"/>
              </w:rPr>
            </w:pPr>
            <w:r>
              <w:rPr>
                <w:rFonts w:hint="eastAsia" w:eastAsiaTheme="minorEastAsia"/>
                <w:sz w:val="24"/>
                <w:szCs w:val="24"/>
                <w:highlight w:val="none"/>
              </w:rPr>
              <w:t>5</w:t>
            </w:r>
          </w:p>
        </w:tc>
        <w:tc>
          <w:tcPr>
            <w:tcW w:w="1367"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4"/>
                <w:szCs w:val="24"/>
                <w:highlight w:val="none"/>
              </w:rPr>
            </w:pPr>
            <w:r>
              <w:rPr>
                <w:rFonts w:hint="eastAsia" w:eastAsiaTheme="minorEastAsia"/>
                <w:sz w:val="24"/>
                <w:szCs w:val="24"/>
                <w:highlight w:val="none"/>
              </w:rPr>
              <w:t>沼渣</w:t>
            </w:r>
          </w:p>
        </w:tc>
        <w:tc>
          <w:tcPr>
            <w:tcW w:w="857"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4"/>
                <w:szCs w:val="24"/>
                <w:highlight w:val="none"/>
                <w:lang w:val="en-US" w:eastAsia="zh-CN"/>
              </w:rPr>
            </w:pPr>
            <w:r>
              <w:rPr>
                <w:rFonts w:hint="eastAsia" w:eastAsiaTheme="minorEastAsia"/>
                <w:sz w:val="24"/>
                <w:szCs w:val="24"/>
                <w:highlight w:val="none"/>
                <w:lang w:val="en-US" w:eastAsia="zh-CN"/>
              </w:rPr>
              <w:t>/</w:t>
            </w:r>
          </w:p>
        </w:tc>
        <w:tc>
          <w:tcPr>
            <w:tcW w:w="1140"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4"/>
                <w:szCs w:val="24"/>
                <w:highlight w:val="none"/>
              </w:rPr>
            </w:pPr>
            <w:r>
              <w:rPr>
                <w:rFonts w:hint="eastAsia" w:eastAsiaTheme="minorEastAsia"/>
                <w:sz w:val="24"/>
                <w:szCs w:val="24"/>
                <w:highlight w:val="none"/>
              </w:rPr>
              <w:t>43800</w:t>
            </w:r>
          </w:p>
        </w:tc>
        <w:tc>
          <w:tcPr>
            <w:tcW w:w="1015"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default" w:eastAsiaTheme="minorEastAsia"/>
                <w:sz w:val="24"/>
                <w:szCs w:val="24"/>
                <w:highlight w:val="none"/>
                <w:lang w:val="en-US" w:eastAsia="zh-CN"/>
              </w:rPr>
            </w:pPr>
            <w:r>
              <w:rPr>
                <w:rFonts w:hint="eastAsia" w:eastAsiaTheme="minorEastAsia"/>
                <w:sz w:val="24"/>
                <w:szCs w:val="24"/>
                <w:highlight w:val="none"/>
                <w:lang w:val="en-US" w:eastAsia="zh-CN"/>
              </w:rPr>
              <w:t>150</w:t>
            </w:r>
          </w:p>
        </w:tc>
        <w:tc>
          <w:tcPr>
            <w:tcW w:w="151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4"/>
                <w:szCs w:val="24"/>
                <w:highlight w:val="none"/>
              </w:rPr>
            </w:pPr>
            <w:r>
              <w:rPr>
                <w:rFonts w:hint="eastAsia" w:eastAsiaTheme="minorEastAsia"/>
                <w:sz w:val="24"/>
                <w:szCs w:val="24"/>
                <w:highlight w:val="none"/>
              </w:rPr>
              <w:t>一般工业固废</w:t>
            </w:r>
          </w:p>
        </w:tc>
        <w:tc>
          <w:tcPr>
            <w:tcW w:w="2380"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4"/>
                <w:szCs w:val="24"/>
                <w:highlight w:val="none"/>
              </w:rPr>
            </w:pPr>
            <w:r>
              <w:rPr>
                <w:rFonts w:hint="eastAsia" w:eastAsiaTheme="minorEastAsia"/>
                <w:sz w:val="24"/>
                <w:szCs w:val="24"/>
                <w:highlight w:val="none"/>
              </w:rPr>
              <w:t>交园林公司用作绿化用土以及送 烧砖厂制砖</w:t>
            </w:r>
          </w:p>
        </w:tc>
      </w:tr>
      <w:tr>
        <w:tblPrEx>
          <w:tblLayout w:type="fixed"/>
          <w:tblCellMar>
            <w:top w:w="0" w:type="dxa"/>
            <w:left w:w="0" w:type="dxa"/>
            <w:bottom w:w="0" w:type="dxa"/>
            <w:right w:w="0" w:type="dxa"/>
          </w:tblCellMar>
        </w:tblPrEx>
        <w:trPr>
          <w:trHeight w:val="23" w:hRule="atLeast"/>
          <w:jc w:val="center"/>
        </w:trPr>
        <w:tc>
          <w:tcPr>
            <w:tcW w:w="545"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4"/>
                <w:szCs w:val="24"/>
                <w:highlight w:val="none"/>
              </w:rPr>
            </w:pPr>
            <w:r>
              <w:rPr>
                <w:rFonts w:hint="eastAsia" w:eastAsiaTheme="minorEastAsia"/>
                <w:sz w:val="24"/>
                <w:szCs w:val="24"/>
                <w:highlight w:val="none"/>
              </w:rPr>
              <w:t>6</w:t>
            </w:r>
          </w:p>
        </w:tc>
        <w:tc>
          <w:tcPr>
            <w:tcW w:w="1367"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4"/>
                <w:szCs w:val="24"/>
                <w:highlight w:val="none"/>
              </w:rPr>
            </w:pPr>
            <w:r>
              <w:rPr>
                <w:rFonts w:hint="eastAsia" w:eastAsiaTheme="minorEastAsia"/>
                <w:sz w:val="24"/>
                <w:szCs w:val="24"/>
                <w:highlight w:val="none"/>
              </w:rPr>
              <w:t>生活垃圾</w:t>
            </w:r>
          </w:p>
        </w:tc>
        <w:tc>
          <w:tcPr>
            <w:tcW w:w="857"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4"/>
                <w:szCs w:val="24"/>
                <w:highlight w:val="none"/>
                <w:lang w:val="en-US" w:eastAsia="zh-CN"/>
              </w:rPr>
            </w:pPr>
            <w:r>
              <w:rPr>
                <w:rFonts w:hint="eastAsia" w:eastAsiaTheme="minorEastAsia"/>
                <w:sz w:val="24"/>
                <w:szCs w:val="24"/>
                <w:highlight w:val="none"/>
                <w:lang w:val="en-US" w:eastAsia="zh-CN"/>
              </w:rPr>
              <w:t>/</w:t>
            </w:r>
          </w:p>
        </w:tc>
        <w:tc>
          <w:tcPr>
            <w:tcW w:w="1140"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4"/>
                <w:szCs w:val="24"/>
                <w:highlight w:val="none"/>
              </w:rPr>
            </w:pPr>
            <w:r>
              <w:rPr>
                <w:rFonts w:hint="eastAsia" w:eastAsiaTheme="minorEastAsia"/>
                <w:sz w:val="24"/>
                <w:szCs w:val="24"/>
                <w:highlight w:val="none"/>
              </w:rPr>
              <w:t>10.96</w:t>
            </w:r>
          </w:p>
        </w:tc>
        <w:tc>
          <w:tcPr>
            <w:tcW w:w="1015"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default" w:eastAsiaTheme="minorEastAsia"/>
                <w:sz w:val="24"/>
                <w:szCs w:val="24"/>
                <w:highlight w:val="none"/>
                <w:lang w:val="en-US" w:eastAsia="zh-CN"/>
              </w:rPr>
            </w:pPr>
            <w:r>
              <w:rPr>
                <w:rFonts w:hint="eastAsia" w:eastAsiaTheme="minorEastAsia"/>
                <w:sz w:val="24"/>
                <w:szCs w:val="24"/>
                <w:highlight w:val="none"/>
                <w:lang w:val="en-US" w:eastAsia="zh-CN"/>
              </w:rPr>
              <w:t>0.05</w:t>
            </w:r>
          </w:p>
        </w:tc>
        <w:tc>
          <w:tcPr>
            <w:tcW w:w="151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4"/>
                <w:szCs w:val="24"/>
                <w:highlight w:val="none"/>
              </w:rPr>
            </w:pPr>
            <w:r>
              <w:rPr>
                <w:rFonts w:hint="eastAsia" w:eastAsiaTheme="minorEastAsia"/>
                <w:sz w:val="24"/>
                <w:szCs w:val="24"/>
                <w:highlight w:val="none"/>
              </w:rPr>
              <w:t>生活垃圾</w:t>
            </w:r>
          </w:p>
        </w:tc>
        <w:tc>
          <w:tcPr>
            <w:tcW w:w="2380"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4"/>
                <w:szCs w:val="24"/>
                <w:highlight w:val="none"/>
              </w:rPr>
            </w:pPr>
            <w:r>
              <w:rPr>
                <w:rFonts w:hint="eastAsia" w:eastAsiaTheme="minorEastAsia"/>
                <w:sz w:val="24"/>
                <w:szCs w:val="24"/>
                <w:highlight w:val="none"/>
              </w:rPr>
              <w:t>由环卫部门清运</w:t>
            </w:r>
          </w:p>
        </w:tc>
      </w:tr>
      <w:tr>
        <w:tblPrEx>
          <w:tblLayout w:type="fixed"/>
          <w:tblCellMar>
            <w:top w:w="0" w:type="dxa"/>
            <w:left w:w="0" w:type="dxa"/>
            <w:bottom w:w="0" w:type="dxa"/>
            <w:right w:w="0" w:type="dxa"/>
          </w:tblCellMar>
        </w:tblPrEx>
        <w:trPr>
          <w:trHeight w:val="23" w:hRule="atLeast"/>
          <w:jc w:val="center"/>
        </w:trPr>
        <w:tc>
          <w:tcPr>
            <w:tcW w:w="545"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4"/>
                <w:szCs w:val="24"/>
                <w:highlight w:val="none"/>
              </w:rPr>
            </w:pPr>
            <w:r>
              <w:rPr>
                <w:rFonts w:hint="eastAsia" w:eastAsiaTheme="minorEastAsia"/>
                <w:sz w:val="24"/>
                <w:szCs w:val="24"/>
                <w:highlight w:val="none"/>
              </w:rPr>
              <w:t>合计</w:t>
            </w:r>
          </w:p>
        </w:tc>
        <w:tc>
          <w:tcPr>
            <w:tcW w:w="1367"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4"/>
                <w:szCs w:val="24"/>
                <w:highlight w:val="none"/>
              </w:rPr>
            </w:pPr>
            <w:r>
              <w:rPr>
                <w:rFonts w:hint="eastAsia" w:eastAsiaTheme="minorEastAsia"/>
                <w:sz w:val="24"/>
                <w:szCs w:val="24"/>
                <w:highlight w:val="none"/>
              </w:rPr>
              <w:t>--</w:t>
            </w:r>
          </w:p>
        </w:tc>
        <w:tc>
          <w:tcPr>
            <w:tcW w:w="857"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4"/>
                <w:szCs w:val="24"/>
                <w:highlight w:val="none"/>
                <w:lang w:val="en-US" w:eastAsia="zh-CN"/>
              </w:rPr>
            </w:pPr>
            <w:r>
              <w:rPr>
                <w:rFonts w:hint="eastAsia" w:eastAsiaTheme="minorEastAsia"/>
                <w:sz w:val="24"/>
                <w:szCs w:val="24"/>
                <w:highlight w:val="none"/>
                <w:lang w:val="en-US" w:eastAsia="zh-CN"/>
              </w:rPr>
              <w:t>/</w:t>
            </w:r>
          </w:p>
        </w:tc>
        <w:tc>
          <w:tcPr>
            <w:tcW w:w="1140"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4"/>
                <w:szCs w:val="24"/>
                <w:highlight w:val="none"/>
              </w:rPr>
            </w:pPr>
            <w:r>
              <w:rPr>
                <w:rFonts w:hint="eastAsia" w:eastAsiaTheme="minorEastAsia"/>
                <w:sz w:val="24"/>
                <w:szCs w:val="24"/>
                <w:highlight w:val="none"/>
              </w:rPr>
              <w:t>43822.36</w:t>
            </w:r>
          </w:p>
        </w:tc>
        <w:tc>
          <w:tcPr>
            <w:tcW w:w="1015"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4"/>
                <w:szCs w:val="24"/>
                <w:highlight w:val="none"/>
              </w:rPr>
            </w:pPr>
          </w:p>
        </w:tc>
        <w:tc>
          <w:tcPr>
            <w:tcW w:w="151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4"/>
                <w:szCs w:val="24"/>
                <w:highlight w:val="none"/>
              </w:rPr>
            </w:pPr>
            <w:r>
              <w:rPr>
                <w:rFonts w:hint="eastAsia" w:eastAsiaTheme="minorEastAsia"/>
                <w:sz w:val="24"/>
                <w:szCs w:val="24"/>
                <w:highlight w:val="none"/>
              </w:rPr>
              <w:t>--</w:t>
            </w:r>
          </w:p>
        </w:tc>
        <w:tc>
          <w:tcPr>
            <w:tcW w:w="2380"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eastAsiaTheme="minorEastAsia"/>
                <w:sz w:val="24"/>
                <w:szCs w:val="24"/>
                <w:highlight w:val="none"/>
              </w:rPr>
            </w:pPr>
            <w:r>
              <w:rPr>
                <w:rFonts w:hint="eastAsia" w:eastAsiaTheme="minorEastAsia"/>
                <w:sz w:val="24"/>
                <w:szCs w:val="24"/>
                <w:highlight w:val="none"/>
              </w:rPr>
              <w:t>--</w:t>
            </w:r>
          </w:p>
        </w:tc>
      </w:tr>
    </w:tbl>
    <w:p>
      <w:pPr>
        <w:pStyle w:val="4"/>
      </w:pPr>
      <w:r>
        <w:t>2.</w:t>
      </w:r>
      <w:r>
        <w:rPr>
          <w:rFonts w:hint="eastAsia"/>
          <w:lang w:val="en-US" w:eastAsia="zh-CN"/>
        </w:rPr>
        <w:t>3</w:t>
      </w:r>
      <w:r>
        <w:t>.4噪声</w:t>
      </w:r>
      <w:bookmarkEnd w:id="129"/>
      <w:bookmarkEnd w:id="130"/>
    </w:p>
    <w:p>
      <w:pPr>
        <w:spacing w:line="360" w:lineRule="auto"/>
        <w:ind w:firstLine="585" w:firstLineChars="212"/>
        <w:rPr>
          <w:szCs w:val="28"/>
        </w:rPr>
      </w:pPr>
      <w:r>
        <w:rPr>
          <w:color w:val="000000"/>
        </w:rPr>
        <w:t>公司</w:t>
      </w:r>
      <w:r>
        <w:rPr>
          <w:rFonts w:hint="eastAsia"/>
          <w:color w:val="000000"/>
          <w:lang w:eastAsia="zh-CN"/>
        </w:rPr>
        <w:t>生产过程中</w:t>
      </w:r>
      <w:r>
        <w:rPr>
          <w:color w:val="000000"/>
        </w:rPr>
        <w:t>噪声污染源主要为泵类、风机、空压机、冷却塔</w:t>
      </w:r>
      <w:r>
        <w:rPr>
          <w:rFonts w:hint="eastAsia"/>
          <w:color w:val="000000"/>
        </w:rPr>
        <w:t>等</w:t>
      </w:r>
      <w:r>
        <w:rPr>
          <w:color w:val="000000"/>
        </w:rPr>
        <w:t>，其噪声值范围在</w:t>
      </w:r>
      <w:r>
        <w:rPr>
          <w:rFonts w:hint="eastAsia"/>
          <w:color w:val="000000"/>
          <w:lang w:val="en-US" w:eastAsia="zh-CN"/>
        </w:rPr>
        <w:t>80</w:t>
      </w:r>
      <w:r>
        <w:rPr>
          <w:color w:val="000000"/>
        </w:rPr>
        <w:t>～</w:t>
      </w:r>
      <w:r>
        <w:rPr>
          <w:rFonts w:hint="eastAsia"/>
          <w:color w:val="000000"/>
          <w:lang w:val="en-US" w:eastAsia="zh-CN"/>
        </w:rPr>
        <w:t>100</w:t>
      </w:r>
      <w:r>
        <w:rPr>
          <w:color w:val="000000"/>
        </w:rPr>
        <w:t>dB(A)。</w:t>
      </w:r>
      <w:r>
        <w:rPr>
          <w:rFonts w:hint="eastAsia"/>
          <w:color w:val="000000"/>
          <w:lang w:eastAsia="zh-CN"/>
        </w:rPr>
        <w:t>公司使用</w:t>
      </w:r>
      <w:r>
        <w:rPr>
          <w:color w:val="000000"/>
        </w:rPr>
        <w:t>低噪声的设备、合理的布局和隔音减噪处理后边界噪声能达到《工业企业厂界环境噪声排放标准》(GB12348-2008)</w:t>
      </w:r>
      <w:r>
        <w:rPr>
          <w:rFonts w:hint="eastAsia"/>
          <w:color w:val="000000"/>
          <w:lang w:val="en-US" w:eastAsia="zh-CN"/>
        </w:rPr>
        <w:t>3</w:t>
      </w:r>
      <w:r>
        <w:rPr>
          <w:color w:val="000000"/>
        </w:rPr>
        <w:t>类标准。</w:t>
      </w:r>
    </w:p>
    <w:p>
      <w:pPr>
        <w:pStyle w:val="3"/>
      </w:pPr>
      <w:bookmarkStart w:id="131" w:name="_Toc12233"/>
      <w:bookmarkStart w:id="132" w:name="_Toc29246"/>
      <w:bookmarkStart w:id="133" w:name="_Toc21431"/>
      <w:bookmarkStart w:id="134" w:name="_Toc9037"/>
      <w:r>
        <w:t>2.</w:t>
      </w:r>
      <w:r>
        <w:rPr>
          <w:rFonts w:hint="eastAsia"/>
          <w:lang w:val="en-US" w:eastAsia="zh-CN"/>
        </w:rPr>
        <w:t>4</w:t>
      </w:r>
      <w:r>
        <w:t xml:space="preserve"> 执行环境标准</w:t>
      </w:r>
      <w:bookmarkEnd w:id="131"/>
      <w:bookmarkEnd w:id="132"/>
      <w:bookmarkEnd w:id="133"/>
      <w:bookmarkEnd w:id="134"/>
    </w:p>
    <w:p>
      <w:pPr>
        <w:pStyle w:val="4"/>
      </w:pPr>
      <w:bookmarkStart w:id="135" w:name="_Toc5517"/>
      <w:bookmarkStart w:id="136" w:name="_Toc23210"/>
      <w:r>
        <w:t>2.</w:t>
      </w:r>
      <w:r>
        <w:rPr>
          <w:rFonts w:hint="eastAsia"/>
          <w:lang w:val="en-US" w:eastAsia="zh-CN"/>
        </w:rPr>
        <w:t>4</w:t>
      </w:r>
      <w:r>
        <w:t>.1环境质量标准</w:t>
      </w:r>
      <w:bookmarkEnd w:id="135"/>
      <w:bookmarkEnd w:id="136"/>
    </w:p>
    <w:p>
      <w:pPr>
        <w:spacing w:before="120" w:beforeLines="50" w:line="360" w:lineRule="auto"/>
        <w:ind w:firstLine="19" w:firstLineChars="7"/>
        <w:rPr>
          <w:szCs w:val="28"/>
        </w:rPr>
      </w:pPr>
      <w:r>
        <w:rPr>
          <w:szCs w:val="28"/>
        </w:rPr>
        <w:t>1、水环境：执行《地表水环境质量标准》(GB 3838-2002)执行</w:t>
      </w:r>
      <w:r>
        <w:rPr>
          <w:rFonts w:hint="eastAsia"/>
          <w:szCs w:val="28"/>
        </w:rPr>
        <w:t>Ⅳ</w:t>
      </w:r>
      <w:r>
        <w:rPr>
          <w:szCs w:val="28"/>
        </w:rPr>
        <w:t>类标准。</w:t>
      </w:r>
    </w:p>
    <w:p>
      <w:pPr>
        <w:spacing w:before="120" w:beforeLines="50" w:line="360" w:lineRule="auto"/>
        <w:ind w:firstLine="19" w:firstLineChars="7"/>
        <w:rPr>
          <w:szCs w:val="28"/>
        </w:rPr>
      </w:pPr>
      <w:r>
        <w:rPr>
          <w:szCs w:val="28"/>
        </w:rPr>
        <w:t>2、大气环境：执行《环境空气质量标准》(GB 3095-2012)二级标准。</w:t>
      </w:r>
    </w:p>
    <w:p>
      <w:pPr>
        <w:spacing w:before="120" w:beforeLines="50" w:line="360" w:lineRule="auto"/>
        <w:ind w:firstLine="19" w:firstLineChars="7"/>
        <w:rPr>
          <w:szCs w:val="28"/>
        </w:rPr>
      </w:pPr>
      <w:r>
        <w:rPr>
          <w:szCs w:val="28"/>
        </w:rPr>
        <w:t xml:space="preserve">3、噪声：执行《声环境质量标准》(GB 3096-2008) </w:t>
      </w:r>
      <w:r>
        <w:rPr>
          <w:rFonts w:hint="eastAsia"/>
          <w:szCs w:val="28"/>
          <w:lang w:val="en-US" w:eastAsia="zh-CN"/>
        </w:rPr>
        <w:t>3</w:t>
      </w:r>
      <w:r>
        <w:rPr>
          <w:szCs w:val="28"/>
        </w:rPr>
        <w:t>类标准。</w:t>
      </w:r>
    </w:p>
    <w:p>
      <w:pPr>
        <w:spacing w:before="120" w:beforeLines="50" w:line="360" w:lineRule="auto"/>
        <w:ind w:firstLine="19" w:firstLineChars="7"/>
        <w:rPr>
          <w:szCs w:val="28"/>
        </w:rPr>
      </w:pPr>
      <w:r>
        <w:rPr>
          <w:rFonts w:hint="eastAsia"/>
          <w:szCs w:val="28"/>
          <w:lang w:val="en-US" w:eastAsia="zh-CN"/>
        </w:rPr>
        <w:t>4</w:t>
      </w:r>
      <w:r>
        <w:rPr>
          <w:szCs w:val="28"/>
        </w:rPr>
        <w:t>、</w:t>
      </w:r>
      <w:r>
        <w:rPr>
          <w:rFonts w:hint="eastAsia"/>
          <w:szCs w:val="28"/>
          <w:lang w:eastAsia="zh-CN"/>
        </w:rPr>
        <w:t>地下水：</w:t>
      </w:r>
      <w:r>
        <w:rPr>
          <w:szCs w:val="28"/>
        </w:rPr>
        <w:t>《地下水质量标准》（GB/T14848-2017）V 类标准；</w:t>
      </w:r>
    </w:p>
    <w:p>
      <w:pPr>
        <w:spacing w:before="120" w:beforeLines="50" w:line="360" w:lineRule="auto"/>
        <w:ind w:firstLine="19" w:firstLineChars="7"/>
        <w:rPr>
          <w:szCs w:val="28"/>
        </w:rPr>
      </w:pPr>
      <w:r>
        <w:rPr>
          <w:rFonts w:hint="eastAsia"/>
          <w:szCs w:val="28"/>
          <w:lang w:val="en-US" w:eastAsia="zh-CN"/>
        </w:rPr>
        <w:t>5</w:t>
      </w:r>
      <w:r>
        <w:rPr>
          <w:szCs w:val="28"/>
        </w:rPr>
        <w:t>、</w:t>
      </w:r>
      <w:r>
        <w:rPr>
          <w:rFonts w:hint="eastAsia"/>
          <w:szCs w:val="28"/>
          <w:lang w:eastAsia="zh-CN"/>
        </w:rPr>
        <w:t>土壤：</w:t>
      </w:r>
      <w:r>
        <w:rPr>
          <w:szCs w:val="28"/>
        </w:rPr>
        <w:t>《土壤环境质量建设用地土壤污染风险管控标准（试行）》（GB36600-2018）</w:t>
      </w:r>
    </w:p>
    <w:p>
      <w:pPr>
        <w:pStyle w:val="4"/>
      </w:pPr>
      <w:bookmarkStart w:id="137" w:name="_Toc20440"/>
      <w:bookmarkStart w:id="138" w:name="_Toc25990"/>
      <w:r>
        <w:t>2.</w:t>
      </w:r>
      <w:r>
        <w:rPr>
          <w:rFonts w:hint="eastAsia"/>
          <w:lang w:val="en-US" w:eastAsia="zh-CN"/>
        </w:rPr>
        <w:t>4</w:t>
      </w:r>
      <w:r>
        <w:t>.2环境排放标准</w:t>
      </w:r>
      <w:bookmarkEnd w:id="137"/>
      <w:bookmarkEnd w:id="138"/>
    </w:p>
    <w:p>
      <w:pPr>
        <w:spacing w:line="360" w:lineRule="auto"/>
        <w:ind w:firstLine="552" w:firstLineChars="200"/>
        <w:rPr>
          <w:szCs w:val="28"/>
        </w:rPr>
      </w:pPr>
      <w:r>
        <w:rPr>
          <w:szCs w:val="28"/>
        </w:rPr>
        <w:t>1、废水：执行《广东省水污染物排放限值》（DB44/26-2001）</w:t>
      </w:r>
      <w:r>
        <w:rPr>
          <w:rFonts w:hint="eastAsia"/>
          <w:szCs w:val="28"/>
          <w:lang w:eastAsia="zh-CN"/>
        </w:rPr>
        <w:t>一</w:t>
      </w:r>
      <w:r>
        <w:rPr>
          <w:szCs w:val="28"/>
        </w:rPr>
        <w:t>级标准（第二时段）；《城镇污水处理厂污染物排放标准》（GB18918-2002）一级 B 标准</w:t>
      </w:r>
      <w:r>
        <w:rPr>
          <w:rFonts w:hint="eastAsia"/>
          <w:szCs w:val="28"/>
        </w:rPr>
        <w:t>。</w:t>
      </w:r>
    </w:p>
    <w:p>
      <w:pPr>
        <w:numPr>
          <w:ilvl w:val="0"/>
          <w:numId w:val="2"/>
        </w:numPr>
        <w:spacing w:line="360" w:lineRule="auto"/>
        <w:ind w:firstLine="552" w:firstLineChars="200"/>
        <w:rPr>
          <w:szCs w:val="28"/>
        </w:rPr>
      </w:pPr>
      <w:r>
        <w:rPr>
          <w:szCs w:val="28"/>
        </w:rPr>
        <w:t>废气：</w:t>
      </w:r>
      <w:r>
        <w:rPr>
          <w:rFonts w:hint="eastAsia"/>
          <w:szCs w:val="28"/>
          <w:lang w:eastAsia="zh-CN"/>
        </w:rPr>
        <w:t>恶臭</w:t>
      </w:r>
      <w:r>
        <w:rPr>
          <w:szCs w:val="28"/>
        </w:rPr>
        <w:t>执行《恶臭污染物排放标准》（GB14554-93）；</w:t>
      </w:r>
      <w:r>
        <w:rPr>
          <w:rFonts w:hint="eastAsia"/>
          <w:bCs/>
          <w:szCs w:val="28"/>
          <w:lang w:eastAsia="zh-CN"/>
        </w:rPr>
        <w:t>锅炉燃烧</w:t>
      </w:r>
      <w:r>
        <w:rPr>
          <w:rFonts w:hint="eastAsia"/>
          <w:bCs/>
          <w:szCs w:val="28"/>
        </w:rPr>
        <w:t>废气广东省地方标准《锅炉大气污染物排放标准》（DB44/765-2019）</w:t>
      </w:r>
      <w:r>
        <w:rPr>
          <w:rFonts w:hint="eastAsia"/>
          <w:bCs/>
          <w:szCs w:val="28"/>
          <w:lang w:eastAsia="zh-CN"/>
        </w:rPr>
        <w:t>；火炬燃烧废气广东省地方标准《大气污染物排放限值》（DB44/27-2001）第二时段二级标准限值；食堂油烟执行《饮食业油烟排放标准》（试行）(GB18483-2001)中小型标准要求</w:t>
      </w:r>
      <w:r>
        <w:rPr>
          <w:rFonts w:hint="eastAsia"/>
          <w:szCs w:val="28"/>
        </w:rPr>
        <w:t>。</w:t>
      </w:r>
    </w:p>
    <w:p>
      <w:pPr>
        <w:numPr>
          <w:ilvl w:val="0"/>
          <w:numId w:val="2"/>
        </w:numPr>
        <w:spacing w:line="360" w:lineRule="auto"/>
        <w:ind w:firstLine="552" w:firstLineChars="200"/>
        <w:rPr>
          <w:szCs w:val="28"/>
        </w:rPr>
      </w:pPr>
      <w:r>
        <w:rPr>
          <w:szCs w:val="28"/>
        </w:rPr>
        <w:t>噪声：执行《工业企业厂界环境噪声排放标准》（GB 12348-2008）的</w:t>
      </w:r>
      <w:r>
        <w:rPr>
          <w:rFonts w:hint="eastAsia"/>
          <w:szCs w:val="28"/>
          <w:lang w:val="en-US" w:eastAsia="zh-CN"/>
        </w:rPr>
        <w:t>3</w:t>
      </w:r>
      <w:r>
        <w:rPr>
          <w:szCs w:val="28"/>
        </w:rPr>
        <w:t>类标准。</w:t>
      </w:r>
    </w:p>
    <w:p>
      <w:pPr>
        <w:spacing w:line="360" w:lineRule="auto"/>
        <w:ind w:firstLine="552" w:firstLineChars="200"/>
        <w:rPr>
          <w:szCs w:val="28"/>
        </w:rPr>
      </w:pPr>
      <w:r>
        <w:rPr>
          <w:szCs w:val="28"/>
        </w:rPr>
        <w:t>4、固体废物：执行《一般工业废物贮存、处理场污染控制标准》（GB18599-2001）、《危险废物贮存污染控制标准》（GB18597-2001）</w:t>
      </w:r>
      <w:r>
        <w:rPr>
          <w:rFonts w:hint="eastAsia"/>
          <w:szCs w:val="28"/>
        </w:rPr>
        <w:t>及修改清单</w:t>
      </w:r>
      <w:r>
        <w:rPr>
          <w:szCs w:val="28"/>
        </w:rPr>
        <w:t>。</w:t>
      </w:r>
    </w:p>
    <w:p>
      <w:pPr>
        <w:pStyle w:val="3"/>
      </w:pPr>
      <w:bookmarkStart w:id="139" w:name="_Toc23502"/>
      <w:bookmarkStart w:id="140" w:name="_Toc28783"/>
      <w:bookmarkStart w:id="141" w:name="_Toc4279"/>
      <w:bookmarkStart w:id="142" w:name="_Toc745"/>
      <w:r>
        <w:t>2.</w:t>
      </w:r>
      <w:r>
        <w:rPr>
          <w:rFonts w:hint="eastAsia"/>
          <w:lang w:val="en-US" w:eastAsia="zh-CN"/>
        </w:rPr>
        <w:t>5</w:t>
      </w:r>
      <w:r>
        <w:t xml:space="preserve"> 周边环境状况及环境保护目标</w:t>
      </w:r>
      <w:bookmarkEnd w:id="139"/>
      <w:bookmarkEnd w:id="140"/>
      <w:bookmarkEnd w:id="141"/>
      <w:bookmarkEnd w:id="142"/>
    </w:p>
    <w:p>
      <w:pPr>
        <w:pStyle w:val="4"/>
      </w:pPr>
      <w:bookmarkStart w:id="143" w:name="_Toc7659"/>
      <w:bookmarkStart w:id="144" w:name="_Toc21506"/>
      <w:r>
        <w:t>2.</w:t>
      </w:r>
      <w:r>
        <w:rPr>
          <w:rFonts w:hint="eastAsia"/>
          <w:lang w:val="en-US" w:eastAsia="zh-CN"/>
        </w:rPr>
        <w:t>5</w:t>
      </w:r>
      <w:r>
        <w:t>.1周围环境状况</w:t>
      </w:r>
      <w:bookmarkEnd w:id="143"/>
      <w:bookmarkEnd w:id="144"/>
    </w:p>
    <w:p>
      <w:pPr>
        <w:pStyle w:val="17"/>
        <w:spacing w:before="120" w:beforeLines="50"/>
        <w:rPr>
          <w:rFonts w:ascii="Times New Roman" w:hAnsi="Times New Roman"/>
        </w:rPr>
      </w:pPr>
      <w:r>
        <w:rPr>
          <w:rFonts w:hint="eastAsia" w:ascii="Times New Roman" w:hAnsi="Times New Roman"/>
          <w:lang w:eastAsia="zh-CN"/>
        </w:rPr>
        <w:t>中山市民东有机废物处理有限公司</w:t>
      </w:r>
      <w:r>
        <w:rPr>
          <w:rFonts w:ascii="Times New Roman" w:hAnsi="Times New Roman"/>
        </w:rPr>
        <w:t>位于中山市民众镇沙仔村下围生态 环保产业园内，</w:t>
      </w:r>
      <w:r>
        <w:rPr>
          <w:rFonts w:hint="eastAsia" w:ascii="Times New Roman" w:hAnsi="Times New Roman"/>
          <w:lang w:eastAsia="zh-CN"/>
        </w:rPr>
        <w:t>公司</w:t>
      </w:r>
      <w:r>
        <w:rPr>
          <w:rFonts w:hint="eastAsia" w:ascii="Times New Roman" w:hAnsi="Times New Roman"/>
        </w:rPr>
        <w:t>南面紧临沙仔沥涌，隔涌为农田</w:t>
      </w:r>
      <w:r>
        <w:rPr>
          <w:rFonts w:hint="eastAsia" w:ascii="Times New Roman" w:hAnsi="Times New Roman"/>
          <w:lang w:eastAsia="zh-CN"/>
        </w:rPr>
        <w:t>，</w:t>
      </w:r>
      <w:r>
        <w:rPr>
          <w:rFonts w:hint="eastAsia" w:ascii="Times New Roman" w:hAnsi="Times New Roman"/>
        </w:rPr>
        <w:t>西面紧邻空地</w:t>
      </w:r>
      <w:r>
        <w:rPr>
          <w:rFonts w:hint="eastAsia" w:ascii="Times New Roman" w:hAnsi="Times New Roman"/>
          <w:lang w:eastAsia="zh-CN"/>
        </w:rPr>
        <w:t>，</w:t>
      </w:r>
      <w:r>
        <w:rPr>
          <w:rFonts w:hint="eastAsia" w:ascii="Times New Roman" w:hAnsi="Times New Roman"/>
        </w:rPr>
        <w:t>北面紧邻未命名道路，隔路为空地</w:t>
      </w:r>
      <w:r>
        <w:rPr>
          <w:rFonts w:hint="eastAsia" w:ascii="Times New Roman" w:hAnsi="Times New Roman"/>
          <w:lang w:eastAsia="zh-CN"/>
        </w:rPr>
        <w:t>，</w:t>
      </w:r>
      <w:r>
        <w:rPr>
          <w:rFonts w:hint="eastAsia" w:ascii="Times New Roman" w:hAnsi="Times New Roman"/>
        </w:rPr>
        <w:t>东面紧邻未命名道路，隔路为广东赢胜节能有限公司和空地</w:t>
      </w:r>
      <w:r>
        <w:rPr>
          <w:rFonts w:ascii="Times New Roman" w:hAnsi="Times New Roman"/>
        </w:rPr>
        <w:t>。公司所在地及周边无文物古迹，无自然保护区、风景游览区、疗养区、温泉以及重要的政治文化设施等景观；</w:t>
      </w:r>
      <w:r>
        <w:rPr>
          <w:rFonts w:hint="eastAsia" w:ascii="Times New Roman" w:hAnsi="Times New Roman"/>
          <w:lang w:eastAsia="zh-CN"/>
        </w:rPr>
        <w:t>最近居民区距离</w:t>
      </w:r>
      <w:r>
        <w:rPr>
          <w:rFonts w:ascii="Times New Roman" w:hAnsi="Times New Roman"/>
        </w:rPr>
        <w:t>公司厂界</w:t>
      </w:r>
      <w:r>
        <w:rPr>
          <w:rFonts w:hint="eastAsia" w:ascii="Times New Roman" w:hAnsi="Times New Roman"/>
          <w:lang w:eastAsia="zh-CN"/>
        </w:rPr>
        <w:t>约</w:t>
      </w:r>
      <w:r>
        <w:rPr>
          <w:rFonts w:hint="eastAsia" w:ascii="Times New Roman" w:hAnsi="Times New Roman"/>
          <w:lang w:val="en-US" w:eastAsia="zh-CN"/>
        </w:rPr>
        <w:t>380</w:t>
      </w:r>
      <w:r>
        <w:rPr>
          <w:rFonts w:ascii="Times New Roman" w:hAnsi="Times New Roman"/>
        </w:rPr>
        <w:t>m。</w:t>
      </w:r>
    </w:p>
    <w:p>
      <w:pPr>
        <w:pStyle w:val="4"/>
      </w:pPr>
      <w:bookmarkStart w:id="145" w:name="_Toc5946"/>
      <w:bookmarkStart w:id="146" w:name="_Toc20850"/>
      <w:r>
        <w:t>2.</w:t>
      </w:r>
      <w:r>
        <w:rPr>
          <w:rFonts w:hint="eastAsia"/>
          <w:lang w:val="en-US" w:eastAsia="zh-CN"/>
        </w:rPr>
        <w:t>5</w:t>
      </w:r>
      <w:r>
        <w:t>.2环境保护目标</w:t>
      </w:r>
      <w:bookmarkEnd w:id="145"/>
      <w:bookmarkEnd w:id="146"/>
    </w:p>
    <w:p>
      <w:pPr>
        <w:tabs>
          <w:tab w:val="left" w:pos="360"/>
        </w:tabs>
        <w:snapToGrid w:val="0"/>
        <w:spacing w:line="360" w:lineRule="auto"/>
        <w:ind w:left="360" w:hanging="360"/>
        <w:rPr>
          <w:szCs w:val="28"/>
        </w:rPr>
      </w:pPr>
      <w:r>
        <w:rPr>
          <w:rFonts w:ascii="宋体"/>
          <w:szCs w:val="28"/>
        </w:rPr>
        <w:t>①</w:t>
      </w:r>
      <w:r>
        <w:rPr>
          <w:szCs w:val="28"/>
        </w:rPr>
        <w:t xml:space="preserve"> 水环境保护目标  </w:t>
      </w:r>
    </w:p>
    <w:p>
      <w:pPr>
        <w:snapToGrid w:val="0"/>
        <w:spacing w:line="360" w:lineRule="auto"/>
        <w:ind w:firstLine="552" w:firstLineChars="200"/>
        <w:rPr>
          <w:rFonts w:hint="eastAsia" w:eastAsia="宋体"/>
          <w:szCs w:val="28"/>
          <w:lang w:eastAsia="zh-CN"/>
        </w:rPr>
      </w:pPr>
      <w:r>
        <w:rPr>
          <w:szCs w:val="28"/>
        </w:rPr>
        <w:t>水环境保护目标是在本公司</w:t>
      </w:r>
      <w:r>
        <w:rPr>
          <w:rFonts w:hint="eastAsia"/>
          <w:szCs w:val="28"/>
          <w:lang w:eastAsia="zh-CN"/>
        </w:rPr>
        <w:t>生产运营</w:t>
      </w:r>
      <w:r>
        <w:rPr>
          <w:szCs w:val="28"/>
        </w:rPr>
        <w:t>后周围的河流水质不受明显的影响</w:t>
      </w:r>
      <w:r>
        <w:rPr>
          <w:rFonts w:hint="eastAsia"/>
          <w:szCs w:val="28"/>
          <w:lang w:eastAsia="zh-CN"/>
        </w:rPr>
        <w:t>。</w:t>
      </w:r>
    </w:p>
    <w:p>
      <w:pPr>
        <w:tabs>
          <w:tab w:val="left" w:pos="360"/>
        </w:tabs>
        <w:snapToGrid w:val="0"/>
        <w:spacing w:line="360" w:lineRule="auto"/>
        <w:ind w:left="360" w:hanging="360"/>
        <w:rPr>
          <w:szCs w:val="28"/>
        </w:rPr>
      </w:pPr>
      <w:r>
        <w:rPr>
          <w:rFonts w:ascii="宋体"/>
          <w:szCs w:val="28"/>
        </w:rPr>
        <w:t>②</w:t>
      </w:r>
      <w:r>
        <w:rPr>
          <w:szCs w:val="28"/>
        </w:rPr>
        <w:t xml:space="preserve"> 环境空气保护目标</w:t>
      </w:r>
    </w:p>
    <w:p>
      <w:pPr>
        <w:tabs>
          <w:tab w:val="left" w:pos="360"/>
        </w:tabs>
        <w:snapToGrid w:val="0"/>
        <w:spacing w:line="360" w:lineRule="auto"/>
        <w:ind w:firstLine="560"/>
        <w:rPr>
          <w:szCs w:val="28"/>
        </w:rPr>
      </w:pPr>
      <w:r>
        <w:rPr>
          <w:szCs w:val="28"/>
        </w:rPr>
        <w:t>环境空气保护目标是周围地区的环境在本公司</w:t>
      </w:r>
      <w:r>
        <w:rPr>
          <w:rFonts w:hint="eastAsia"/>
          <w:szCs w:val="28"/>
          <w:lang w:eastAsia="zh-CN"/>
        </w:rPr>
        <w:t>生产运营</w:t>
      </w:r>
      <w:r>
        <w:rPr>
          <w:szCs w:val="28"/>
        </w:rPr>
        <w:t>后不受明显影响，保护该区域环境空气质量符合《环境空气质量标准》(GB3095-2012)二类标准。</w:t>
      </w:r>
    </w:p>
    <w:p>
      <w:pPr>
        <w:tabs>
          <w:tab w:val="left" w:pos="360"/>
        </w:tabs>
        <w:snapToGrid w:val="0"/>
        <w:spacing w:line="360" w:lineRule="auto"/>
        <w:ind w:left="360" w:hanging="360"/>
        <w:rPr>
          <w:szCs w:val="28"/>
        </w:rPr>
      </w:pPr>
      <w:r>
        <w:rPr>
          <w:rFonts w:ascii="宋体"/>
          <w:szCs w:val="28"/>
        </w:rPr>
        <w:t>③</w:t>
      </w:r>
      <w:r>
        <w:rPr>
          <w:szCs w:val="28"/>
        </w:rPr>
        <w:t xml:space="preserve"> 声环境保护目标</w:t>
      </w:r>
    </w:p>
    <w:p>
      <w:pPr>
        <w:spacing w:line="360" w:lineRule="auto"/>
        <w:ind w:firstLine="552" w:firstLineChars="200"/>
        <w:rPr>
          <w:rFonts w:hint="eastAsia" w:eastAsia="宋体"/>
          <w:szCs w:val="28"/>
          <w:lang w:eastAsia="zh-CN"/>
        </w:rPr>
        <w:sectPr>
          <w:pgSz w:w="11906" w:h="16838"/>
          <w:pgMar w:top="1418" w:right="1418" w:bottom="1418" w:left="1418" w:header="851" w:footer="959" w:gutter="0"/>
          <w:pgBorders>
            <w:top w:val="none" w:sz="0" w:space="0"/>
            <w:left w:val="none" w:sz="0" w:space="0"/>
            <w:bottom w:val="none" w:sz="0" w:space="0"/>
            <w:right w:val="none" w:sz="0" w:space="0"/>
          </w:pgBorders>
          <w:pgNumType w:fmt="decimal"/>
          <w:cols w:space="720" w:num="1"/>
          <w:docGrid w:linePitch="381" w:charSpace="0"/>
        </w:sectPr>
      </w:pPr>
      <w:r>
        <w:rPr>
          <w:szCs w:val="28"/>
        </w:rPr>
        <w:t>该区域主要声环境保护目标是该区域的声环境达到《声环境质量标准》(GB 3096－2008)中的</w:t>
      </w:r>
      <w:r>
        <w:rPr>
          <w:rFonts w:hint="eastAsia"/>
          <w:szCs w:val="28"/>
          <w:lang w:val="en-US" w:eastAsia="zh-CN"/>
        </w:rPr>
        <w:t>3</w:t>
      </w:r>
      <w:r>
        <w:rPr>
          <w:szCs w:val="28"/>
        </w:rPr>
        <w:t>类标准</w:t>
      </w:r>
      <w:r>
        <w:rPr>
          <w:rFonts w:hint="eastAsia"/>
          <w:szCs w:val="28"/>
          <w:lang w:eastAsia="zh-CN"/>
        </w:rPr>
        <w:t>。</w:t>
      </w:r>
    </w:p>
    <w:p>
      <w:pPr>
        <w:spacing w:line="480" w:lineRule="exact"/>
        <w:ind w:left="-127" w:leftChars="-46" w:firstLine="118" w:firstLineChars="50"/>
        <w:jc w:val="center"/>
        <w:rPr>
          <w:b/>
          <w:sz w:val="24"/>
          <w:szCs w:val="24"/>
        </w:rPr>
      </w:pPr>
      <w:r>
        <w:rPr>
          <w:b/>
          <w:sz w:val="24"/>
          <w:szCs w:val="24"/>
        </w:rPr>
        <w:t>表2-</w:t>
      </w:r>
      <w:r>
        <w:rPr>
          <w:rFonts w:hint="eastAsia"/>
          <w:b/>
          <w:sz w:val="24"/>
          <w:szCs w:val="24"/>
          <w:lang w:val="en-US" w:eastAsia="zh-CN"/>
        </w:rPr>
        <w:t>7</w:t>
      </w:r>
      <w:r>
        <w:rPr>
          <w:b/>
          <w:sz w:val="24"/>
          <w:szCs w:val="24"/>
        </w:rPr>
        <w:t xml:space="preserve"> 周围范围环境保护目标一览表</w:t>
      </w:r>
    </w:p>
    <w:tbl>
      <w:tblPr>
        <w:tblStyle w:val="42"/>
        <w:tblW w:w="14012" w:type="dxa"/>
        <w:tblInd w:w="-6"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680"/>
        <w:gridCol w:w="1281"/>
        <w:gridCol w:w="1278"/>
        <w:gridCol w:w="1691"/>
        <w:gridCol w:w="1920"/>
        <w:gridCol w:w="1925"/>
        <w:gridCol w:w="1048"/>
        <w:gridCol w:w="1601"/>
        <w:gridCol w:w="258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trPr>
        <w:tc>
          <w:tcPr>
            <w:tcW w:w="680" w:type="dxa"/>
            <w:vMerge w:val="restart"/>
            <w:tcBorders>
              <w:tl2br w:val="nil"/>
              <w:tr2bl w:val="nil"/>
            </w:tcBorders>
            <w:vAlign w:val="center"/>
          </w:tcPr>
          <w:p>
            <w:pPr>
              <w:spacing w:line="240" w:lineRule="auto"/>
              <w:jc w:val="center"/>
              <w:rPr>
                <w:rFonts w:hint="eastAsia" w:eastAsiaTheme="minorEastAsia"/>
                <w:b/>
                <w:bCs/>
                <w:sz w:val="24"/>
                <w:szCs w:val="24"/>
                <w:highlight w:val="none"/>
              </w:rPr>
            </w:pPr>
            <w:r>
              <w:rPr>
                <w:rFonts w:hint="eastAsia" w:eastAsiaTheme="minorEastAsia"/>
                <w:b/>
                <w:bCs/>
                <w:sz w:val="24"/>
                <w:szCs w:val="24"/>
                <w:highlight w:val="none"/>
              </w:rPr>
              <w:t>序号</w:t>
            </w:r>
          </w:p>
        </w:tc>
        <w:tc>
          <w:tcPr>
            <w:tcW w:w="4250" w:type="dxa"/>
            <w:gridSpan w:val="3"/>
            <w:tcBorders>
              <w:tl2br w:val="nil"/>
              <w:tr2bl w:val="nil"/>
            </w:tcBorders>
            <w:vAlign w:val="center"/>
          </w:tcPr>
          <w:p>
            <w:pPr>
              <w:spacing w:line="240" w:lineRule="auto"/>
              <w:jc w:val="center"/>
              <w:rPr>
                <w:rFonts w:hint="eastAsia" w:eastAsiaTheme="minorEastAsia"/>
                <w:b/>
                <w:bCs/>
                <w:sz w:val="24"/>
                <w:szCs w:val="24"/>
                <w:highlight w:val="none"/>
              </w:rPr>
            </w:pPr>
            <w:r>
              <w:rPr>
                <w:rFonts w:hint="eastAsia" w:eastAsiaTheme="minorEastAsia"/>
                <w:b/>
                <w:bCs/>
                <w:sz w:val="24"/>
                <w:szCs w:val="24"/>
                <w:highlight w:val="none"/>
              </w:rPr>
              <w:t>敏感点名称</w:t>
            </w:r>
          </w:p>
        </w:tc>
        <w:tc>
          <w:tcPr>
            <w:tcW w:w="1920" w:type="dxa"/>
            <w:vMerge w:val="restart"/>
            <w:tcBorders>
              <w:tl2br w:val="nil"/>
              <w:tr2bl w:val="nil"/>
            </w:tcBorders>
            <w:vAlign w:val="center"/>
          </w:tcPr>
          <w:p>
            <w:pPr>
              <w:spacing w:line="240" w:lineRule="auto"/>
              <w:jc w:val="center"/>
              <w:rPr>
                <w:rFonts w:hint="eastAsia" w:eastAsiaTheme="minorEastAsia"/>
                <w:b/>
                <w:bCs/>
                <w:sz w:val="24"/>
                <w:szCs w:val="24"/>
                <w:highlight w:val="none"/>
              </w:rPr>
            </w:pPr>
            <w:r>
              <w:rPr>
                <w:rFonts w:hint="eastAsia" w:eastAsiaTheme="minorEastAsia"/>
                <w:b/>
                <w:bCs/>
                <w:sz w:val="24"/>
                <w:szCs w:val="24"/>
                <w:highlight w:val="none"/>
              </w:rPr>
              <w:t>性质</w:t>
            </w:r>
          </w:p>
        </w:tc>
        <w:tc>
          <w:tcPr>
            <w:tcW w:w="1925" w:type="dxa"/>
            <w:vMerge w:val="restart"/>
            <w:tcBorders>
              <w:tl2br w:val="nil"/>
              <w:tr2bl w:val="nil"/>
            </w:tcBorders>
            <w:vAlign w:val="center"/>
          </w:tcPr>
          <w:p>
            <w:pPr>
              <w:spacing w:line="240" w:lineRule="auto"/>
              <w:jc w:val="center"/>
              <w:rPr>
                <w:rFonts w:hint="eastAsia" w:eastAsiaTheme="minorEastAsia"/>
                <w:b/>
                <w:bCs/>
                <w:sz w:val="24"/>
                <w:szCs w:val="24"/>
                <w:highlight w:val="none"/>
              </w:rPr>
            </w:pPr>
            <w:r>
              <w:rPr>
                <w:rFonts w:hint="eastAsia" w:eastAsiaTheme="minorEastAsia"/>
                <w:b/>
                <w:bCs/>
                <w:sz w:val="24"/>
                <w:szCs w:val="24"/>
                <w:highlight w:val="none"/>
              </w:rPr>
              <w:t>规模</w:t>
            </w:r>
          </w:p>
        </w:tc>
        <w:tc>
          <w:tcPr>
            <w:tcW w:w="1048" w:type="dxa"/>
            <w:vMerge w:val="restart"/>
            <w:tcBorders>
              <w:tl2br w:val="nil"/>
              <w:tr2bl w:val="nil"/>
            </w:tcBorders>
            <w:vAlign w:val="center"/>
          </w:tcPr>
          <w:p>
            <w:pPr>
              <w:spacing w:line="240" w:lineRule="auto"/>
              <w:jc w:val="center"/>
              <w:rPr>
                <w:rFonts w:hint="eastAsia" w:eastAsiaTheme="minorEastAsia"/>
                <w:b/>
                <w:bCs/>
                <w:sz w:val="24"/>
                <w:szCs w:val="24"/>
                <w:highlight w:val="none"/>
              </w:rPr>
            </w:pPr>
            <w:r>
              <w:rPr>
                <w:rFonts w:hint="eastAsia" w:eastAsiaTheme="minorEastAsia"/>
                <w:b/>
                <w:bCs/>
                <w:sz w:val="24"/>
                <w:szCs w:val="24"/>
                <w:highlight w:val="none"/>
              </w:rPr>
              <w:t>所处方位</w:t>
            </w:r>
          </w:p>
        </w:tc>
        <w:tc>
          <w:tcPr>
            <w:tcW w:w="1601" w:type="dxa"/>
            <w:vMerge w:val="restart"/>
            <w:tcBorders>
              <w:tl2br w:val="nil"/>
              <w:tr2bl w:val="nil"/>
            </w:tcBorders>
            <w:vAlign w:val="center"/>
          </w:tcPr>
          <w:p>
            <w:pPr>
              <w:spacing w:line="240" w:lineRule="auto"/>
              <w:jc w:val="center"/>
              <w:rPr>
                <w:rFonts w:hint="eastAsia" w:eastAsiaTheme="minorEastAsia"/>
                <w:b/>
                <w:bCs/>
                <w:sz w:val="24"/>
                <w:szCs w:val="24"/>
                <w:highlight w:val="none"/>
              </w:rPr>
            </w:pPr>
            <w:r>
              <w:rPr>
                <w:rFonts w:hint="eastAsia" w:eastAsiaTheme="minorEastAsia"/>
                <w:b/>
                <w:bCs/>
                <w:sz w:val="24"/>
                <w:szCs w:val="24"/>
                <w:highlight w:val="none"/>
              </w:rPr>
              <w:t>与项目边界最近距离（m）</w:t>
            </w:r>
          </w:p>
        </w:tc>
        <w:tc>
          <w:tcPr>
            <w:tcW w:w="2588" w:type="dxa"/>
            <w:vMerge w:val="restart"/>
            <w:tcBorders>
              <w:tl2br w:val="nil"/>
              <w:tr2bl w:val="nil"/>
            </w:tcBorders>
            <w:vAlign w:val="center"/>
          </w:tcPr>
          <w:p>
            <w:pPr>
              <w:spacing w:line="240" w:lineRule="auto"/>
              <w:jc w:val="center"/>
              <w:rPr>
                <w:rFonts w:hint="eastAsia" w:eastAsiaTheme="minorEastAsia"/>
                <w:b/>
                <w:bCs/>
                <w:sz w:val="24"/>
                <w:szCs w:val="24"/>
                <w:highlight w:val="none"/>
              </w:rPr>
            </w:pPr>
            <w:r>
              <w:rPr>
                <w:rFonts w:hint="eastAsia" w:eastAsiaTheme="minorEastAsia"/>
                <w:b/>
                <w:bCs/>
                <w:sz w:val="24"/>
                <w:szCs w:val="24"/>
                <w:highlight w:val="none"/>
              </w:rPr>
              <w:t>环境功能区</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trPr>
        <w:tc>
          <w:tcPr>
            <w:tcW w:w="680" w:type="dxa"/>
            <w:vMerge w:val="continue"/>
            <w:tcBorders>
              <w:tl2br w:val="nil"/>
              <w:tr2bl w:val="nil"/>
            </w:tcBorders>
            <w:vAlign w:val="center"/>
          </w:tcPr>
          <w:p>
            <w:pPr>
              <w:spacing w:line="240" w:lineRule="auto"/>
              <w:jc w:val="center"/>
              <w:rPr>
                <w:rFonts w:hint="eastAsia" w:eastAsiaTheme="minorEastAsia"/>
                <w:sz w:val="24"/>
                <w:szCs w:val="24"/>
                <w:highlight w:val="none"/>
              </w:rPr>
            </w:pPr>
          </w:p>
        </w:tc>
        <w:tc>
          <w:tcPr>
            <w:tcW w:w="1281" w:type="dxa"/>
            <w:tcBorders>
              <w:tl2br w:val="nil"/>
              <w:tr2bl w:val="nil"/>
            </w:tcBorders>
            <w:vAlign w:val="center"/>
          </w:tcPr>
          <w:p>
            <w:pPr>
              <w:spacing w:line="240" w:lineRule="auto"/>
              <w:jc w:val="center"/>
              <w:rPr>
                <w:rFonts w:hint="eastAsia" w:eastAsiaTheme="minorEastAsia"/>
                <w:b/>
                <w:bCs/>
                <w:sz w:val="24"/>
                <w:szCs w:val="24"/>
                <w:highlight w:val="none"/>
              </w:rPr>
            </w:pPr>
            <w:r>
              <w:rPr>
                <w:rFonts w:hint="eastAsia" w:eastAsiaTheme="minorEastAsia"/>
                <w:b/>
                <w:bCs/>
                <w:sz w:val="24"/>
                <w:szCs w:val="24"/>
                <w:highlight w:val="none"/>
              </w:rPr>
              <w:t>所属地</w:t>
            </w:r>
          </w:p>
        </w:tc>
        <w:tc>
          <w:tcPr>
            <w:tcW w:w="1278" w:type="dxa"/>
            <w:tcBorders>
              <w:tl2br w:val="nil"/>
              <w:tr2bl w:val="nil"/>
            </w:tcBorders>
            <w:vAlign w:val="center"/>
          </w:tcPr>
          <w:p>
            <w:pPr>
              <w:spacing w:line="240" w:lineRule="auto"/>
              <w:jc w:val="center"/>
              <w:rPr>
                <w:rFonts w:hint="eastAsia" w:eastAsiaTheme="minorEastAsia"/>
                <w:b/>
                <w:bCs/>
                <w:sz w:val="24"/>
                <w:szCs w:val="24"/>
                <w:highlight w:val="none"/>
              </w:rPr>
            </w:pPr>
            <w:r>
              <w:rPr>
                <w:rFonts w:hint="eastAsia" w:eastAsiaTheme="minorEastAsia"/>
                <w:b/>
                <w:bCs/>
                <w:sz w:val="24"/>
                <w:szCs w:val="24"/>
                <w:highlight w:val="none"/>
              </w:rPr>
              <w:t>行政村</w:t>
            </w:r>
          </w:p>
        </w:tc>
        <w:tc>
          <w:tcPr>
            <w:tcW w:w="1691" w:type="dxa"/>
            <w:tcBorders>
              <w:tl2br w:val="nil"/>
              <w:tr2bl w:val="nil"/>
            </w:tcBorders>
            <w:vAlign w:val="center"/>
          </w:tcPr>
          <w:p>
            <w:pPr>
              <w:spacing w:line="240" w:lineRule="auto"/>
              <w:jc w:val="center"/>
              <w:rPr>
                <w:rFonts w:hint="eastAsia" w:eastAsiaTheme="minorEastAsia"/>
                <w:b/>
                <w:bCs/>
                <w:sz w:val="24"/>
                <w:szCs w:val="24"/>
                <w:highlight w:val="none"/>
              </w:rPr>
            </w:pPr>
            <w:r>
              <w:rPr>
                <w:rFonts w:hint="eastAsia" w:eastAsiaTheme="minorEastAsia"/>
                <w:b/>
                <w:bCs/>
                <w:sz w:val="24"/>
                <w:szCs w:val="24"/>
                <w:highlight w:val="none"/>
              </w:rPr>
              <w:t>自然村/小组</w:t>
            </w:r>
          </w:p>
        </w:tc>
        <w:tc>
          <w:tcPr>
            <w:tcW w:w="1920" w:type="dxa"/>
            <w:vMerge w:val="continue"/>
            <w:tcBorders>
              <w:tl2br w:val="nil"/>
              <w:tr2bl w:val="nil"/>
            </w:tcBorders>
            <w:vAlign w:val="center"/>
          </w:tcPr>
          <w:p>
            <w:pPr>
              <w:spacing w:line="240" w:lineRule="auto"/>
              <w:jc w:val="center"/>
              <w:rPr>
                <w:rFonts w:hint="eastAsia" w:eastAsiaTheme="minorEastAsia"/>
                <w:sz w:val="24"/>
                <w:szCs w:val="24"/>
                <w:highlight w:val="none"/>
              </w:rPr>
            </w:pPr>
          </w:p>
        </w:tc>
        <w:tc>
          <w:tcPr>
            <w:tcW w:w="1925" w:type="dxa"/>
            <w:vMerge w:val="continue"/>
            <w:tcBorders>
              <w:tl2br w:val="nil"/>
              <w:tr2bl w:val="nil"/>
            </w:tcBorders>
            <w:vAlign w:val="center"/>
          </w:tcPr>
          <w:p>
            <w:pPr>
              <w:spacing w:line="240" w:lineRule="auto"/>
              <w:jc w:val="center"/>
              <w:rPr>
                <w:rFonts w:hint="eastAsia" w:eastAsiaTheme="minorEastAsia"/>
                <w:sz w:val="24"/>
                <w:szCs w:val="24"/>
                <w:highlight w:val="none"/>
              </w:rPr>
            </w:pPr>
          </w:p>
        </w:tc>
        <w:tc>
          <w:tcPr>
            <w:tcW w:w="1048" w:type="dxa"/>
            <w:vMerge w:val="continue"/>
            <w:tcBorders>
              <w:tl2br w:val="nil"/>
              <w:tr2bl w:val="nil"/>
            </w:tcBorders>
            <w:vAlign w:val="center"/>
          </w:tcPr>
          <w:p>
            <w:pPr>
              <w:spacing w:line="240" w:lineRule="auto"/>
              <w:jc w:val="center"/>
              <w:rPr>
                <w:rFonts w:hint="eastAsia" w:eastAsiaTheme="minorEastAsia"/>
                <w:sz w:val="24"/>
                <w:szCs w:val="24"/>
                <w:highlight w:val="none"/>
              </w:rPr>
            </w:pPr>
          </w:p>
        </w:tc>
        <w:tc>
          <w:tcPr>
            <w:tcW w:w="1601" w:type="dxa"/>
            <w:vMerge w:val="continue"/>
            <w:tcBorders>
              <w:tl2br w:val="nil"/>
              <w:tr2bl w:val="nil"/>
            </w:tcBorders>
            <w:vAlign w:val="center"/>
          </w:tcPr>
          <w:p>
            <w:pPr>
              <w:spacing w:line="240" w:lineRule="auto"/>
              <w:jc w:val="center"/>
              <w:rPr>
                <w:rFonts w:hint="eastAsia" w:eastAsiaTheme="minorEastAsia"/>
                <w:sz w:val="24"/>
                <w:szCs w:val="24"/>
                <w:highlight w:val="none"/>
              </w:rPr>
            </w:pPr>
          </w:p>
        </w:tc>
        <w:tc>
          <w:tcPr>
            <w:tcW w:w="2588" w:type="dxa"/>
            <w:vMerge w:val="continue"/>
            <w:tcBorders>
              <w:tl2br w:val="nil"/>
              <w:tr2bl w:val="nil"/>
            </w:tcBorders>
            <w:vAlign w:val="center"/>
          </w:tcPr>
          <w:p>
            <w:pPr>
              <w:spacing w:line="240" w:lineRule="auto"/>
              <w:jc w:val="center"/>
              <w:rPr>
                <w:rFonts w:hint="eastAsia" w:eastAsiaTheme="minorEastAsia"/>
                <w:sz w:val="24"/>
                <w:szCs w:val="24"/>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trPr>
        <w:tc>
          <w:tcPr>
            <w:tcW w:w="680" w:type="dxa"/>
            <w:tcBorders>
              <w:tl2br w:val="nil"/>
              <w:tr2bl w:val="nil"/>
            </w:tcBorders>
            <w:vAlign w:val="center"/>
          </w:tcPr>
          <w:p>
            <w:pPr>
              <w:spacing w:line="240" w:lineRule="auto"/>
              <w:jc w:val="center"/>
              <w:rPr>
                <w:rFonts w:hint="eastAsia" w:eastAsiaTheme="minorEastAsia"/>
                <w:sz w:val="24"/>
                <w:szCs w:val="24"/>
                <w:highlight w:val="none"/>
              </w:rPr>
            </w:pPr>
            <w:r>
              <w:rPr>
                <w:rFonts w:hint="eastAsia" w:eastAsiaTheme="minorEastAsia"/>
                <w:sz w:val="24"/>
                <w:szCs w:val="24"/>
                <w:highlight w:val="none"/>
              </w:rPr>
              <w:t>1</w:t>
            </w:r>
          </w:p>
        </w:tc>
        <w:tc>
          <w:tcPr>
            <w:tcW w:w="1281" w:type="dxa"/>
            <w:vMerge w:val="restart"/>
            <w:tcBorders>
              <w:tl2br w:val="nil"/>
              <w:tr2bl w:val="nil"/>
            </w:tcBorders>
            <w:vAlign w:val="center"/>
          </w:tcPr>
          <w:p>
            <w:pPr>
              <w:spacing w:line="240" w:lineRule="auto"/>
              <w:jc w:val="center"/>
              <w:rPr>
                <w:rFonts w:hint="eastAsia" w:eastAsiaTheme="minorEastAsia"/>
                <w:sz w:val="24"/>
                <w:szCs w:val="24"/>
                <w:highlight w:val="none"/>
              </w:rPr>
            </w:pPr>
            <w:r>
              <w:rPr>
                <w:rFonts w:hint="eastAsia" w:eastAsiaTheme="minorEastAsia"/>
                <w:sz w:val="24"/>
                <w:szCs w:val="24"/>
                <w:highlight w:val="none"/>
              </w:rPr>
              <w:t>中山</w:t>
            </w:r>
          </w:p>
        </w:tc>
        <w:tc>
          <w:tcPr>
            <w:tcW w:w="1278" w:type="dxa"/>
            <w:vMerge w:val="restart"/>
            <w:tcBorders>
              <w:tl2br w:val="nil"/>
              <w:tr2bl w:val="nil"/>
            </w:tcBorders>
            <w:vAlign w:val="center"/>
          </w:tcPr>
          <w:p>
            <w:pPr>
              <w:spacing w:line="240" w:lineRule="auto"/>
              <w:jc w:val="center"/>
              <w:rPr>
                <w:rFonts w:hint="eastAsia" w:eastAsiaTheme="minorEastAsia"/>
                <w:sz w:val="24"/>
                <w:szCs w:val="24"/>
                <w:highlight w:val="none"/>
              </w:rPr>
            </w:pPr>
            <w:r>
              <w:rPr>
                <w:rFonts w:hint="eastAsia" w:eastAsiaTheme="minorEastAsia"/>
                <w:sz w:val="24"/>
                <w:szCs w:val="24"/>
                <w:highlight w:val="none"/>
              </w:rPr>
              <w:t>沙仔社区</w:t>
            </w:r>
          </w:p>
        </w:tc>
        <w:tc>
          <w:tcPr>
            <w:tcW w:w="1691" w:type="dxa"/>
            <w:tcBorders>
              <w:tl2br w:val="nil"/>
              <w:tr2bl w:val="nil"/>
            </w:tcBorders>
            <w:vAlign w:val="center"/>
          </w:tcPr>
          <w:p>
            <w:pPr>
              <w:spacing w:line="240" w:lineRule="auto"/>
              <w:jc w:val="center"/>
              <w:rPr>
                <w:rFonts w:hint="eastAsia" w:eastAsiaTheme="minorEastAsia"/>
                <w:sz w:val="24"/>
                <w:szCs w:val="24"/>
                <w:highlight w:val="none"/>
              </w:rPr>
            </w:pPr>
            <w:r>
              <w:rPr>
                <w:rFonts w:hint="eastAsia" w:eastAsiaTheme="minorEastAsia"/>
                <w:sz w:val="24"/>
                <w:szCs w:val="24"/>
                <w:highlight w:val="none"/>
              </w:rPr>
              <w:t>下围</w:t>
            </w:r>
          </w:p>
        </w:tc>
        <w:tc>
          <w:tcPr>
            <w:tcW w:w="1920" w:type="dxa"/>
            <w:tcBorders>
              <w:tl2br w:val="nil"/>
              <w:tr2bl w:val="nil"/>
            </w:tcBorders>
            <w:vAlign w:val="center"/>
          </w:tcPr>
          <w:p>
            <w:pPr>
              <w:spacing w:line="240" w:lineRule="auto"/>
              <w:jc w:val="center"/>
              <w:rPr>
                <w:rFonts w:hint="eastAsia" w:eastAsiaTheme="minorEastAsia"/>
                <w:sz w:val="24"/>
                <w:szCs w:val="24"/>
                <w:highlight w:val="none"/>
              </w:rPr>
            </w:pPr>
            <w:r>
              <w:rPr>
                <w:rFonts w:hint="eastAsia" w:eastAsiaTheme="minorEastAsia"/>
                <w:sz w:val="24"/>
                <w:szCs w:val="24"/>
                <w:highlight w:val="none"/>
              </w:rPr>
              <w:t>居民区</w:t>
            </w:r>
          </w:p>
        </w:tc>
        <w:tc>
          <w:tcPr>
            <w:tcW w:w="1925" w:type="dxa"/>
            <w:tcBorders>
              <w:tl2br w:val="nil"/>
              <w:tr2bl w:val="nil"/>
            </w:tcBorders>
            <w:vAlign w:val="center"/>
          </w:tcPr>
          <w:p>
            <w:pPr>
              <w:spacing w:line="240" w:lineRule="auto"/>
              <w:jc w:val="center"/>
              <w:rPr>
                <w:rFonts w:hint="eastAsia" w:eastAsiaTheme="minorEastAsia"/>
                <w:sz w:val="24"/>
                <w:szCs w:val="24"/>
                <w:highlight w:val="none"/>
              </w:rPr>
            </w:pPr>
            <w:r>
              <w:rPr>
                <w:rFonts w:hint="eastAsia" w:eastAsiaTheme="minorEastAsia"/>
                <w:sz w:val="24"/>
                <w:szCs w:val="24"/>
                <w:highlight w:val="none"/>
              </w:rPr>
              <w:t>约120人</w:t>
            </w:r>
          </w:p>
        </w:tc>
        <w:tc>
          <w:tcPr>
            <w:tcW w:w="1048" w:type="dxa"/>
            <w:tcBorders>
              <w:tl2br w:val="nil"/>
              <w:tr2bl w:val="nil"/>
            </w:tcBorders>
            <w:vAlign w:val="center"/>
          </w:tcPr>
          <w:p>
            <w:pPr>
              <w:spacing w:line="240" w:lineRule="auto"/>
              <w:jc w:val="center"/>
              <w:rPr>
                <w:rFonts w:hint="eastAsia" w:eastAsiaTheme="minorEastAsia"/>
                <w:sz w:val="24"/>
                <w:szCs w:val="24"/>
                <w:highlight w:val="none"/>
                <w:lang w:eastAsia="zh-CN"/>
              </w:rPr>
            </w:pPr>
            <w:r>
              <w:rPr>
                <w:rFonts w:hint="eastAsia" w:eastAsiaTheme="minorEastAsia"/>
                <w:sz w:val="24"/>
                <w:szCs w:val="24"/>
                <w:highlight w:val="none"/>
                <w:lang w:eastAsia="zh-CN"/>
              </w:rPr>
              <w:t>西北</w:t>
            </w:r>
          </w:p>
        </w:tc>
        <w:tc>
          <w:tcPr>
            <w:tcW w:w="1601" w:type="dxa"/>
            <w:tcBorders>
              <w:tl2br w:val="nil"/>
              <w:tr2bl w:val="nil"/>
            </w:tcBorders>
            <w:vAlign w:val="center"/>
          </w:tcPr>
          <w:p>
            <w:pPr>
              <w:spacing w:line="240" w:lineRule="auto"/>
              <w:jc w:val="center"/>
              <w:rPr>
                <w:rFonts w:hint="eastAsia" w:eastAsiaTheme="minorEastAsia"/>
                <w:sz w:val="24"/>
                <w:szCs w:val="24"/>
                <w:highlight w:val="none"/>
              </w:rPr>
            </w:pPr>
            <w:r>
              <w:rPr>
                <w:rFonts w:hint="eastAsia" w:eastAsiaTheme="minorEastAsia"/>
                <w:sz w:val="24"/>
                <w:szCs w:val="24"/>
                <w:highlight w:val="none"/>
              </w:rPr>
              <w:t>750</w:t>
            </w:r>
          </w:p>
        </w:tc>
        <w:tc>
          <w:tcPr>
            <w:tcW w:w="2588" w:type="dxa"/>
            <w:vMerge w:val="restart"/>
            <w:tcBorders>
              <w:tl2br w:val="nil"/>
              <w:tr2bl w:val="nil"/>
            </w:tcBorders>
            <w:vAlign w:val="center"/>
          </w:tcPr>
          <w:p>
            <w:pPr>
              <w:spacing w:line="240" w:lineRule="auto"/>
              <w:jc w:val="center"/>
              <w:rPr>
                <w:rFonts w:hint="eastAsia" w:eastAsiaTheme="minorEastAsia"/>
                <w:sz w:val="24"/>
                <w:szCs w:val="24"/>
                <w:highlight w:val="none"/>
              </w:rPr>
            </w:pPr>
            <w:r>
              <w:rPr>
                <w:rFonts w:hint="eastAsia" w:eastAsiaTheme="minorEastAsia"/>
                <w:sz w:val="24"/>
                <w:szCs w:val="24"/>
                <w:highlight w:val="none"/>
              </w:rPr>
              <w:t>《环境空气质量标准》(GB3095-2012)</w:t>
            </w:r>
          </w:p>
          <w:p>
            <w:pPr>
              <w:spacing w:line="240" w:lineRule="auto"/>
              <w:jc w:val="center"/>
              <w:rPr>
                <w:rFonts w:hint="eastAsia" w:eastAsiaTheme="minorEastAsia"/>
                <w:sz w:val="24"/>
                <w:szCs w:val="24"/>
                <w:highlight w:val="none"/>
              </w:rPr>
            </w:pPr>
            <w:r>
              <w:rPr>
                <w:rFonts w:hint="eastAsia" w:eastAsiaTheme="minorEastAsia"/>
                <w:sz w:val="24"/>
                <w:szCs w:val="24"/>
                <w:highlight w:val="none"/>
              </w:rPr>
              <w:t>二类区</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trPr>
        <w:tc>
          <w:tcPr>
            <w:tcW w:w="680" w:type="dxa"/>
            <w:tcBorders>
              <w:tl2br w:val="nil"/>
              <w:tr2bl w:val="nil"/>
            </w:tcBorders>
            <w:vAlign w:val="center"/>
          </w:tcPr>
          <w:p>
            <w:pPr>
              <w:spacing w:line="240" w:lineRule="auto"/>
              <w:jc w:val="center"/>
              <w:rPr>
                <w:rFonts w:hint="eastAsia" w:eastAsiaTheme="minorEastAsia"/>
                <w:sz w:val="24"/>
                <w:szCs w:val="24"/>
                <w:highlight w:val="none"/>
              </w:rPr>
            </w:pPr>
            <w:r>
              <w:rPr>
                <w:rFonts w:hint="eastAsia" w:eastAsiaTheme="minorEastAsia"/>
                <w:sz w:val="24"/>
                <w:szCs w:val="24"/>
                <w:highlight w:val="none"/>
              </w:rPr>
              <w:t>2</w:t>
            </w:r>
          </w:p>
        </w:tc>
        <w:tc>
          <w:tcPr>
            <w:tcW w:w="1281" w:type="dxa"/>
            <w:vMerge w:val="continue"/>
            <w:tcBorders>
              <w:tl2br w:val="nil"/>
              <w:tr2bl w:val="nil"/>
            </w:tcBorders>
            <w:vAlign w:val="center"/>
          </w:tcPr>
          <w:p>
            <w:pPr>
              <w:spacing w:line="240" w:lineRule="auto"/>
              <w:jc w:val="center"/>
              <w:rPr>
                <w:rFonts w:hint="eastAsia" w:eastAsiaTheme="minorEastAsia"/>
                <w:sz w:val="24"/>
                <w:szCs w:val="24"/>
                <w:highlight w:val="none"/>
              </w:rPr>
            </w:pPr>
          </w:p>
        </w:tc>
        <w:tc>
          <w:tcPr>
            <w:tcW w:w="1278" w:type="dxa"/>
            <w:vMerge w:val="continue"/>
            <w:tcBorders>
              <w:tl2br w:val="nil"/>
              <w:tr2bl w:val="nil"/>
            </w:tcBorders>
            <w:vAlign w:val="center"/>
          </w:tcPr>
          <w:p>
            <w:pPr>
              <w:spacing w:line="240" w:lineRule="auto"/>
              <w:jc w:val="center"/>
              <w:rPr>
                <w:rFonts w:hint="eastAsia" w:eastAsiaTheme="minorEastAsia"/>
                <w:sz w:val="24"/>
                <w:szCs w:val="24"/>
                <w:highlight w:val="none"/>
              </w:rPr>
            </w:pPr>
          </w:p>
        </w:tc>
        <w:tc>
          <w:tcPr>
            <w:tcW w:w="1691" w:type="dxa"/>
            <w:tcBorders>
              <w:tl2br w:val="nil"/>
              <w:tr2bl w:val="nil"/>
            </w:tcBorders>
            <w:vAlign w:val="center"/>
          </w:tcPr>
          <w:p>
            <w:pPr>
              <w:spacing w:line="240" w:lineRule="auto"/>
              <w:jc w:val="center"/>
              <w:rPr>
                <w:rFonts w:hint="eastAsia" w:eastAsiaTheme="minorEastAsia"/>
                <w:sz w:val="24"/>
                <w:szCs w:val="24"/>
                <w:highlight w:val="none"/>
              </w:rPr>
            </w:pPr>
            <w:r>
              <w:rPr>
                <w:rFonts w:hint="eastAsia" w:eastAsiaTheme="minorEastAsia"/>
                <w:sz w:val="24"/>
                <w:szCs w:val="24"/>
                <w:highlight w:val="none"/>
              </w:rPr>
              <w:t>沙仔村</w:t>
            </w:r>
          </w:p>
        </w:tc>
        <w:tc>
          <w:tcPr>
            <w:tcW w:w="1920" w:type="dxa"/>
            <w:tcBorders>
              <w:tl2br w:val="nil"/>
              <w:tr2bl w:val="nil"/>
            </w:tcBorders>
            <w:vAlign w:val="center"/>
          </w:tcPr>
          <w:p>
            <w:pPr>
              <w:spacing w:line="240" w:lineRule="auto"/>
              <w:jc w:val="center"/>
              <w:rPr>
                <w:rFonts w:hint="eastAsia" w:eastAsiaTheme="minorEastAsia"/>
                <w:sz w:val="24"/>
                <w:szCs w:val="24"/>
                <w:highlight w:val="none"/>
              </w:rPr>
            </w:pPr>
            <w:r>
              <w:rPr>
                <w:rFonts w:hint="eastAsia" w:eastAsiaTheme="minorEastAsia"/>
                <w:sz w:val="24"/>
                <w:szCs w:val="24"/>
                <w:highlight w:val="none"/>
              </w:rPr>
              <w:t>居民区</w:t>
            </w:r>
          </w:p>
        </w:tc>
        <w:tc>
          <w:tcPr>
            <w:tcW w:w="1925" w:type="dxa"/>
            <w:tcBorders>
              <w:tl2br w:val="nil"/>
              <w:tr2bl w:val="nil"/>
            </w:tcBorders>
            <w:vAlign w:val="center"/>
          </w:tcPr>
          <w:p>
            <w:pPr>
              <w:spacing w:line="240" w:lineRule="auto"/>
              <w:jc w:val="center"/>
              <w:rPr>
                <w:rFonts w:hint="eastAsia" w:eastAsiaTheme="minorEastAsia"/>
                <w:sz w:val="24"/>
                <w:szCs w:val="24"/>
                <w:highlight w:val="none"/>
              </w:rPr>
            </w:pPr>
            <w:r>
              <w:rPr>
                <w:rFonts w:hint="eastAsia" w:eastAsiaTheme="minorEastAsia"/>
                <w:sz w:val="24"/>
                <w:szCs w:val="24"/>
                <w:highlight w:val="none"/>
              </w:rPr>
              <w:t>约3600人</w:t>
            </w:r>
          </w:p>
        </w:tc>
        <w:tc>
          <w:tcPr>
            <w:tcW w:w="1048" w:type="dxa"/>
            <w:tcBorders>
              <w:tl2br w:val="nil"/>
              <w:tr2bl w:val="nil"/>
            </w:tcBorders>
            <w:vAlign w:val="center"/>
          </w:tcPr>
          <w:p>
            <w:pPr>
              <w:spacing w:line="240" w:lineRule="auto"/>
              <w:jc w:val="center"/>
              <w:rPr>
                <w:rFonts w:hint="eastAsia" w:eastAsiaTheme="minorEastAsia"/>
                <w:sz w:val="24"/>
                <w:szCs w:val="24"/>
                <w:highlight w:val="none"/>
              </w:rPr>
            </w:pPr>
            <w:r>
              <w:rPr>
                <w:rFonts w:hint="eastAsia" w:eastAsiaTheme="minorEastAsia"/>
                <w:sz w:val="24"/>
                <w:szCs w:val="24"/>
                <w:highlight w:val="none"/>
                <w:lang w:eastAsia="zh-CN"/>
              </w:rPr>
              <w:t>西北</w:t>
            </w:r>
          </w:p>
        </w:tc>
        <w:tc>
          <w:tcPr>
            <w:tcW w:w="1601" w:type="dxa"/>
            <w:tcBorders>
              <w:tl2br w:val="nil"/>
              <w:tr2bl w:val="nil"/>
            </w:tcBorders>
            <w:vAlign w:val="center"/>
          </w:tcPr>
          <w:p>
            <w:pPr>
              <w:spacing w:line="240" w:lineRule="auto"/>
              <w:jc w:val="center"/>
              <w:rPr>
                <w:rFonts w:hint="eastAsia" w:eastAsiaTheme="minorEastAsia"/>
                <w:sz w:val="24"/>
                <w:szCs w:val="24"/>
                <w:highlight w:val="none"/>
              </w:rPr>
            </w:pPr>
            <w:r>
              <w:rPr>
                <w:rFonts w:hint="eastAsia" w:eastAsiaTheme="minorEastAsia"/>
                <w:sz w:val="24"/>
                <w:szCs w:val="24"/>
                <w:highlight w:val="none"/>
              </w:rPr>
              <w:t>1900</w:t>
            </w:r>
          </w:p>
        </w:tc>
        <w:tc>
          <w:tcPr>
            <w:tcW w:w="2588" w:type="dxa"/>
            <w:vMerge w:val="continue"/>
            <w:tcBorders>
              <w:tl2br w:val="nil"/>
              <w:tr2bl w:val="nil"/>
            </w:tcBorders>
            <w:vAlign w:val="center"/>
          </w:tcPr>
          <w:p>
            <w:pPr>
              <w:jc w:val="cente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trPr>
        <w:tc>
          <w:tcPr>
            <w:tcW w:w="680" w:type="dxa"/>
            <w:tcBorders>
              <w:tl2br w:val="nil"/>
              <w:tr2bl w:val="nil"/>
            </w:tcBorders>
            <w:vAlign w:val="center"/>
          </w:tcPr>
          <w:p>
            <w:pPr>
              <w:spacing w:line="240" w:lineRule="auto"/>
              <w:jc w:val="center"/>
              <w:rPr>
                <w:rFonts w:hint="eastAsia" w:eastAsiaTheme="minorEastAsia"/>
                <w:sz w:val="24"/>
                <w:szCs w:val="24"/>
                <w:highlight w:val="none"/>
              </w:rPr>
            </w:pPr>
            <w:r>
              <w:rPr>
                <w:rFonts w:hint="eastAsia" w:eastAsiaTheme="minorEastAsia"/>
                <w:sz w:val="24"/>
                <w:szCs w:val="24"/>
                <w:highlight w:val="none"/>
              </w:rPr>
              <w:t>3</w:t>
            </w:r>
          </w:p>
        </w:tc>
        <w:tc>
          <w:tcPr>
            <w:tcW w:w="1281" w:type="dxa"/>
            <w:vMerge w:val="continue"/>
            <w:tcBorders>
              <w:tl2br w:val="nil"/>
              <w:tr2bl w:val="nil"/>
            </w:tcBorders>
            <w:vAlign w:val="center"/>
          </w:tcPr>
          <w:p>
            <w:pPr>
              <w:spacing w:line="240" w:lineRule="auto"/>
              <w:jc w:val="center"/>
              <w:rPr>
                <w:rFonts w:hint="eastAsia" w:eastAsiaTheme="minorEastAsia"/>
                <w:sz w:val="24"/>
                <w:szCs w:val="24"/>
                <w:highlight w:val="none"/>
              </w:rPr>
            </w:pPr>
          </w:p>
        </w:tc>
        <w:tc>
          <w:tcPr>
            <w:tcW w:w="1278" w:type="dxa"/>
            <w:vMerge w:val="continue"/>
            <w:tcBorders>
              <w:tl2br w:val="nil"/>
              <w:tr2bl w:val="nil"/>
            </w:tcBorders>
            <w:vAlign w:val="center"/>
          </w:tcPr>
          <w:p>
            <w:pPr>
              <w:spacing w:line="240" w:lineRule="auto"/>
              <w:jc w:val="center"/>
              <w:rPr>
                <w:rFonts w:hint="eastAsia" w:eastAsiaTheme="minorEastAsia"/>
                <w:sz w:val="24"/>
                <w:szCs w:val="24"/>
                <w:highlight w:val="none"/>
              </w:rPr>
            </w:pPr>
          </w:p>
        </w:tc>
        <w:tc>
          <w:tcPr>
            <w:tcW w:w="1691" w:type="dxa"/>
            <w:tcBorders>
              <w:tl2br w:val="nil"/>
              <w:tr2bl w:val="nil"/>
            </w:tcBorders>
            <w:vAlign w:val="center"/>
          </w:tcPr>
          <w:p>
            <w:pPr>
              <w:spacing w:line="240" w:lineRule="auto"/>
              <w:jc w:val="center"/>
              <w:rPr>
                <w:rFonts w:hint="eastAsia" w:eastAsiaTheme="minorEastAsia"/>
                <w:sz w:val="24"/>
                <w:szCs w:val="24"/>
                <w:highlight w:val="none"/>
              </w:rPr>
            </w:pPr>
            <w:r>
              <w:rPr>
                <w:rFonts w:hint="eastAsia" w:eastAsiaTheme="minorEastAsia"/>
                <w:sz w:val="24"/>
                <w:szCs w:val="24"/>
                <w:highlight w:val="none"/>
              </w:rPr>
              <w:t>三围</w:t>
            </w:r>
          </w:p>
        </w:tc>
        <w:tc>
          <w:tcPr>
            <w:tcW w:w="1920" w:type="dxa"/>
            <w:tcBorders>
              <w:tl2br w:val="nil"/>
              <w:tr2bl w:val="nil"/>
            </w:tcBorders>
            <w:vAlign w:val="center"/>
          </w:tcPr>
          <w:p>
            <w:pPr>
              <w:spacing w:line="240" w:lineRule="auto"/>
              <w:jc w:val="center"/>
              <w:rPr>
                <w:rFonts w:hint="eastAsia" w:eastAsiaTheme="minorEastAsia"/>
                <w:sz w:val="24"/>
                <w:szCs w:val="24"/>
                <w:highlight w:val="none"/>
              </w:rPr>
            </w:pPr>
            <w:r>
              <w:rPr>
                <w:rFonts w:hint="eastAsia" w:eastAsiaTheme="minorEastAsia"/>
                <w:sz w:val="24"/>
                <w:szCs w:val="24"/>
                <w:highlight w:val="none"/>
              </w:rPr>
              <w:t>居民区</w:t>
            </w:r>
          </w:p>
        </w:tc>
        <w:tc>
          <w:tcPr>
            <w:tcW w:w="1925" w:type="dxa"/>
            <w:tcBorders>
              <w:tl2br w:val="nil"/>
              <w:tr2bl w:val="nil"/>
            </w:tcBorders>
            <w:vAlign w:val="center"/>
          </w:tcPr>
          <w:p>
            <w:pPr>
              <w:spacing w:line="240" w:lineRule="auto"/>
              <w:jc w:val="center"/>
              <w:rPr>
                <w:rFonts w:hint="eastAsia" w:eastAsiaTheme="minorEastAsia"/>
                <w:sz w:val="24"/>
                <w:szCs w:val="24"/>
                <w:highlight w:val="none"/>
              </w:rPr>
            </w:pPr>
            <w:r>
              <w:rPr>
                <w:rFonts w:hint="eastAsia" w:eastAsiaTheme="minorEastAsia"/>
                <w:sz w:val="24"/>
                <w:szCs w:val="24"/>
                <w:highlight w:val="none"/>
              </w:rPr>
              <w:t>约220人</w:t>
            </w:r>
          </w:p>
        </w:tc>
        <w:tc>
          <w:tcPr>
            <w:tcW w:w="1048" w:type="dxa"/>
            <w:tcBorders>
              <w:tl2br w:val="nil"/>
              <w:tr2bl w:val="nil"/>
            </w:tcBorders>
            <w:vAlign w:val="center"/>
          </w:tcPr>
          <w:p>
            <w:pPr>
              <w:spacing w:line="240" w:lineRule="auto"/>
              <w:jc w:val="center"/>
              <w:rPr>
                <w:rFonts w:hint="eastAsia" w:eastAsiaTheme="minorEastAsia"/>
                <w:sz w:val="24"/>
                <w:szCs w:val="24"/>
                <w:highlight w:val="none"/>
                <w:lang w:eastAsia="zh-CN"/>
              </w:rPr>
            </w:pPr>
            <w:r>
              <w:rPr>
                <w:rFonts w:hint="eastAsia" w:eastAsiaTheme="minorEastAsia"/>
                <w:sz w:val="24"/>
                <w:szCs w:val="24"/>
                <w:highlight w:val="none"/>
                <w:lang w:eastAsia="zh-CN"/>
              </w:rPr>
              <w:t>西</w:t>
            </w:r>
          </w:p>
        </w:tc>
        <w:tc>
          <w:tcPr>
            <w:tcW w:w="1601" w:type="dxa"/>
            <w:tcBorders>
              <w:tl2br w:val="nil"/>
              <w:tr2bl w:val="nil"/>
            </w:tcBorders>
            <w:vAlign w:val="center"/>
          </w:tcPr>
          <w:p>
            <w:pPr>
              <w:spacing w:line="240" w:lineRule="auto"/>
              <w:jc w:val="center"/>
              <w:rPr>
                <w:rFonts w:hint="eastAsia" w:eastAsiaTheme="minorEastAsia"/>
                <w:sz w:val="24"/>
                <w:szCs w:val="24"/>
                <w:highlight w:val="none"/>
              </w:rPr>
            </w:pPr>
            <w:r>
              <w:rPr>
                <w:rFonts w:hint="eastAsia" w:eastAsiaTheme="minorEastAsia"/>
                <w:sz w:val="24"/>
                <w:szCs w:val="24"/>
                <w:highlight w:val="none"/>
              </w:rPr>
              <w:t>2300</w:t>
            </w:r>
          </w:p>
        </w:tc>
        <w:tc>
          <w:tcPr>
            <w:tcW w:w="2588" w:type="dxa"/>
            <w:vMerge w:val="continue"/>
            <w:tcBorders>
              <w:tl2br w:val="nil"/>
              <w:tr2bl w:val="nil"/>
            </w:tcBorders>
            <w:vAlign w:val="center"/>
          </w:tcPr>
          <w:p>
            <w:pPr>
              <w:jc w:val="cente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trPr>
        <w:tc>
          <w:tcPr>
            <w:tcW w:w="680" w:type="dxa"/>
            <w:tcBorders>
              <w:tl2br w:val="nil"/>
              <w:tr2bl w:val="nil"/>
            </w:tcBorders>
            <w:vAlign w:val="center"/>
          </w:tcPr>
          <w:p>
            <w:pPr>
              <w:spacing w:line="240" w:lineRule="auto"/>
              <w:jc w:val="center"/>
              <w:rPr>
                <w:rFonts w:hint="eastAsia" w:eastAsiaTheme="minorEastAsia"/>
                <w:sz w:val="24"/>
                <w:szCs w:val="24"/>
                <w:highlight w:val="none"/>
              </w:rPr>
            </w:pPr>
            <w:r>
              <w:rPr>
                <w:rFonts w:hint="eastAsia" w:eastAsiaTheme="minorEastAsia"/>
                <w:sz w:val="24"/>
                <w:szCs w:val="24"/>
                <w:highlight w:val="none"/>
              </w:rPr>
              <w:t>4</w:t>
            </w:r>
          </w:p>
        </w:tc>
        <w:tc>
          <w:tcPr>
            <w:tcW w:w="1281" w:type="dxa"/>
            <w:vMerge w:val="continue"/>
            <w:tcBorders>
              <w:tl2br w:val="nil"/>
              <w:tr2bl w:val="nil"/>
            </w:tcBorders>
            <w:vAlign w:val="center"/>
          </w:tcPr>
          <w:p>
            <w:pPr>
              <w:spacing w:line="240" w:lineRule="auto"/>
              <w:jc w:val="center"/>
              <w:rPr>
                <w:rFonts w:hint="eastAsia" w:eastAsiaTheme="minorEastAsia"/>
                <w:sz w:val="24"/>
                <w:szCs w:val="24"/>
                <w:highlight w:val="none"/>
              </w:rPr>
            </w:pPr>
          </w:p>
        </w:tc>
        <w:tc>
          <w:tcPr>
            <w:tcW w:w="1278" w:type="dxa"/>
            <w:vMerge w:val="continue"/>
            <w:tcBorders>
              <w:tl2br w:val="nil"/>
              <w:tr2bl w:val="nil"/>
            </w:tcBorders>
            <w:vAlign w:val="center"/>
          </w:tcPr>
          <w:p>
            <w:pPr>
              <w:spacing w:line="240" w:lineRule="auto"/>
              <w:jc w:val="center"/>
              <w:rPr>
                <w:rFonts w:hint="eastAsia" w:eastAsiaTheme="minorEastAsia"/>
                <w:sz w:val="24"/>
                <w:szCs w:val="24"/>
                <w:highlight w:val="none"/>
              </w:rPr>
            </w:pPr>
          </w:p>
        </w:tc>
        <w:tc>
          <w:tcPr>
            <w:tcW w:w="1691" w:type="dxa"/>
            <w:tcBorders>
              <w:tl2br w:val="nil"/>
              <w:tr2bl w:val="nil"/>
            </w:tcBorders>
            <w:vAlign w:val="center"/>
          </w:tcPr>
          <w:p>
            <w:pPr>
              <w:spacing w:line="240" w:lineRule="auto"/>
              <w:jc w:val="center"/>
              <w:rPr>
                <w:rFonts w:hint="eastAsia" w:eastAsiaTheme="minorEastAsia"/>
                <w:sz w:val="24"/>
                <w:szCs w:val="24"/>
                <w:highlight w:val="none"/>
              </w:rPr>
            </w:pPr>
            <w:r>
              <w:rPr>
                <w:rFonts w:hint="eastAsia" w:eastAsiaTheme="minorEastAsia"/>
                <w:sz w:val="24"/>
                <w:szCs w:val="24"/>
                <w:highlight w:val="none"/>
              </w:rPr>
              <w:t>四围</w:t>
            </w:r>
          </w:p>
        </w:tc>
        <w:tc>
          <w:tcPr>
            <w:tcW w:w="1920" w:type="dxa"/>
            <w:tcBorders>
              <w:tl2br w:val="nil"/>
              <w:tr2bl w:val="nil"/>
            </w:tcBorders>
            <w:vAlign w:val="center"/>
          </w:tcPr>
          <w:p>
            <w:pPr>
              <w:spacing w:line="240" w:lineRule="auto"/>
              <w:jc w:val="center"/>
              <w:rPr>
                <w:rFonts w:hint="eastAsia" w:eastAsiaTheme="minorEastAsia"/>
                <w:sz w:val="24"/>
                <w:szCs w:val="24"/>
                <w:highlight w:val="none"/>
              </w:rPr>
            </w:pPr>
            <w:r>
              <w:rPr>
                <w:rFonts w:hint="eastAsia" w:eastAsiaTheme="minorEastAsia"/>
                <w:sz w:val="24"/>
                <w:szCs w:val="24"/>
                <w:highlight w:val="none"/>
              </w:rPr>
              <w:t>居民区</w:t>
            </w:r>
          </w:p>
        </w:tc>
        <w:tc>
          <w:tcPr>
            <w:tcW w:w="1925" w:type="dxa"/>
            <w:tcBorders>
              <w:tl2br w:val="nil"/>
              <w:tr2bl w:val="nil"/>
            </w:tcBorders>
            <w:vAlign w:val="center"/>
          </w:tcPr>
          <w:p>
            <w:pPr>
              <w:spacing w:line="240" w:lineRule="auto"/>
              <w:jc w:val="center"/>
              <w:rPr>
                <w:rFonts w:hint="eastAsia" w:eastAsiaTheme="minorEastAsia"/>
                <w:sz w:val="24"/>
                <w:szCs w:val="24"/>
                <w:highlight w:val="none"/>
              </w:rPr>
            </w:pPr>
            <w:r>
              <w:rPr>
                <w:rFonts w:hint="eastAsia" w:eastAsiaTheme="minorEastAsia"/>
                <w:sz w:val="24"/>
                <w:szCs w:val="24"/>
                <w:highlight w:val="none"/>
              </w:rPr>
              <w:t>约560人</w:t>
            </w:r>
          </w:p>
        </w:tc>
        <w:tc>
          <w:tcPr>
            <w:tcW w:w="1048" w:type="dxa"/>
            <w:tcBorders>
              <w:tl2br w:val="nil"/>
              <w:tr2bl w:val="nil"/>
            </w:tcBorders>
            <w:vAlign w:val="center"/>
          </w:tcPr>
          <w:p>
            <w:pPr>
              <w:spacing w:line="240" w:lineRule="auto"/>
              <w:jc w:val="center"/>
              <w:rPr>
                <w:rFonts w:hint="eastAsia" w:eastAsiaTheme="minorEastAsia"/>
                <w:sz w:val="24"/>
                <w:szCs w:val="24"/>
                <w:highlight w:val="none"/>
                <w:lang w:eastAsia="zh-CN"/>
              </w:rPr>
            </w:pPr>
            <w:r>
              <w:rPr>
                <w:rFonts w:hint="eastAsia" w:eastAsiaTheme="minorEastAsia"/>
                <w:sz w:val="24"/>
                <w:szCs w:val="24"/>
                <w:highlight w:val="none"/>
                <w:lang w:eastAsia="zh-CN"/>
              </w:rPr>
              <w:t>西</w:t>
            </w:r>
          </w:p>
        </w:tc>
        <w:tc>
          <w:tcPr>
            <w:tcW w:w="1601" w:type="dxa"/>
            <w:tcBorders>
              <w:tl2br w:val="nil"/>
              <w:tr2bl w:val="nil"/>
            </w:tcBorders>
            <w:vAlign w:val="center"/>
          </w:tcPr>
          <w:p>
            <w:pPr>
              <w:spacing w:line="240" w:lineRule="auto"/>
              <w:jc w:val="center"/>
              <w:rPr>
                <w:rFonts w:hint="eastAsia" w:eastAsiaTheme="minorEastAsia"/>
                <w:sz w:val="24"/>
                <w:szCs w:val="24"/>
                <w:highlight w:val="none"/>
              </w:rPr>
            </w:pPr>
            <w:r>
              <w:rPr>
                <w:rFonts w:hint="eastAsia" w:eastAsiaTheme="minorEastAsia"/>
                <w:sz w:val="24"/>
                <w:szCs w:val="24"/>
                <w:highlight w:val="none"/>
              </w:rPr>
              <w:t>900</w:t>
            </w:r>
          </w:p>
        </w:tc>
        <w:tc>
          <w:tcPr>
            <w:tcW w:w="2588" w:type="dxa"/>
            <w:vMerge w:val="continue"/>
            <w:tcBorders>
              <w:tl2br w:val="nil"/>
              <w:tr2bl w:val="nil"/>
            </w:tcBorders>
            <w:vAlign w:val="center"/>
          </w:tcPr>
          <w:p>
            <w:pPr>
              <w:jc w:val="cente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trPr>
        <w:tc>
          <w:tcPr>
            <w:tcW w:w="680" w:type="dxa"/>
            <w:tcBorders>
              <w:tl2br w:val="nil"/>
              <w:tr2bl w:val="nil"/>
            </w:tcBorders>
            <w:vAlign w:val="center"/>
          </w:tcPr>
          <w:p>
            <w:pPr>
              <w:spacing w:line="240" w:lineRule="auto"/>
              <w:jc w:val="center"/>
              <w:rPr>
                <w:rFonts w:hint="eastAsia" w:eastAsiaTheme="minorEastAsia"/>
                <w:sz w:val="24"/>
                <w:szCs w:val="24"/>
                <w:highlight w:val="none"/>
              </w:rPr>
            </w:pPr>
            <w:r>
              <w:rPr>
                <w:rFonts w:hint="eastAsia" w:eastAsiaTheme="minorEastAsia"/>
                <w:sz w:val="24"/>
                <w:szCs w:val="24"/>
                <w:highlight w:val="none"/>
              </w:rPr>
              <w:t>5</w:t>
            </w:r>
          </w:p>
        </w:tc>
        <w:tc>
          <w:tcPr>
            <w:tcW w:w="1281" w:type="dxa"/>
            <w:vMerge w:val="continue"/>
            <w:tcBorders>
              <w:tl2br w:val="nil"/>
              <w:tr2bl w:val="nil"/>
            </w:tcBorders>
            <w:vAlign w:val="center"/>
          </w:tcPr>
          <w:p>
            <w:pPr>
              <w:spacing w:line="240" w:lineRule="auto"/>
              <w:jc w:val="center"/>
              <w:rPr>
                <w:rFonts w:hint="eastAsia" w:eastAsiaTheme="minorEastAsia"/>
                <w:sz w:val="24"/>
                <w:szCs w:val="24"/>
                <w:highlight w:val="none"/>
              </w:rPr>
            </w:pPr>
          </w:p>
        </w:tc>
        <w:tc>
          <w:tcPr>
            <w:tcW w:w="1278" w:type="dxa"/>
            <w:vMerge w:val="restart"/>
            <w:tcBorders>
              <w:tl2br w:val="nil"/>
              <w:tr2bl w:val="nil"/>
            </w:tcBorders>
            <w:vAlign w:val="center"/>
          </w:tcPr>
          <w:p>
            <w:pPr>
              <w:spacing w:line="240" w:lineRule="auto"/>
              <w:jc w:val="center"/>
              <w:rPr>
                <w:rFonts w:hint="eastAsia" w:eastAsiaTheme="minorEastAsia"/>
                <w:sz w:val="24"/>
                <w:szCs w:val="24"/>
                <w:highlight w:val="none"/>
              </w:rPr>
            </w:pPr>
            <w:r>
              <w:rPr>
                <w:rFonts w:hint="eastAsia" w:eastAsiaTheme="minorEastAsia"/>
                <w:sz w:val="24"/>
                <w:szCs w:val="24"/>
                <w:highlight w:val="none"/>
              </w:rPr>
              <w:t>新平社区</w:t>
            </w:r>
          </w:p>
        </w:tc>
        <w:tc>
          <w:tcPr>
            <w:tcW w:w="1691" w:type="dxa"/>
            <w:tcBorders>
              <w:tl2br w:val="nil"/>
              <w:tr2bl w:val="nil"/>
            </w:tcBorders>
            <w:vAlign w:val="center"/>
          </w:tcPr>
          <w:p>
            <w:pPr>
              <w:spacing w:line="240" w:lineRule="auto"/>
              <w:jc w:val="center"/>
              <w:rPr>
                <w:rFonts w:hint="eastAsia" w:eastAsiaTheme="minorEastAsia"/>
                <w:sz w:val="24"/>
                <w:szCs w:val="24"/>
                <w:highlight w:val="none"/>
              </w:rPr>
            </w:pPr>
            <w:r>
              <w:rPr>
                <w:rFonts w:hint="eastAsia" w:eastAsiaTheme="minorEastAsia"/>
                <w:sz w:val="24"/>
                <w:szCs w:val="24"/>
                <w:highlight w:val="none"/>
              </w:rPr>
              <w:t>新平二村</w:t>
            </w:r>
          </w:p>
        </w:tc>
        <w:tc>
          <w:tcPr>
            <w:tcW w:w="1920" w:type="dxa"/>
            <w:tcBorders>
              <w:tl2br w:val="nil"/>
              <w:tr2bl w:val="nil"/>
            </w:tcBorders>
            <w:vAlign w:val="center"/>
          </w:tcPr>
          <w:p>
            <w:pPr>
              <w:spacing w:line="240" w:lineRule="auto"/>
              <w:jc w:val="center"/>
              <w:rPr>
                <w:rFonts w:hint="eastAsia" w:eastAsiaTheme="minorEastAsia"/>
                <w:sz w:val="24"/>
                <w:szCs w:val="24"/>
                <w:highlight w:val="none"/>
              </w:rPr>
            </w:pPr>
            <w:r>
              <w:rPr>
                <w:rFonts w:hint="eastAsia" w:eastAsiaTheme="minorEastAsia"/>
                <w:sz w:val="24"/>
                <w:szCs w:val="24"/>
                <w:highlight w:val="none"/>
              </w:rPr>
              <w:t>居民区</w:t>
            </w:r>
          </w:p>
        </w:tc>
        <w:tc>
          <w:tcPr>
            <w:tcW w:w="1925" w:type="dxa"/>
            <w:tcBorders>
              <w:tl2br w:val="nil"/>
              <w:tr2bl w:val="nil"/>
            </w:tcBorders>
            <w:vAlign w:val="center"/>
          </w:tcPr>
          <w:p>
            <w:pPr>
              <w:spacing w:line="240" w:lineRule="auto"/>
              <w:jc w:val="center"/>
              <w:rPr>
                <w:rFonts w:hint="eastAsia" w:eastAsiaTheme="minorEastAsia"/>
                <w:sz w:val="24"/>
                <w:szCs w:val="24"/>
                <w:highlight w:val="none"/>
              </w:rPr>
            </w:pPr>
            <w:r>
              <w:rPr>
                <w:rFonts w:hint="eastAsia" w:eastAsiaTheme="minorEastAsia"/>
                <w:sz w:val="24"/>
                <w:szCs w:val="24"/>
                <w:highlight w:val="none"/>
              </w:rPr>
              <w:t>约3400人</w:t>
            </w:r>
          </w:p>
        </w:tc>
        <w:tc>
          <w:tcPr>
            <w:tcW w:w="1048" w:type="dxa"/>
            <w:tcBorders>
              <w:tl2br w:val="nil"/>
              <w:tr2bl w:val="nil"/>
            </w:tcBorders>
            <w:vAlign w:val="center"/>
          </w:tcPr>
          <w:p>
            <w:pPr>
              <w:spacing w:line="240" w:lineRule="auto"/>
              <w:jc w:val="center"/>
              <w:rPr>
                <w:rFonts w:hint="eastAsia" w:eastAsiaTheme="minorEastAsia"/>
                <w:sz w:val="24"/>
                <w:szCs w:val="24"/>
                <w:highlight w:val="none"/>
                <w:lang w:eastAsia="zh-CN"/>
              </w:rPr>
            </w:pPr>
            <w:r>
              <w:rPr>
                <w:rFonts w:hint="eastAsia" w:eastAsiaTheme="minorEastAsia"/>
                <w:sz w:val="24"/>
                <w:szCs w:val="24"/>
                <w:highlight w:val="none"/>
                <w:lang w:eastAsia="zh-CN"/>
              </w:rPr>
              <w:t>西南</w:t>
            </w:r>
          </w:p>
        </w:tc>
        <w:tc>
          <w:tcPr>
            <w:tcW w:w="1601" w:type="dxa"/>
            <w:tcBorders>
              <w:tl2br w:val="nil"/>
              <w:tr2bl w:val="nil"/>
            </w:tcBorders>
            <w:vAlign w:val="center"/>
          </w:tcPr>
          <w:p>
            <w:pPr>
              <w:spacing w:line="240" w:lineRule="auto"/>
              <w:jc w:val="center"/>
              <w:rPr>
                <w:rFonts w:hint="eastAsia" w:eastAsiaTheme="minorEastAsia"/>
                <w:sz w:val="24"/>
                <w:szCs w:val="24"/>
                <w:highlight w:val="none"/>
              </w:rPr>
            </w:pPr>
            <w:r>
              <w:rPr>
                <w:rFonts w:hint="eastAsia" w:eastAsiaTheme="minorEastAsia"/>
                <w:sz w:val="24"/>
                <w:szCs w:val="24"/>
                <w:highlight w:val="none"/>
              </w:rPr>
              <w:t>1600</w:t>
            </w:r>
          </w:p>
        </w:tc>
        <w:tc>
          <w:tcPr>
            <w:tcW w:w="2588" w:type="dxa"/>
            <w:vMerge w:val="continue"/>
            <w:tcBorders>
              <w:tl2br w:val="nil"/>
              <w:tr2bl w:val="nil"/>
            </w:tcBorders>
            <w:vAlign w:val="center"/>
          </w:tcPr>
          <w:p>
            <w:pPr>
              <w:jc w:val="cente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trPr>
        <w:tc>
          <w:tcPr>
            <w:tcW w:w="680" w:type="dxa"/>
            <w:tcBorders>
              <w:tl2br w:val="nil"/>
              <w:tr2bl w:val="nil"/>
            </w:tcBorders>
            <w:vAlign w:val="center"/>
          </w:tcPr>
          <w:p>
            <w:pPr>
              <w:spacing w:line="240" w:lineRule="auto"/>
              <w:jc w:val="center"/>
              <w:rPr>
                <w:rFonts w:hint="eastAsia" w:eastAsiaTheme="minorEastAsia"/>
                <w:sz w:val="24"/>
                <w:szCs w:val="24"/>
                <w:highlight w:val="none"/>
              </w:rPr>
            </w:pPr>
            <w:r>
              <w:rPr>
                <w:rFonts w:hint="eastAsia" w:eastAsiaTheme="minorEastAsia"/>
                <w:sz w:val="24"/>
                <w:szCs w:val="24"/>
                <w:highlight w:val="none"/>
              </w:rPr>
              <w:t>6</w:t>
            </w:r>
          </w:p>
        </w:tc>
        <w:tc>
          <w:tcPr>
            <w:tcW w:w="1281" w:type="dxa"/>
            <w:vMerge w:val="continue"/>
            <w:tcBorders>
              <w:tl2br w:val="nil"/>
              <w:tr2bl w:val="nil"/>
            </w:tcBorders>
            <w:vAlign w:val="center"/>
          </w:tcPr>
          <w:p>
            <w:pPr>
              <w:spacing w:line="240" w:lineRule="auto"/>
              <w:jc w:val="center"/>
              <w:rPr>
                <w:rFonts w:hint="eastAsia" w:eastAsiaTheme="minorEastAsia"/>
                <w:sz w:val="24"/>
                <w:szCs w:val="24"/>
                <w:highlight w:val="none"/>
              </w:rPr>
            </w:pPr>
          </w:p>
        </w:tc>
        <w:tc>
          <w:tcPr>
            <w:tcW w:w="1278" w:type="dxa"/>
            <w:vMerge w:val="continue"/>
            <w:tcBorders>
              <w:tl2br w:val="nil"/>
              <w:tr2bl w:val="nil"/>
            </w:tcBorders>
            <w:vAlign w:val="center"/>
          </w:tcPr>
          <w:p>
            <w:pPr>
              <w:spacing w:line="240" w:lineRule="auto"/>
              <w:jc w:val="center"/>
              <w:rPr>
                <w:rFonts w:hint="eastAsia" w:eastAsiaTheme="minorEastAsia"/>
                <w:sz w:val="24"/>
                <w:szCs w:val="24"/>
                <w:highlight w:val="none"/>
              </w:rPr>
            </w:pPr>
          </w:p>
        </w:tc>
        <w:tc>
          <w:tcPr>
            <w:tcW w:w="1691" w:type="dxa"/>
            <w:tcBorders>
              <w:tl2br w:val="nil"/>
              <w:tr2bl w:val="nil"/>
            </w:tcBorders>
            <w:vAlign w:val="center"/>
          </w:tcPr>
          <w:p>
            <w:pPr>
              <w:spacing w:line="240" w:lineRule="auto"/>
              <w:jc w:val="center"/>
              <w:rPr>
                <w:rFonts w:hint="eastAsia" w:eastAsiaTheme="minorEastAsia"/>
                <w:sz w:val="24"/>
                <w:szCs w:val="24"/>
                <w:highlight w:val="none"/>
              </w:rPr>
            </w:pPr>
            <w:r>
              <w:rPr>
                <w:rFonts w:hint="eastAsia" w:eastAsiaTheme="minorEastAsia"/>
                <w:sz w:val="24"/>
                <w:szCs w:val="24"/>
                <w:highlight w:val="none"/>
              </w:rPr>
              <w:t>新平四村</w:t>
            </w:r>
          </w:p>
        </w:tc>
        <w:tc>
          <w:tcPr>
            <w:tcW w:w="1920" w:type="dxa"/>
            <w:tcBorders>
              <w:tl2br w:val="nil"/>
              <w:tr2bl w:val="nil"/>
            </w:tcBorders>
            <w:vAlign w:val="center"/>
          </w:tcPr>
          <w:p>
            <w:pPr>
              <w:spacing w:line="240" w:lineRule="auto"/>
              <w:jc w:val="center"/>
              <w:rPr>
                <w:rFonts w:hint="eastAsia" w:eastAsiaTheme="minorEastAsia"/>
                <w:sz w:val="24"/>
                <w:szCs w:val="24"/>
                <w:highlight w:val="none"/>
              </w:rPr>
            </w:pPr>
            <w:r>
              <w:rPr>
                <w:rFonts w:hint="eastAsia" w:eastAsiaTheme="minorEastAsia"/>
                <w:sz w:val="24"/>
                <w:szCs w:val="24"/>
                <w:highlight w:val="none"/>
              </w:rPr>
              <w:t>居民区</w:t>
            </w:r>
          </w:p>
        </w:tc>
        <w:tc>
          <w:tcPr>
            <w:tcW w:w="1925" w:type="dxa"/>
            <w:tcBorders>
              <w:tl2br w:val="nil"/>
              <w:tr2bl w:val="nil"/>
            </w:tcBorders>
            <w:vAlign w:val="center"/>
          </w:tcPr>
          <w:p>
            <w:pPr>
              <w:spacing w:line="240" w:lineRule="auto"/>
              <w:jc w:val="center"/>
              <w:rPr>
                <w:rFonts w:hint="eastAsia" w:eastAsiaTheme="minorEastAsia"/>
                <w:sz w:val="24"/>
                <w:szCs w:val="24"/>
                <w:highlight w:val="none"/>
              </w:rPr>
            </w:pPr>
            <w:r>
              <w:rPr>
                <w:rFonts w:hint="eastAsia" w:eastAsiaTheme="minorEastAsia"/>
                <w:sz w:val="24"/>
                <w:szCs w:val="24"/>
                <w:highlight w:val="none"/>
              </w:rPr>
              <w:t>约2200人</w:t>
            </w:r>
          </w:p>
        </w:tc>
        <w:tc>
          <w:tcPr>
            <w:tcW w:w="1048" w:type="dxa"/>
            <w:tcBorders>
              <w:tl2br w:val="nil"/>
              <w:tr2bl w:val="nil"/>
            </w:tcBorders>
            <w:vAlign w:val="center"/>
          </w:tcPr>
          <w:p>
            <w:pPr>
              <w:spacing w:line="240" w:lineRule="auto"/>
              <w:jc w:val="center"/>
              <w:rPr>
                <w:rFonts w:hint="eastAsia" w:eastAsiaTheme="minorEastAsia"/>
                <w:sz w:val="24"/>
                <w:szCs w:val="24"/>
                <w:highlight w:val="none"/>
              </w:rPr>
            </w:pPr>
            <w:r>
              <w:rPr>
                <w:rFonts w:hint="eastAsia" w:eastAsiaTheme="minorEastAsia"/>
                <w:sz w:val="24"/>
                <w:szCs w:val="24"/>
                <w:highlight w:val="none"/>
                <w:lang w:eastAsia="zh-CN"/>
              </w:rPr>
              <w:t>西南</w:t>
            </w:r>
          </w:p>
        </w:tc>
        <w:tc>
          <w:tcPr>
            <w:tcW w:w="1601" w:type="dxa"/>
            <w:tcBorders>
              <w:tl2br w:val="nil"/>
              <w:tr2bl w:val="nil"/>
            </w:tcBorders>
            <w:vAlign w:val="center"/>
          </w:tcPr>
          <w:p>
            <w:pPr>
              <w:spacing w:line="240" w:lineRule="auto"/>
              <w:jc w:val="center"/>
              <w:rPr>
                <w:rFonts w:hint="eastAsia" w:eastAsiaTheme="minorEastAsia"/>
                <w:sz w:val="24"/>
                <w:szCs w:val="24"/>
                <w:highlight w:val="none"/>
              </w:rPr>
            </w:pPr>
            <w:r>
              <w:rPr>
                <w:rFonts w:hint="eastAsia" w:eastAsiaTheme="minorEastAsia"/>
                <w:sz w:val="24"/>
                <w:szCs w:val="24"/>
                <w:highlight w:val="none"/>
              </w:rPr>
              <w:t>2400</w:t>
            </w:r>
          </w:p>
        </w:tc>
        <w:tc>
          <w:tcPr>
            <w:tcW w:w="2588" w:type="dxa"/>
            <w:vMerge w:val="continue"/>
            <w:tcBorders>
              <w:tl2br w:val="nil"/>
              <w:tr2bl w:val="nil"/>
            </w:tcBorders>
            <w:vAlign w:val="center"/>
          </w:tcPr>
          <w:p>
            <w:pPr>
              <w:jc w:val="cente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trPr>
        <w:tc>
          <w:tcPr>
            <w:tcW w:w="680" w:type="dxa"/>
            <w:tcBorders>
              <w:tl2br w:val="nil"/>
              <w:tr2bl w:val="nil"/>
            </w:tcBorders>
            <w:vAlign w:val="center"/>
          </w:tcPr>
          <w:p>
            <w:pPr>
              <w:spacing w:line="240" w:lineRule="auto"/>
              <w:jc w:val="center"/>
              <w:rPr>
                <w:rFonts w:hint="eastAsia" w:eastAsiaTheme="minorEastAsia"/>
                <w:sz w:val="24"/>
                <w:szCs w:val="24"/>
                <w:highlight w:val="none"/>
              </w:rPr>
            </w:pPr>
            <w:r>
              <w:rPr>
                <w:rFonts w:hint="eastAsia" w:eastAsiaTheme="minorEastAsia"/>
                <w:sz w:val="24"/>
                <w:szCs w:val="24"/>
                <w:highlight w:val="none"/>
              </w:rPr>
              <w:t>7</w:t>
            </w:r>
          </w:p>
        </w:tc>
        <w:tc>
          <w:tcPr>
            <w:tcW w:w="1281" w:type="dxa"/>
            <w:vMerge w:val="continue"/>
            <w:tcBorders>
              <w:tl2br w:val="nil"/>
              <w:tr2bl w:val="nil"/>
            </w:tcBorders>
            <w:vAlign w:val="center"/>
          </w:tcPr>
          <w:p>
            <w:pPr>
              <w:spacing w:line="240" w:lineRule="auto"/>
              <w:jc w:val="center"/>
              <w:rPr>
                <w:rFonts w:hint="eastAsia" w:eastAsiaTheme="minorEastAsia"/>
                <w:sz w:val="24"/>
                <w:szCs w:val="24"/>
                <w:highlight w:val="none"/>
              </w:rPr>
            </w:pPr>
          </w:p>
        </w:tc>
        <w:tc>
          <w:tcPr>
            <w:tcW w:w="1278" w:type="dxa"/>
            <w:vMerge w:val="continue"/>
            <w:tcBorders>
              <w:tl2br w:val="nil"/>
              <w:tr2bl w:val="nil"/>
            </w:tcBorders>
            <w:vAlign w:val="center"/>
          </w:tcPr>
          <w:p>
            <w:pPr>
              <w:spacing w:line="240" w:lineRule="auto"/>
              <w:jc w:val="center"/>
              <w:rPr>
                <w:rFonts w:hint="eastAsia" w:eastAsiaTheme="minorEastAsia"/>
                <w:sz w:val="24"/>
                <w:szCs w:val="24"/>
                <w:highlight w:val="none"/>
              </w:rPr>
            </w:pPr>
          </w:p>
        </w:tc>
        <w:tc>
          <w:tcPr>
            <w:tcW w:w="1691" w:type="dxa"/>
            <w:tcBorders>
              <w:tl2br w:val="nil"/>
              <w:tr2bl w:val="nil"/>
            </w:tcBorders>
            <w:vAlign w:val="center"/>
          </w:tcPr>
          <w:p>
            <w:pPr>
              <w:spacing w:line="240" w:lineRule="auto"/>
              <w:jc w:val="center"/>
              <w:rPr>
                <w:rFonts w:hint="eastAsia" w:eastAsiaTheme="minorEastAsia"/>
                <w:sz w:val="24"/>
                <w:szCs w:val="24"/>
                <w:highlight w:val="none"/>
              </w:rPr>
            </w:pPr>
            <w:r>
              <w:rPr>
                <w:rFonts w:hint="eastAsia" w:eastAsiaTheme="minorEastAsia"/>
                <w:sz w:val="24"/>
                <w:szCs w:val="24"/>
                <w:highlight w:val="none"/>
              </w:rPr>
              <w:t>五围</w:t>
            </w:r>
          </w:p>
        </w:tc>
        <w:tc>
          <w:tcPr>
            <w:tcW w:w="1920" w:type="dxa"/>
            <w:tcBorders>
              <w:tl2br w:val="nil"/>
              <w:tr2bl w:val="nil"/>
            </w:tcBorders>
            <w:vAlign w:val="center"/>
          </w:tcPr>
          <w:p>
            <w:pPr>
              <w:spacing w:line="240" w:lineRule="auto"/>
              <w:jc w:val="center"/>
              <w:rPr>
                <w:rFonts w:hint="eastAsia" w:eastAsiaTheme="minorEastAsia"/>
                <w:sz w:val="24"/>
                <w:szCs w:val="24"/>
                <w:highlight w:val="none"/>
              </w:rPr>
            </w:pPr>
            <w:r>
              <w:rPr>
                <w:rFonts w:hint="eastAsia" w:eastAsiaTheme="minorEastAsia"/>
                <w:sz w:val="24"/>
                <w:szCs w:val="24"/>
                <w:highlight w:val="none"/>
              </w:rPr>
              <w:t>居民区</w:t>
            </w:r>
          </w:p>
        </w:tc>
        <w:tc>
          <w:tcPr>
            <w:tcW w:w="1925" w:type="dxa"/>
            <w:tcBorders>
              <w:tl2br w:val="nil"/>
              <w:tr2bl w:val="nil"/>
            </w:tcBorders>
            <w:vAlign w:val="center"/>
          </w:tcPr>
          <w:p>
            <w:pPr>
              <w:spacing w:line="240" w:lineRule="auto"/>
              <w:jc w:val="center"/>
              <w:rPr>
                <w:rFonts w:hint="eastAsia" w:eastAsiaTheme="minorEastAsia"/>
                <w:sz w:val="24"/>
                <w:szCs w:val="24"/>
                <w:highlight w:val="none"/>
              </w:rPr>
            </w:pPr>
            <w:r>
              <w:rPr>
                <w:rFonts w:hint="eastAsia" w:eastAsiaTheme="minorEastAsia"/>
                <w:sz w:val="24"/>
                <w:szCs w:val="24"/>
                <w:highlight w:val="none"/>
              </w:rPr>
              <w:t>约300人</w:t>
            </w:r>
          </w:p>
        </w:tc>
        <w:tc>
          <w:tcPr>
            <w:tcW w:w="1048" w:type="dxa"/>
            <w:tcBorders>
              <w:tl2br w:val="nil"/>
              <w:tr2bl w:val="nil"/>
            </w:tcBorders>
            <w:vAlign w:val="center"/>
          </w:tcPr>
          <w:p>
            <w:pPr>
              <w:spacing w:line="240" w:lineRule="auto"/>
              <w:jc w:val="center"/>
              <w:rPr>
                <w:rFonts w:hint="eastAsia" w:eastAsiaTheme="minorEastAsia"/>
                <w:sz w:val="24"/>
                <w:szCs w:val="24"/>
                <w:highlight w:val="none"/>
              </w:rPr>
            </w:pPr>
            <w:r>
              <w:rPr>
                <w:rFonts w:hint="eastAsia" w:eastAsiaTheme="minorEastAsia"/>
                <w:sz w:val="24"/>
                <w:szCs w:val="24"/>
                <w:highlight w:val="none"/>
                <w:lang w:eastAsia="zh-CN"/>
              </w:rPr>
              <w:t>西南</w:t>
            </w:r>
          </w:p>
        </w:tc>
        <w:tc>
          <w:tcPr>
            <w:tcW w:w="1601" w:type="dxa"/>
            <w:tcBorders>
              <w:tl2br w:val="nil"/>
              <w:tr2bl w:val="nil"/>
            </w:tcBorders>
            <w:vAlign w:val="center"/>
          </w:tcPr>
          <w:p>
            <w:pPr>
              <w:spacing w:line="240" w:lineRule="auto"/>
              <w:jc w:val="center"/>
              <w:rPr>
                <w:rFonts w:hint="eastAsia" w:eastAsiaTheme="minorEastAsia"/>
                <w:sz w:val="24"/>
                <w:szCs w:val="24"/>
                <w:highlight w:val="none"/>
              </w:rPr>
            </w:pPr>
            <w:r>
              <w:rPr>
                <w:rFonts w:hint="eastAsia" w:eastAsiaTheme="minorEastAsia"/>
                <w:sz w:val="24"/>
                <w:szCs w:val="24"/>
                <w:highlight w:val="none"/>
              </w:rPr>
              <w:t>450</w:t>
            </w:r>
          </w:p>
        </w:tc>
        <w:tc>
          <w:tcPr>
            <w:tcW w:w="2588" w:type="dxa"/>
            <w:vMerge w:val="continue"/>
            <w:tcBorders>
              <w:tl2br w:val="nil"/>
              <w:tr2bl w:val="nil"/>
            </w:tcBorders>
            <w:vAlign w:val="center"/>
          </w:tcPr>
          <w:p>
            <w:pPr>
              <w:jc w:val="cente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trPr>
        <w:tc>
          <w:tcPr>
            <w:tcW w:w="680" w:type="dxa"/>
            <w:tcBorders>
              <w:tl2br w:val="nil"/>
              <w:tr2bl w:val="nil"/>
            </w:tcBorders>
            <w:vAlign w:val="center"/>
          </w:tcPr>
          <w:p>
            <w:pPr>
              <w:spacing w:line="240" w:lineRule="auto"/>
              <w:jc w:val="center"/>
              <w:rPr>
                <w:rFonts w:hint="eastAsia" w:eastAsiaTheme="minorEastAsia"/>
                <w:sz w:val="24"/>
                <w:szCs w:val="24"/>
                <w:highlight w:val="none"/>
              </w:rPr>
            </w:pPr>
            <w:r>
              <w:rPr>
                <w:rFonts w:hint="eastAsia" w:eastAsiaTheme="minorEastAsia"/>
                <w:sz w:val="24"/>
                <w:szCs w:val="24"/>
                <w:highlight w:val="none"/>
              </w:rPr>
              <w:t>9</w:t>
            </w:r>
          </w:p>
        </w:tc>
        <w:tc>
          <w:tcPr>
            <w:tcW w:w="1281" w:type="dxa"/>
            <w:vMerge w:val="continue"/>
            <w:tcBorders>
              <w:tl2br w:val="nil"/>
              <w:tr2bl w:val="nil"/>
            </w:tcBorders>
            <w:vAlign w:val="center"/>
          </w:tcPr>
          <w:p>
            <w:pPr>
              <w:spacing w:line="240" w:lineRule="auto"/>
              <w:jc w:val="center"/>
              <w:rPr>
                <w:rFonts w:hint="eastAsia" w:eastAsiaTheme="minorEastAsia"/>
                <w:sz w:val="24"/>
                <w:szCs w:val="24"/>
                <w:highlight w:val="none"/>
              </w:rPr>
            </w:pPr>
          </w:p>
        </w:tc>
        <w:tc>
          <w:tcPr>
            <w:tcW w:w="1278" w:type="dxa"/>
            <w:vMerge w:val="restart"/>
            <w:tcBorders>
              <w:tl2br w:val="nil"/>
              <w:tr2bl w:val="nil"/>
            </w:tcBorders>
            <w:vAlign w:val="center"/>
          </w:tcPr>
          <w:p>
            <w:pPr>
              <w:spacing w:line="240" w:lineRule="auto"/>
              <w:jc w:val="center"/>
              <w:rPr>
                <w:rFonts w:hint="eastAsia" w:eastAsiaTheme="minorEastAsia"/>
                <w:sz w:val="24"/>
                <w:szCs w:val="24"/>
                <w:highlight w:val="none"/>
              </w:rPr>
            </w:pPr>
            <w:r>
              <w:rPr>
                <w:rFonts w:hint="eastAsia" w:eastAsiaTheme="minorEastAsia"/>
                <w:sz w:val="24"/>
                <w:szCs w:val="24"/>
                <w:highlight w:val="none"/>
              </w:rPr>
              <w:t>新建社区</w:t>
            </w:r>
          </w:p>
        </w:tc>
        <w:tc>
          <w:tcPr>
            <w:tcW w:w="1691" w:type="dxa"/>
            <w:tcBorders>
              <w:tl2br w:val="nil"/>
              <w:tr2bl w:val="nil"/>
            </w:tcBorders>
            <w:vAlign w:val="center"/>
          </w:tcPr>
          <w:p>
            <w:pPr>
              <w:spacing w:line="240" w:lineRule="auto"/>
              <w:jc w:val="center"/>
              <w:rPr>
                <w:rFonts w:hint="eastAsia" w:eastAsiaTheme="minorEastAsia"/>
                <w:sz w:val="24"/>
                <w:szCs w:val="24"/>
                <w:highlight w:val="none"/>
              </w:rPr>
            </w:pPr>
            <w:r>
              <w:rPr>
                <w:rFonts w:hint="eastAsia" w:eastAsiaTheme="minorEastAsia"/>
                <w:sz w:val="24"/>
                <w:szCs w:val="24"/>
                <w:highlight w:val="none"/>
              </w:rPr>
              <w:t>新建村</w:t>
            </w:r>
          </w:p>
        </w:tc>
        <w:tc>
          <w:tcPr>
            <w:tcW w:w="1920" w:type="dxa"/>
            <w:tcBorders>
              <w:tl2br w:val="nil"/>
              <w:tr2bl w:val="nil"/>
            </w:tcBorders>
            <w:vAlign w:val="center"/>
          </w:tcPr>
          <w:p>
            <w:pPr>
              <w:spacing w:line="240" w:lineRule="auto"/>
              <w:jc w:val="center"/>
              <w:rPr>
                <w:rFonts w:hint="eastAsia" w:eastAsiaTheme="minorEastAsia"/>
                <w:sz w:val="24"/>
                <w:szCs w:val="24"/>
                <w:highlight w:val="none"/>
              </w:rPr>
            </w:pPr>
            <w:r>
              <w:rPr>
                <w:rFonts w:hint="eastAsia" w:eastAsiaTheme="minorEastAsia"/>
                <w:sz w:val="24"/>
                <w:szCs w:val="24"/>
                <w:highlight w:val="none"/>
              </w:rPr>
              <w:t>居民区</w:t>
            </w:r>
          </w:p>
        </w:tc>
        <w:tc>
          <w:tcPr>
            <w:tcW w:w="1925" w:type="dxa"/>
            <w:tcBorders>
              <w:tl2br w:val="nil"/>
              <w:tr2bl w:val="nil"/>
            </w:tcBorders>
            <w:vAlign w:val="center"/>
          </w:tcPr>
          <w:p>
            <w:pPr>
              <w:spacing w:line="240" w:lineRule="auto"/>
              <w:jc w:val="center"/>
              <w:rPr>
                <w:rFonts w:hint="eastAsia" w:eastAsiaTheme="minorEastAsia"/>
                <w:sz w:val="24"/>
                <w:szCs w:val="24"/>
                <w:highlight w:val="none"/>
              </w:rPr>
            </w:pPr>
            <w:r>
              <w:rPr>
                <w:rFonts w:hint="eastAsia" w:eastAsiaTheme="minorEastAsia"/>
                <w:sz w:val="24"/>
                <w:szCs w:val="24"/>
                <w:highlight w:val="none"/>
              </w:rPr>
              <w:t>约700人</w:t>
            </w:r>
          </w:p>
        </w:tc>
        <w:tc>
          <w:tcPr>
            <w:tcW w:w="1048" w:type="dxa"/>
            <w:tcBorders>
              <w:tl2br w:val="nil"/>
              <w:tr2bl w:val="nil"/>
            </w:tcBorders>
            <w:vAlign w:val="center"/>
          </w:tcPr>
          <w:p>
            <w:pPr>
              <w:spacing w:line="240" w:lineRule="auto"/>
              <w:jc w:val="center"/>
              <w:rPr>
                <w:rFonts w:hint="eastAsia" w:eastAsiaTheme="minorEastAsia"/>
                <w:sz w:val="24"/>
                <w:szCs w:val="24"/>
                <w:highlight w:val="none"/>
                <w:lang w:eastAsia="zh-CN"/>
              </w:rPr>
            </w:pPr>
            <w:r>
              <w:rPr>
                <w:rFonts w:hint="eastAsia" w:eastAsiaTheme="minorEastAsia"/>
                <w:sz w:val="24"/>
                <w:szCs w:val="24"/>
                <w:highlight w:val="none"/>
                <w:lang w:eastAsia="zh-CN"/>
              </w:rPr>
              <w:t>南</w:t>
            </w:r>
          </w:p>
        </w:tc>
        <w:tc>
          <w:tcPr>
            <w:tcW w:w="1601" w:type="dxa"/>
            <w:tcBorders>
              <w:tl2br w:val="nil"/>
              <w:tr2bl w:val="nil"/>
            </w:tcBorders>
            <w:vAlign w:val="center"/>
          </w:tcPr>
          <w:p>
            <w:pPr>
              <w:spacing w:line="240" w:lineRule="auto"/>
              <w:jc w:val="center"/>
              <w:rPr>
                <w:rFonts w:hint="eastAsia" w:eastAsiaTheme="minorEastAsia"/>
                <w:sz w:val="24"/>
                <w:szCs w:val="24"/>
                <w:highlight w:val="none"/>
              </w:rPr>
            </w:pPr>
            <w:r>
              <w:rPr>
                <w:rFonts w:hint="eastAsia" w:eastAsiaTheme="minorEastAsia"/>
                <w:sz w:val="24"/>
                <w:szCs w:val="24"/>
                <w:highlight w:val="none"/>
              </w:rPr>
              <w:t>2000</w:t>
            </w:r>
          </w:p>
        </w:tc>
        <w:tc>
          <w:tcPr>
            <w:tcW w:w="2588" w:type="dxa"/>
            <w:vMerge w:val="continue"/>
            <w:tcBorders>
              <w:tl2br w:val="nil"/>
              <w:tr2bl w:val="nil"/>
            </w:tcBorders>
            <w:vAlign w:val="center"/>
          </w:tcPr>
          <w:p>
            <w:pPr>
              <w:jc w:val="cente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trPr>
        <w:tc>
          <w:tcPr>
            <w:tcW w:w="680" w:type="dxa"/>
            <w:tcBorders>
              <w:tl2br w:val="nil"/>
              <w:tr2bl w:val="nil"/>
            </w:tcBorders>
            <w:vAlign w:val="center"/>
          </w:tcPr>
          <w:p>
            <w:pPr>
              <w:spacing w:line="240" w:lineRule="auto"/>
              <w:jc w:val="center"/>
              <w:rPr>
                <w:rFonts w:hint="eastAsia" w:eastAsiaTheme="minorEastAsia"/>
                <w:sz w:val="24"/>
                <w:szCs w:val="24"/>
                <w:highlight w:val="none"/>
              </w:rPr>
            </w:pPr>
            <w:r>
              <w:rPr>
                <w:rFonts w:hint="eastAsia" w:eastAsiaTheme="minorEastAsia"/>
                <w:sz w:val="24"/>
                <w:szCs w:val="24"/>
                <w:highlight w:val="none"/>
              </w:rPr>
              <w:t>10</w:t>
            </w:r>
          </w:p>
        </w:tc>
        <w:tc>
          <w:tcPr>
            <w:tcW w:w="1281" w:type="dxa"/>
            <w:vMerge w:val="continue"/>
            <w:tcBorders>
              <w:tl2br w:val="nil"/>
              <w:tr2bl w:val="nil"/>
            </w:tcBorders>
            <w:vAlign w:val="center"/>
          </w:tcPr>
          <w:p>
            <w:pPr>
              <w:spacing w:line="240" w:lineRule="auto"/>
              <w:jc w:val="center"/>
              <w:rPr>
                <w:rFonts w:hint="eastAsia" w:eastAsiaTheme="minorEastAsia"/>
                <w:sz w:val="24"/>
                <w:szCs w:val="24"/>
                <w:highlight w:val="none"/>
              </w:rPr>
            </w:pPr>
          </w:p>
        </w:tc>
        <w:tc>
          <w:tcPr>
            <w:tcW w:w="1278" w:type="dxa"/>
            <w:vMerge w:val="continue"/>
            <w:tcBorders>
              <w:tl2br w:val="nil"/>
              <w:tr2bl w:val="nil"/>
            </w:tcBorders>
            <w:vAlign w:val="center"/>
          </w:tcPr>
          <w:p>
            <w:pPr>
              <w:spacing w:line="240" w:lineRule="auto"/>
              <w:jc w:val="center"/>
              <w:rPr>
                <w:rFonts w:hint="eastAsia" w:eastAsiaTheme="minorEastAsia"/>
                <w:sz w:val="24"/>
                <w:szCs w:val="24"/>
                <w:highlight w:val="none"/>
              </w:rPr>
            </w:pPr>
          </w:p>
        </w:tc>
        <w:tc>
          <w:tcPr>
            <w:tcW w:w="1691" w:type="dxa"/>
            <w:tcBorders>
              <w:tl2br w:val="nil"/>
              <w:tr2bl w:val="nil"/>
            </w:tcBorders>
            <w:vAlign w:val="center"/>
          </w:tcPr>
          <w:p>
            <w:pPr>
              <w:spacing w:line="240" w:lineRule="auto"/>
              <w:jc w:val="center"/>
              <w:rPr>
                <w:rFonts w:hint="eastAsia" w:eastAsiaTheme="minorEastAsia"/>
                <w:sz w:val="24"/>
                <w:szCs w:val="24"/>
                <w:highlight w:val="none"/>
              </w:rPr>
            </w:pPr>
            <w:r>
              <w:rPr>
                <w:rFonts w:hint="eastAsia" w:eastAsiaTheme="minorEastAsia"/>
                <w:sz w:val="24"/>
                <w:szCs w:val="24"/>
                <w:highlight w:val="none"/>
              </w:rPr>
              <w:t>六围</w:t>
            </w:r>
          </w:p>
        </w:tc>
        <w:tc>
          <w:tcPr>
            <w:tcW w:w="1920" w:type="dxa"/>
            <w:tcBorders>
              <w:tl2br w:val="nil"/>
              <w:tr2bl w:val="nil"/>
            </w:tcBorders>
            <w:vAlign w:val="center"/>
          </w:tcPr>
          <w:p>
            <w:pPr>
              <w:spacing w:line="240" w:lineRule="auto"/>
              <w:jc w:val="center"/>
              <w:rPr>
                <w:rFonts w:hint="eastAsia" w:eastAsiaTheme="minorEastAsia"/>
                <w:sz w:val="24"/>
                <w:szCs w:val="24"/>
                <w:highlight w:val="none"/>
              </w:rPr>
            </w:pPr>
            <w:r>
              <w:rPr>
                <w:rFonts w:hint="eastAsia" w:eastAsiaTheme="minorEastAsia"/>
                <w:sz w:val="24"/>
                <w:szCs w:val="24"/>
                <w:highlight w:val="none"/>
              </w:rPr>
              <w:t>居民区</w:t>
            </w:r>
          </w:p>
        </w:tc>
        <w:tc>
          <w:tcPr>
            <w:tcW w:w="1925" w:type="dxa"/>
            <w:tcBorders>
              <w:tl2br w:val="nil"/>
              <w:tr2bl w:val="nil"/>
            </w:tcBorders>
            <w:vAlign w:val="center"/>
          </w:tcPr>
          <w:p>
            <w:pPr>
              <w:spacing w:line="240" w:lineRule="auto"/>
              <w:jc w:val="center"/>
              <w:rPr>
                <w:rFonts w:hint="eastAsia" w:eastAsiaTheme="minorEastAsia"/>
                <w:sz w:val="24"/>
                <w:szCs w:val="24"/>
                <w:highlight w:val="none"/>
              </w:rPr>
            </w:pPr>
            <w:r>
              <w:rPr>
                <w:rFonts w:hint="eastAsia" w:eastAsiaTheme="minorEastAsia"/>
                <w:sz w:val="24"/>
                <w:szCs w:val="24"/>
                <w:highlight w:val="none"/>
              </w:rPr>
              <w:t>约1300人</w:t>
            </w:r>
          </w:p>
        </w:tc>
        <w:tc>
          <w:tcPr>
            <w:tcW w:w="1048" w:type="dxa"/>
            <w:tcBorders>
              <w:tl2br w:val="nil"/>
              <w:tr2bl w:val="nil"/>
            </w:tcBorders>
            <w:vAlign w:val="center"/>
          </w:tcPr>
          <w:p>
            <w:pPr>
              <w:spacing w:line="240" w:lineRule="auto"/>
              <w:jc w:val="center"/>
              <w:rPr>
                <w:rFonts w:hint="eastAsia" w:eastAsiaTheme="minorEastAsia"/>
                <w:sz w:val="24"/>
                <w:szCs w:val="24"/>
                <w:highlight w:val="none"/>
              </w:rPr>
            </w:pPr>
            <w:r>
              <w:rPr>
                <w:rFonts w:hint="eastAsia" w:eastAsiaTheme="minorEastAsia"/>
                <w:sz w:val="24"/>
                <w:szCs w:val="24"/>
                <w:highlight w:val="none"/>
                <w:lang w:eastAsia="zh-CN"/>
              </w:rPr>
              <w:t>南</w:t>
            </w:r>
          </w:p>
        </w:tc>
        <w:tc>
          <w:tcPr>
            <w:tcW w:w="1601" w:type="dxa"/>
            <w:tcBorders>
              <w:tl2br w:val="nil"/>
              <w:tr2bl w:val="nil"/>
            </w:tcBorders>
            <w:vAlign w:val="center"/>
          </w:tcPr>
          <w:p>
            <w:pPr>
              <w:spacing w:line="240" w:lineRule="auto"/>
              <w:jc w:val="center"/>
              <w:rPr>
                <w:rFonts w:hint="eastAsia" w:eastAsiaTheme="minorEastAsia"/>
                <w:sz w:val="24"/>
                <w:szCs w:val="24"/>
                <w:highlight w:val="none"/>
              </w:rPr>
            </w:pPr>
            <w:r>
              <w:rPr>
                <w:rFonts w:hint="eastAsia" w:eastAsiaTheme="minorEastAsia"/>
                <w:sz w:val="24"/>
                <w:szCs w:val="24"/>
                <w:highlight w:val="none"/>
              </w:rPr>
              <w:t>750</w:t>
            </w:r>
          </w:p>
        </w:tc>
        <w:tc>
          <w:tcPr>
            <w:tcW w:w="2588" w:type="dxa"/>
            <w:vMerge w:val="continue"/>
            <w:tcBorders>
              <w:tl2br w:val="nil"/>
              <w:tr2bl w:val="nil"/>
            </w:tcBorders>
            <w:vAlign w:val="center"/>
          </w:tcPr>
          <w:p>
            <w:pPr>
              <w:jc w:val="cente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trPr>
        <w:tc>
          <w:tcPr>
            <w:tcW w:w="680" w:type="dxa"/>
            <w:tcBorders>
              <w:tl2br w:val="nil"/>
              <w:tr2bl w:val="nil"/>
            </w:tcBorders>
            <w:vAlign w:val="center"/>
          </w:tcPr>
          <w:p>
            <w:pPr>
              <w:spacing w:line="240" w:lineRule="auto"/>
              <w:jc w:val="center"/>
              <w:rPr>
                <w:rFonts w:hint="eastAsia" w:eastAsiaTheme="minorEastAsia"/>
                <w:sz w:val="24"/>
                <w:szCs w:val="24"/>
                <w:highlight w:val="none"/>
              </w:rPr>
            </w:pPr>
            <w:r>
              <w:rPr>
                <w:rFonts w:hint="eastAsia" w:eastAsiaTheme="minorEastAsia"/>
                <w:sz w:val="24"/>
                <w:szCs w:val="24"/>
                <w:highlight w:val="none"/>
              </w:rPr>
              <w:t>11</w:t>
            </w:r>
          </w:p>
        </w:tc>
        <w:tc>
          <w:tcPr>
            <w:tcW w:w="1281" w:type="dxa"/>
            <w:vMerge w:val="continue"/>
            <w:tcBorders>
              <w:tl2br w:val="nil"/>
              <w:tr2bl w:val="nil"/>
            </w:tcBorders>
            <w:vAlign w:val="center"/>
          </w:tcPr>
          <w:p>
            <w:pPr>
              <w:spacing w:line="240" w:lineRule="auto"/>
              <w:jc w:val="center"/>
              <w:rPr>
                <w:rFonts w:hint="eastAsia" w:eastAsiaTheme="minorEastAsia"/>
                <w:sz w:val="24"/>
                <w:szCs w:val="24"/>
                <w:highlight w:val="none"/>
              </w:rPr>
            </w:pPr>
          </w:p>
        </w:tc>
        <w:tc>
          <w:tcPr>
            <w:tcW w:w="1278" w:type="dxa"/>
            <w:vMerge w:val="continue"/>
            <w:tcBorders>
              <w:tl2br w:val="nil"/>
              <w:tr2bl w:val="nil"/>
            </w:tcBorders>
            <w:vAlign w:val="center"/>
          </w:tcPr>
          <w:p>
            <w:pPr>
              <w:spacing w:line="240" w:lineRule="auto"/>
              <w:jc w:val="center"/>
              <w:rPr>
                <w:rFonts w:hint="eastAsia" w:eastAsiaTheme="minorEastAsia"/>
                <w:sz w:val="24"/>
                <w:szCs w:val="24"/>
                <w:highlight w:val="none"/>
              </w:rPr>
            </w:pPr>
          </w:p>
        </w:tc>
        <w:tc>
          <w:tcPr>
            <w:tcW w:w="1691" w:type="dxa"/>
            <w:tcBorders>
              <w:tl2br w:val="nil"/>
              <w:tr2bl w:val="nil"/>
            </w:tcBorders>
            <w:vAlign w:val="center"/>
          </w:tcPr>
          <w:p>
            <w:pPr>
              <w:spacing w:line="240" w:lineRule="auto"/>
              <w:jc w:val="center"/>
              <w:rPr>
                <w:rFonts w:hint="eastAsia" w:eastAsiaTheme="minorEastAsia"/>
                <w:sz w:val="24"/>
                <w:szCs w:val="24"/>
                <w:highlight w:val="none"/>
              </w:rPr>
            </w:pPr>
            <w:r>
              <w:rPr>
                <w:rFonts w:hint="eastAsia" w:eastAsiaTheme="minorEastAsia"/>
                <w:sz w:val="24"/>
                <w:szCs w:val="24"/>
                <w:highlight w:val="none"/>
              </w:rPr>
              <w:t>七围</w:t>
            </w:r>
          </w:p>
        </w:tc>
        <w:tc>
          <w:tcPr>
            <w:tcW w:w="1920" w:type="dxa"/>
            <w:tcBorders>
              <w:tl2br w:val="nil"/>
              <w:tr2bl w:val="nil"/>
            </w:tcBorders>
            <w:vAlign w:val="center"/>
          </w:tcPr>
          <w:p>
            <w:pPr>
              <w:spacing w:line="240" w:lineRule="auto"/>
              <w:jc w:val="center"/>
              <w:rPr>
                <w:rFonts w:hint="eastAsia" w:eastAsiaTheme="minorEastAsia"/>
                <w:sz w:val="24"/>
                <w:szCs w:val="24"/>
                <w:highlight w:val="none"/>
              </w:rPr>
            </w:pPr>
            <w:r>
              <w:rPr>
                <w:rFonts w:hint="eastAsia" w:eastAsiaTheme="minorEastAsia"/>
                <w:sz w:val="24"/>
                <w:szCs w:val="24"/>
                <w:highlight w:val="none"/>
              </w:rPr>
              <w:t>居民区</w:t>
            </w:r>
          </w:p>
        </w:tc>
        <w:tc>
          <w:tcPr>
            <w:tcW w:w="1925" w:type="dxa"/>
            <w:tcBorders>
              <w:tl2br w:val="nil"/>
              <w:tr2bl w:val="nil"/>
            </w:tcBorders>
            <w:vAlign w:val="center"/>
          </w:tcPr>
          <w:p>
            <w:pPr>
              <w:spacing w:line="240" w:lineRule="auto"/>
              <w:jc w:val="center"/>
              <w:rPr>
                <w:rFonts w:hint="eastAsia" w:eastAsiaTheme="minorEastAsia"/>
                <w:sz w:val="24"/>
                <w:szCs w:val="24"/>
                <w:highlight w:val="none"/>
              </w:rPr>
            </w:pPr>
            <w:r>
              <w:rPr>
                <w:rFonts w:hint="eastAsia" w:eastAsiaTheme="minorEastAsia"/>
                <w:sz w:val="24"/>
                <w:szCs w:val="24"/>
                <w:highlight w:val="none"/>
              </w:rPr>
              <w:t>约950人</w:t>
            </w:r>
          </w:p>
        </w:tc>
        <w:tc>
          <w:tcPr>
            <w:tcW w:w="1048" w:type="dxa"/>
            <w:tcBorders>
              <w:tl2br w:val="nil"/>
              <w:tr2bl w:val="nil"/>
            </w:tcBorders>
            <w:vAlign w:val="center"/>
          </w:tcPr>
          <w:p>
            <w:pPr>
              <w:spacing w:line="240" w:lineRule="auto"/>
              <w:jc w:val="center"/>
              <w:rPr>
                <w:rFonts w:hint="eastAsia" w:eastAsiaTheme="minorEastAsia"/>
                <w:sz w:val="24"/>
                <w:szCs w:val="24"/>
                <w:highlight w:val="none"/>
                <w:lang w:eastAsia="zh-CN"/>
              </w:rPr>
            </w:pPr>
            <w:r>
              <w:rPr>
                <w:rFonts w:hint="eastAsia" w:eastAsiaTheme="minorEastAsia"/>
                <w:sz w:val="24"/>
                <w:szCs w:val="24"/>
                <w:highlight w:val="none"/>
                <w:lang w:eastAsia="zh-CN"/>
              </w:rPr>
              <w:t>东南</w:t>
            </w:r>
          </w:p>
        </w:tc>
        <w:tc>
          <w:tcPr>
            <w:tcW w:w="1601" w:type="dxa"/>
            <w:tcBorders>
              <w:tl2br w:val="nil"/>
              <w:tr2bl w:val="nil"/>
            </w:tcBorders>
            <w:vAlign w:val="center"/>
          </w:tcPr>
          <w:p>
            <w:pPr>
              <w:spacing w:line="240" w:lineRule="auto"/>
              <w:jc w:val="center"/>
              <w:rPr>
                <w:rFonts w:hint="eastAsia" w:eastAsiaTheme="minorEastAsia"/>
                <w:sz w:val="24"/>
                <w:szCs w:val="24"/>
                <w:highlight w:val="none"/>
              </w:rPr>
            </w:pPr>
            <w:r>
              <w:rPr>
                <w:rFonts w:hint="eastAsia" w:eastAsiaTheme="minorEastAsia"/>
                <w:sz w:val="24"/>
                <w:szCs w:val="24"/>
                <w:highlight w:val="none"/>
              </w:rPr>
              <w:t>2050</w:t>
            </w:r>
          </w:p>
        </w:tc>
        <w:tc>
          <w:tcPr>
            <w:tcW w:w="2588" w:type="dxa"/>
            <w:vMerge w:val="continue"/>
            <w:tcBorders>
              <w:tl2br w:val="nil"/>
              <w:tr2bl w:val="nil"/>
            </w:tcBorders>
            <w:vAlign w:val="center"/>
          </w:tcPr>
          <w:p>
            <w:pPr>
              <w:jc w:val="cente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231" w:hRule="atLeast"/>
        </w:trPr>
        <w:tc>
          <w:tcPr>
            <w:tcW w:w="680" w:type="dxa"/>
            <w:tcBorders>
              <w:tl2br w:val="nil"/>
              <w:tr2bl w:val="nil"/>
            </w:tcBorders>
            <w:vAlign w:val="center"/>
          </w:tcPr>
          <w:p>
            <w:pPr>
              <w:spacing w:line="240" w:lineRule="auto"/>
              <w:jc w:val="center"/>
              <w:rPr>
                <w:rFonts w:hint="eastAsia" w:eastAsiaTheme="minorEastAsia"/>
                <w:sz w:val="24"/>
                <w:szCs w:val="24"/>
                <w:highlight w:val="none"/>
              </w:rPr>
            </w:pPr>
            <w:r>
              <w:rPr>
                <w:rFonts w:hint="eastAsia" w:eastAsiaTheme="minorEastAsia"/>
                <w:sz w:val="24"/>
                <w:szCs w:val="24"/>
                <w:highlight w:val="none"/>
              </w:rPr>
              <w:t>12</w:t>
            </w:r>
          </w:p>
        </w:tc>
        <w:tc>
          <w:tcPr>
            <w:tcW w:w="1281" w:type="dxa"/>
            <w:vMerge w:val="continue"/>
            <w:tcBorders>
              <w:tl2br w:val="nil"/>
              <w:tr2bl w:val="nil"/>
            </w:tcBorders>
            <w:vAlign w:val="center"/>
          </w:tcPr>
          <w:p>
            <w:pPr>
              <w:spacing w:line="240" w:lineRule="auto"/>
              <w:jc w:val="center"/>
              <w:rPr>
                <w:rFonts w:hint="eastAsia" w:eastAsiaTheme="minorEastAsia"/>
                <w:sz w:val="24"/>
                <w:szCs w:val="24"/>
                <w:highlight w:val="none"/>
              </w:rPr>
            </w:pPr>
          </w:p>
        </w:tc>
        <w:tc>
          <w:tcPr>
            <w:tcW w:w="1278" w:type="dxa"/>
            <w:vMerge w:val="restart"/>
            <w:tcBorders>
              <w:tl2br w:val="nil"/>
              <w:tr2bl w:val="nil"/>
            </w:tcBorders>
            <w:vAlign w:val="center"/>
          </w:tcPr>
          <w:p>
            <w:pPr>
              <w:spacing w:line="240" w:lineRule="auto"/>
              <w:jc w:val="center"/>
              <w:rPr>
                <w:rFonts w:hint="eastAsia" w:eastAsiaTheme="minorEastAsia"/>
                <w:sz w:val="24"/>
                <w:szCs w:val="24"/>
                <w:highlight w:val="none"/>
              </w:rPr>
            </w:pPr>
            <w:r>
              <w:rPr>
                <w:rFonts w:hint="eastAsia" w:eastAsiaTheme="minorEastAsia"/>
                <w:sz w:val="24"/>
                <w:szCs w:val="24"/>
                <w:highlight w:val="none"/>
              </w:rPr>
              <w:t>民兴社区</w:t>
            </w:r>
          </w:p>
        </w:tc>
        <w:tc>
          <w:tcPr>
            <w:tcW w:w="1691" w:type="dxa"/>
            <w:tcBorders>
              <w:tl2br w:val="nil"/>
              <w:tr2bl w:val="nil"/>
            </w:tcBorders>
            <w:vAlign w:val="center"/>
          </w:tcPr>
          <w:p>
            <w:pPr>
              <w:spacing w:line="240" w:lineRule="auto"/>
              <w:jc w:val="center"/>
              <w:rPr>
                <w:rFonts w:hint="eastAsia" w:eastAsiaTheme="minorEastAsia"/>
                <w:sz w:val="24"/>
                <w:szCs w:val="24"/>
                <w:highlight w:val="none"/>
              </w:rPr>
            </w:pPr>
            <w:r>
              <w:rPr>
                <w:rFonts w:hint="eastAsia" w:eastAsiaTheme="minorEastAsia"/>
                <w:sz w:val="24"/>
                <w:szCs w:val="24"/>
                <w:highlight w:val="none"/>
              </w:rPr>
              <w:t>民建村</w:t>
            </w:r>
          </w:p>
        </w:tc>
        <w:tc>
          <w:tcPr>
            <w:tcW w:w="1920" w:type="dxa"/>
            <w:tcBorders>
              <w:tl2br w:val="nil"/>
              <w:tr2bl w:val="nil"/>
            </w:tcBorders>
            <w:vAlign w:val="center"/>
          </w:tcPr>
          <w:p>
            <w:pPr>
              <w:spacing w:line="240" w:lineRule="auto"/>
              <w:jc w:val="center"/>
              <w:rPr>
                <w:rFonts w:hint="eastAsia" w:eastAsiaTheme="minorEastAsia"/>
                <w:sz w:val="24"/>
                <w:szCs w:val="24"/>
                <w:highlight w:val="none"/>
              </w:rPr>
            </w:pPr>
            <w:r>
              <w:rPr>
                <w:rFonts w:hint="eastAsia" w:eastAsiaTheme="minorEastAsia"/>
                <w:sz w:val="24"/>
                <w:szCs w:val="24"/>
                <w:highlight w:val="none"/>
              </w:rPr>
              <w:t>居民区</w:t>
            </w:r>
          </w:p>
        </w:tc>
        <w:tc>
          <w:tcPr>
            <w:tcW w:w="1925" w:type="dxa"/>
            <w:tcBorders>
              <w:tl2br w:val="nil"/>
              <w:tr2bl w:val="nil"/>
            </w:tcBorders>
            <w:vAlign w:val="center"/>
          </w:tcPr>
          <w:p>
            <w:pPr>
              <w:spacing w:line="240" w:lineRule="auto"/>
              <w:jc w:val="center"/>
              <w:rPr>
                <w:rFonts w:hint="eastAsia" w:eastAsiaTheme="minorEastAsia"/>
                <w:sz w:val="24"/>
                <w:szCs w:val="24"/>
                <w:highlight w:val="none"/>
              </w:rPr>
            </w:pPr>
            <w:r>
              <w:rPr>
                <w:rFonts w:hint="eastAsia" w:eastAsiaTheme="minorEastAsia"/>
                <w:sz w:val="24"/>
                <w:szCs w:val="24"/>
                <w:highlight w:val="none"/>
              </w:rPr>
              <w:t>约1700人</w:t>
            </w:r>
          </w:p>
        </w:tc>
        <w:tc>
          <w:tcPr>
            <w:tcW w:w="1048" w:type="dxa"/>
            <w:tcBorders>
              <w:tl2br w:val="nil"/>
              <w:tr2bl w:val="nil"/>
            </w:tcBorders>
            <w:vAlign w:val="center"/>
          </w:tcPr>
          <w:p>
            <w:pPr>
              <w:spacing w:line="240" w:lineRule="auto"/>
              <w:jc w:val="center"/>
              <w:rPr>
                <w:rFonts w:hint="eastAsia" w:eastAsiaTheme="minorEastAsia"/>
                <w:sz w:val="24"/>
                <w:szCs w:val="24"/>
                <w:highlight w:val="none"/>
              </w:rPr>
            </w:pPr>
            <w:r>
              <w:rPr>
                <w:rFonts w:hint="eastAsia" w:eastAsiaTheme="minorEastAsia"/>
                <w:sz w:val="24"/>
                <w:szCs w:val="24"/>
                <w:highlight w:val="none"/>
                <w:lang w:eastAsia="zh-CN"/>
              </w:rPr>
              <w:t>东南</w:t>
            </w:r>
          </w:p>
        </w:tc>
        <w:tc>
          <w:tcPr>
            <w:tcW w:w="1601" w:type="dxa"/>
            <w:tcBorders>
              <w:tl2br w:val="nil"/>
              <w:tr2bl w:val="nil"/>
            </w:tcBorders>
            <w:vAlign w:val="center"/>
          </w:tcPr>
          <w:p>
            <w:pPr>
              <w:spacing w:line="240" w:lineRule="auto"/>
              <w:jc w:val="center"/>
              <w:rPr>
                <w:rFonts w:hint="eastAsia" w:eastAsiaTheme="minorEastAsia"/>
                <w:sz w:val="24"/>
                <w:szCs w:val="24"/>
                <w:highlight w:val="none"/>
              </w:rPr>
            </w:pPr>
            <w:r>
              <w:rPr>
                <w:rFonts w:hint="eastAsia" w:eastAsiaTheme="minorEastAsia"/>
                <w:sz w:val="24"/>
                <w:szCs w:val="24"/>
                <w:highlight w:val="none"/>
              </w:rPr>
              <w:t>1200</w:t>
            </w:r>
          </w:p>
        </w:tc>
        <w:tc>
          <w:tcPr>
            <w:tcW w:w="2588" w:type="dxa"/>
            <w:vMerge w:val="continue"/>
            <w:tcBorders>
              <w:tl2br w:val="nil"/>
              <w:tr2bl w:val="nil"/>
            </w:tcBorders>
            <w:vAlign w:val="center"/>
          </w:tcPr>
          <w:p>
            <w:pPr>
              <w:jc w:val="cente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trPr>
        <w:tc>
          <w:tcPr>
            <w:tcW w:w="680" w:type="dxa"/>
            <w:tcBorders>
              <w:tl2br w:val="nil"/>
              <w:tr2bl w:val="nil"/>
            </w:tcBorders>
            <w:vAlign w:val="center"/>
          </w:tcPr>
          <w:p>
            <w:pPr>
              <w:spacing w:line="240" w:lineRule="auto"/>
              <w:jc w:val="center"/>
              <w:rPr>
                <w:rFonts w:hint="eastAsia" w:eastAsiaTheme="minorEastAsia"/>
                <w:sz w:val="24"/>
                <w:szCs w:val="24"/>
                <w:highlight w:val="none"/>
              </w:rPr>
            </w:pPr>
            <w:r>
              <w:rPr>
                <w:rFonts w:hint="eastAsia" w:eastAsiaTheme="minorEastAsia"/>
                <w:sz w:val="24"/>
                <w:szCs w:val="24"/>
                <w:highlight w:val="none"/>
              </w:rPr>
              <w:t>13</w:t>
            </w:r>
          </w:p>
        </w:tc>
        <w:tc>
          <w:tcPr>
            <w:tcW w:w="1281" w:type="dxa"/>
            <w:vMerge w:val="continue"/>
            <w:tcBorders>
              <w:tl2br w:val="nil"/>
              <w:tr2bl w:val="nil"/>
            </w:tcBorders>
            <w:vAlign w:val="center"/>
          </w:tcPr>
          <w:p>
            <w:pPr>
              <w:spacing w:line="240" w:lineRule="auto"/>
              <w:jc w:val="center"/>
              <w:rPr>
                <w:rFonts w:hint="eastAsia" w:eastAsiaTheme="minorEastAsia"/>
                <w:sz w:val="24"/>
                <w:szCs w:val="24"/>
                <w:highlight w:val="none"/>
              </w:rPr>
            </w:pPr>
          </w:p>
        </w:tc>
        <w:tc>
          <w:tcPr>
            <w:tcW w:w="1278" w:type="dxa"/>
            <w:vMerge w:val="continue"/>
            <w:tcBorders>
              <w:tl2br w:val="nil"/>
              <w:tr2bl w:val="nil"/>
            </w:tcBorders>
            <w:vAlign w:val="center"/>
          </w:tcPr>
          <w:p>
            <w:pPr>
              <w:spacing w:line="240" w:lineRule="auto"/>
              <w:jc w:val="center"/>
              <w:rPr>
                <w:rFonts w:hint="eastAsia" w:eastAsiaTheme="minorEastAsia"/>
                <w:sz w:val="24"/>
                <w:szCs w:val="24"/>
                <w:highlight w:val="none"/>
              </w:rPr>
            </w:pPr>
          </w:p>
        </w:tc>
        <w:tc>
          <w:tcPr>
            <w:tcW w:w="1691" w:type="dxa"/>
            <w:tcBorders>
              <w:tl2br w:val="nil"/>
              <w:tr2bl w:val="nil"/>
            </w:tcBorders>
            <w:vAlign w:val="center"/>
          </w:tcPr>
          <w:p>
            <w:pPr>
              <w:spacing w:line="240" w:lineRule="auto"/>
              <w:jc w:val="center"/>
              <w:rPr>
                <w:rFonts w:hint="eastAsia" w:eastAsiaTheme="minorEastAsia"/>
                <w:sz w:val="24"/>
                <w:szCs w:val="24"/>
                <w:highlight w:val="none"/>
              </w:rPr>
            </w:pPr>
            <w:r>
              <w:rPr>
                <w:rFonts w:hint="eastAsia" w:eastAsiaTheme="minorEastAsia"/>
                <w:sz w:val="24"/>
                <w:szCs w:val="24"/>
                <w:highlight w:val="none"/>
              </w:rPr>
              <w:t>裕泗安围</w:t>
            </w:r>
          </w:p>
        </w:tc>
        <w:tc>
          <w:tcPr>
            <w:tcW w:w="1920" w:type="dxa"/>
            <w:tcBorders>
              <w:tl2br w:val="nil"/>
              <w:tr2bl w:val="nil"/>
            </w:tcBorders>
            <w:vAlign w:val="center"/>
          </w:tcPr>
          <w:p>
            <w:pPr>
              <w:spacing w:line="240" w:lineRule="auto"/>
              <w:jc w:val="center"/>
              <w:rPr>
                <w:rFonts w:hint="eastAsia" w:eastAsiaTheme="minorEastAsia"/>
                <w:sz w:val="24"/>
                <w:szCs w:val="24"/>
                <w:highlight w:val="none"/>
              </w:rPr>
            </w:pPr>
            <w:r>
              <w:rPr>
                <w:rFonts w:hint="eastAsia" w:eastAsiaTheme="minorEastAsia"/>
                <w:sz w:val="24"/>
                <w:szCs w:val="24"/>
                <w:highlight w:val="none"/>
              </w:rPr>
              <w:t>居民区</w:t>
            </w:r>
          </w:p>
        </w:tc>
        <w:tc>
          <w:tcPr>
            <w:tcW w:w="1925" w:type="dxa"/>
            <w:tcBorders>
              <w:tl2br w:val="nil"/>
              <w:tr2bl w:val="nil"/>
            </w:tcBorders>
            <w:vAlign w:val="center"/>
          </w:tcPr>
          <w:p>
            <w:pPr>
              <w:spacing w:line="240" w:lineRule="auto"/>
              <w:jc w:val="center"/>
              <w:rPr>
                <w:rFonts w:hint="eastAsia" w:eastAsiaTheme="minorEastAsia"/>
                <w:sz w:val="24"/>
                <w:szCs w:val="24"/>
                <w:highlight w:val="none"/>
              </w:rPr>
            </w:pPr>
            <w:r>
              <w:rPr>
                <w:rFonts w:hint="eastAsia" w:eastAsiaTheme="minorEastAsia"/>
                <w:sz w:val="24"/>
                <w:szCs w:val="24"/>
                <w:highlight w:val="none"/>
              </w:rPr>
              <w:t>约1200人</w:t>
            </w:r>
          </w:p>
        </w:tc>
        <w:tc>
          <w:tcPr>
            <w:tcW w:w="1048" w:type="dxa"/>
            <w:tcBorders>
              <w:tl2br w:val="nil"/>
              <w:tr2bl w:val="nil"/>
            </w:tcBorders>
            <w:vAlign w:val="center"/>
          </w:tcPr>
          <w:p>
            <w:pPr>
              <w:spacing w:line="240" w:lineRule="auto"/>
              <w:jc w:val="center"/>
              <w:rPr>
                <w:rFonts w:hint="eastAsia" w:eastAsiaTheme="minorEastAsia"/>
                <w:sz w:val="24"/>
                <w:szCs w:val="24"/>
                <w:highlight w:val="none"/>
              </w:rPr>
            </w:pPr>
            <w:r>
              <w:rPr>
                <w:rFonts w:hint="eastAsia" w:eastAsiaTheme="minorEastAsia"/>
                <w:sz w:val="24"/>
                <w:szCs w:val="24"/>
                <w:highlight w:val="none"/>
                <w:lang w:eastAsia="zh-CN"/>
              </w:rPr>
              <w:t>东南</w:t>
            </w:r>
          </w:p>
        </w:tc>
        <w:tc>
          <w:tcPr>
            <w:tcW w:w="1601" w:type="dxa"/>
            <w:tcBorders>
              <w:tl2br w:val="nil"/>
              <w:tr2bl w:val="nil"/>
            </w:tcBorders>
            <w:vAlign w:val="center"/>
          </w:tcPr>
          <w:p>
            <w:pPr>
              <w:spacing w:line="240" w:lineRule="auto"/>
              <w:jc w:val="center"/>
              <w:rPr>
                <w:rFonts w:hint="eastAsia" w:eastAsiaTheme="minorEastAsia"/>
                <w:sz w:val="24"/>
                <w:szCs w:val="24"/>
                <w:highlight w:val="none"/>
              </w:rPr>
            </w:pPr>
            <w:r>
              <w:rPr>
                <w:rFonts w:hint="eastAsia" w:eastAsiaTheme="minorEastAsia"/>
                <w:sz w:val="24"/>
                <w:szCs w:val="24"/>
                <w:highlight w:val="none"/>
              </w:rPr>
              <w:t>2150</w:t>
            </w:r>
          </w:p>
        </w:tc>
        <w:tc>
          <w:tcPr>
            <w:tcW w:w="2588" w:type="dxa"/>
            <w:vMerge w:val="continue"/>
            <w:tcBorders>
              <w:tl2br w:val="nil"/>
              <w:tr2bl w:val="nil"/>
            </w:tcBorders>
            <w:vAlign w:val="center"/>
          </w:tcPr>
          <w:p>
            <w:pPr>
              <w:jc w:val="cente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trPr>
        <w:tc>
          <w:tcPr>
            <w:tcW w:w="680" w:type="dxa"/>
            <w:tcBorders>
              <w:tl2br w:val="nil"/>
              <w:tr2bl w:val="nil"/>
            </w:tcBorders>
            <w:vAlign w:val="center"/>
          </w:tcPr>
          <w:p>
            <w:pPr>
              <w:spacing w:line="240" w:lineRule="auto"/>
              <w:jc w:val="center"/>
              <w:rPr>
                <w:rFonts w:hint="eastAsia" w:eastAsiaTheme="minorEastAsia"/>
                <w:sz w:val="24"/>
                <w:szCs w:val="24"/>
                <w:highlight w:val="none"/>
              </w:rPr>
            </w:pPr>
            <w:r>
              <w:rPr>
                <w:rFonts w:hint="eastAsia" w:eastAsiaTheme="minorEastAsia"/>
                <w:sz w:val="24"/>
                <w:szCs w:val="24"/>
                <w:highlight w:val="none"/>
              </w:rPr>
              <w:t>14</w:t>
            </w:r>
          </w:p>
        </w:tc>
        <w:tc>
          <w:tcPr>
            <w:tcW w:w="1281" w:type="dxa"/>
            <w:vMerge w:val="restart"/>
            <w:tcBorders>
              <w:tl2br w:val="nil"/>
              <w:tr2bl w:val="nil"/>
            </w:tcBorders>
            <w:vAlign w:val="center"/>
          </w:tcPr>
          <w:p>
            <w:pPr>
              <w:spacing w:line="240" w:lineRule="auto"/>
              <w:jc w:val="center"/>
              <w:rPr>
                <w:rFonts w:hint="eastAsia" w:eastAsiaTheme="minorEastAsia"/>
                <w:sz w:val="24"/>
                <w:szCs w:val="24"/>
                <w:highlight w:val="none"/>
              </w:rPr>
            </w:pPr>
            <w:r>
              <w:rPr>
                <w:rFonts w:hint="eastAsia" w:eastAsiaTheme="minorEastAsia"/>
                <w:sz w:val="24"/>
                <w:szCs w:val="24"/>
                <w:highlight w:val="none"/>
              </w:rPr>
              <w:t>广州</w:t>
            </w:r>
          </w:p>
        </w:tc>
        <w:tc>
          <w:tcPr>
            <w:tcW w:w="2969" w:type="dxa"/>
            <w:gridSpan w:val="2"/>
            <w:tcBorders>
              <w:tl2br w:val="nil"/>
              <w:tr2bl w:val="nil"/>
            </w:tcBorders>
            <w:vAlign w:val="center"/>
          </w:tcPr>
          <w:p>
            <w:pPr>
              <w:spacing w:line="240" w:lineRule="auto"/>
              <w:jc w:val="center"/>
              <w:rPr>
                <w:rFonts w:hint="eastAsia" w:eastAsiaTheme="minorEastAsia"/>
                <w:sz w:val="24"/>
                <w:szCs w:val="24"/>
                <w:highlight w:val="none"/>
              </w:rPr>
            </w:pPr>
            <w:r>
              <w:rPr>
                <w:rFonts w:hint="eastAsia" w:eastAsiaTheme="minorEastAsia"/>
                <w:sz w:val="24"/>
                <w:szCs w:val="24"/>
                <w:highlight w:val="none"/>
              </w:rPr>
              <w:t>同兴村</w:t>
            </w:r>
          </w:p>
        </w:tc>
        <w:tc>
          <w:tcPr>
            <w:tcW w:w="1920" w:type="dxa"/>
            <w:tcBorders>
              <w:tl2br w:val="nil"/>
              <w:tr2bl w:val="nil"/>
            </w:tcBorders>
            <w:vAlign w:val="center"/>
          </w:tcPr>
          <w:p>
            <w:pPr>
              <w:spacing w:line="240" w:lineRule="auto"/>
              <w:jc w:val="center"/>
              <w:rPr>
                <w:rFonts w:hint="eastAsia" w:eastAsiaTheme="minorEastAsia"/>
                <w:sz w:val="24"/>
                <w:szCs w:val="24"/>
                <w:highlight w:val="none"/>
              </w:rPr>
            </w:pPr>
            <w:r>
              <w:rPr>
                <w:rFonts w:hint="eastAsia" w:eastAsiaTheme="minorEastAsia"/>
                <w:sz w:val="24"/>
                <w:szCs w:val="24"/>
                <w:highlight w:val="none"/>
              </w:rPr>
              <w:t>居民区</w:t>
            </w:r>
          </w:p>
        </w:tc>
        <w:tc>
          <w:tcPr>
            <w:tcW w:w="1925" w:type="dxa"/>
            <w:tcBorders>
              <w:tl2br w:val="nil"/>
              <w:tr2bl w:val="nil"/>
            </w:tcBorders>
            <w:vAlign w:val="center"/>
          </w:tcPr>
          <w:p>
            <w:pPr>
              <w:spacing w:line="240" w:lineRule="auto"/>
              <w:jc w:val="center"/>
              <w:rPr>
                <w:rFonts w:hint="eastAsia" w:eastAsiaTheme="minorEastAsia"/>
                <w:sz w:val="24"/>
                <w:szCs w:val="24"/>
                <w:highlight w:val="none"/>
              </w:rPr>
            </w:pPr>
            <w:r>
              <w:rPr>
                <w:rFonts w:hint="eastAsia" w:eastAsiaTheme="minorEastAsia"/>
                <w:sz w:val="24"/>
                <w:szCs w:val="24"/>
                <w:highlight w:val="none"/>
              </w:rPr>
              <w:t>约1600人</w:t>
            </w:r>
          </w:p>
        </w:tc>
        <w:tc>
          <w:tcPr>
            <w:tcW w:w="1048" w:type="dxa"/>
            <w:tcBorders>
              <w:tl2br w:val="nil"/>
              <w:tr2bl w:val="nil"/>
            </w:tcBorders>
            <w:vAlign w:val="center"/>
          </w:tcPr>
          <w:p>
            <w:pPr>
              <w:spacing w:line="240" w:lineRule="auto"/>
              <w:jc w:val="center"/>
              <w:rPr>
                <w:rFonts w:hint="eastAsia" w:eastAsiaTheme="minorEastAsia"/>
                <w:sz w:val="24"/>
                <w:szCs w:val="24"/>
                <w:highlight w:val="none"/>
                <w:lang w:eastAsia="zh-CN"/>
              </w:rPr>
            </w:pPr>
            <w:r>
              <w:rPr>
                <w:rFonts w:hint="eastAsia" w:eastAsiaTheme="minorEastAsia"/>
                <w:sz w:val="24"/>
                <w:szCs w:val="24"/>
                <w:highlight w:val="none"/>
                <w:lang w:eastAsia="zh-CN"/>
              </w:rPr>
              <w:t>北</w:t>
            </w:r>
          </w:p>
        </w:tc>
        <w:tc>
          <w:tcPr>
            <w:tcW w:w="1601" w:type="dxa"/>
            <w:tcBorders>
              <w:tl2br w:val="nil"/>
              <w:tr2bl w:val="nil"/>
            </w:tcBorders>
            <w:vAlign w:val="center"/>
          </w:tcPr>
          <w:p>
            <w:pPr>
              <w:spacing w:line="240" w:lineRule="auto"/>
              <w:jc w:val="center"/>
              <w:rPr>
                <w:rFonts w:hint="eastAsia" w:eastAsiaTheme="minorEastAsia"/>
                <w:sz w:val="24"/>
                <w:szCs w:val="24"/>
                <w:highlight w:val="none"/>
              </w:rPr>
            </w:pPr>
            <w:r>
              <w:rPr>
                <w:rFonts w:hint="eastAsia" w:eastAsiaTheme="minorEastAsia"/>
                <w:sz w:val="24"/>
                <w:szCs w:val="24"/>
                <w:highlight w:val="none"/>
              </w:rPr>
              <w:t>2400</w:t>
            </w:r>
          </w:p>
        </w:tc>
        <w:tc>
          <w:tcPr>
            <w:tcW w:w="2588" w:type="dxa"/>
            <w:vMerge w:val="continue"/>
            <w:tcBorders>
              <w:tl2br w:val="nil"/>
              <w:tr2bl w:val="nil"/>
            </w:tcBorders>
            <w:vAlign w:val="center"/>
          </w:tcPr>
          <w:p>
            <w:pPr>
              <w:jc w:val="cente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trPr>
        <w:tc>
          <w:tcPr>
            <w:tcW w:w="680" w:type="dxa"/>
            <w:tcBorders>
              <w:tl2br w:val="nil"/>
              <w:tr2bl w:val="nil"/>
            </w:tcBorders>
            <w:vAlign w:val="center"/>
          </w:tcPr>
          <w:p>
            <w:pPr>
              <w:spacing w:line="240" w:lineRule="auto"/>
              <w:jc w:val="center"/>
              <w:rPr>
                <w:rFonts w:hint="eastAsia" w:eastAsiaTheme="minorEastAsia"/>
                <w:sz w:val="24"/>
                <w:szCs w:val="24"/>
                <w:highlight w:val="none"/>
              </w:rPr>
            </w:pPr>
            <w:r>
              <w:rPr>
                <w:rFonts w:hint="eastAsia" w:eastAsiaTheme="minorEastAsia"/>
                <w:sz w:val="24"/>
                <w:szCs w:val="24"/>
                <w:highlight w:val="none"/>
              </w:rPr>
              <w:t>15</w:t>
            </w:r>
          </w:p>
        </w:tc>
        <w:tc>
          <w:tcPr>
            <w:tcW w:w="1281" w:type="dxa"/>
            <w:vMerge w:val="continue"/>
            <w:tcBorders>
              <w:tl2br w:val="nil"/>
              <w:tr2bl w:val="nil"/>
            </w:tcBorders>
            <w:vAlign w:val="center"/>
          </w:tcPr>
          <w:p>
            <w:pPr>
              <w:spacing w:line="240" w:lineRule="auto"/>
              <w:jc w:val="center"/>
              <w:rPr>
                <w:rFonts w:hint="eastAsia" w:eastAsiaTheme="minorEastAsia"/>
                <w:sz w:val="24"/>
                <w:szCs w:val="24"/>
                <w:highlight w:val="none"/>
              </w:rPr>
            </w:pPr>
          </w:p>
        </w:tc>
        <w:tc>
          <w:tcPr>
            <w:tcW w:w="2969" w:type="dxa"/>
            <w:gridSpan w:val="2"/>
            <w:tcBorders>
              <w:tl2br w:val="nil"/>
              <w:tr2bl w:val="nil"/>
            </w:tcBorders>
            <w:vAlign w:val="center"/>
          </w:tcPr>
          <w:p>
            <w:pPr>
              <w:spacing w:line="240" w:lineRule="auto"/>
              <w:jc w:val="center"/>
              <w:rPr>
                <w:rFonts w:hint="eastAsia" w:eastAsiaTheme="minorEastAsia"/>
                <w:sz w:val="24"/>
                <w:szCs w:val="24"/>
                <w:highlight w:val="none"/>
              </w:rPr>
            </w:pPr>
            <w:r>
              <w:rPr>
                <w:rFonts w:hint="eastAsia" w:eastAsiaTheme="minorEastAsia"/>
                <w:sz w:val="24"/>
                <w:szCs w:val="24"/>
                <w:highlight w:val="none"/>
              </w:rPr>
              <w:t>年丰村</w:t>
            </w:r>
          </w:p>
        </w:tc>
        <w:tc>
          <w:tcPr>
            <w:tcW w:w="1920" w:type="dxa"/>
            <w:tcBorders>
              <w:tl2br w:val="nil"/>
              <w:tr2bl w:val="nil"/>
            </w:tcBorders>
            <w:vAlign w:val="center"/>
          </w:tcPr>
          <w:p>
            <w:pPr>
              <w:spacing w:line="240" w:lineRule="auto"/>
              <w:jc w:val="center"/>
              <w:rPr>
                <w:rFonts w:hint="eastAsia" w:eastAsiaTheme="minorEastAsia"/>
                <w:sz w:val="24"/>
                <w:szCs w:val="24"/>
                <w:highlight w:val="none"/>
              </w:rPr>
            </w:pPr>
            <w:r>
              <w:rPr>
                <w:rFonts w:hint="eastAsia" w:eastAsiaTheme="minorEastAsia"/>
                <w:sz w:val="24"/>
                <w:szCs w:val="24"/>
                <w:highlight w:val="none"/>
              </w:rPr>
              <w:t>居民区</w:t>
            </w:r>
          </w:p>
        </w:tc>
        <w:tc>
          <w:tcPr>
            <w:tcW w:w="1925" w:type="dxa"/>
            <w:tcBorders>
              <w:tl2br w:val="nil"/>
              <w:tr2bl w:val="nil"/>
            </w:tcBorders>
            <w:vAlign w:val="center"/>
          </w:tcPr>
          <w:p>
            <w:pPr>
              <w:spacing w:line="240" w:lineRule="auto"/>
              <w:jc w:val="center"/>
              <w:rPr>
                <w:rFonts w:hint="eastAsia" w:eastAsiaTheme="minorEastAsia"/>
                <w:sz w:val="24"/>
                <w:szCs w:val="24"/>
                <w:highlight w:val="none"/>
              </w:rPr>
            </w:pPr>
            <w:r>
              <w:rPr>
                <w:rFonts w:hint="eastAsia" w:eastAsiaTheme="minorEastAsia"/>
                <w:sz w:val="24"/>
                <w:szCs w:val="24"/>
                <w:highlight w:val="none"/>
              </w:rPr>
              <w:t>约3500人</w:t>
            </w:r>
          </w:p>
        </w:tc>
        <w:tc>
          <w:tcPr>
            <w:tcW w:w="1048" w:type="dxa"/>
            <w:tcBorders>
              <w:tl2br w:val="nil"/>
              <w:tr2bl w:val="nil"/>
            </w:tcBorders>
            <w:vAlign w:val="center"/>
          </w:tcPr>
          <w:p>
            <w:pPr>
              <w:spacing w:line="240" w:lineRule="auto"/>
              <w:jc w:val="center"/>
              <w:rPr>
                <w:rFonts w:hint="eastAsia" w:eastAsiaTheme="minorEastAsia"/>
                <w:sz w:val="24"/>
                <w:szCs w:val="24"/>
                <w:highlight w:val="none"/>
                <w:lang w:eastAsia="zh-CN"/>
              </w:rPr>
            </w:pPr>
            <w:r>
              <w:rPr>
                <w:rFonts w:hint="eastAsia" w:eastAsiaTheme="minorEastAsia"/>
                <w:sz w:val="24"/>
                <w:szCs w:val="24"/>
                <w:highlight w:val="none"/>
                <w:lang w:eastAsia="zh-CN"/>
              </w:rPr>
              <w:t>东北</w:t>
            </w:r>
          </w:p>
        </w:tc>
        <w:tc>
          <w:tcPr>
            <w:tcW w:w="1601" w:type="dxa"/>
            <w:tcBorders>
              <w:tl2br w:val="nil"/>
              <w:tr2bl w:val="nil"/>
            </w:tcBorders>
            <w:vAlign w:val="center"/>
          </w:tcPr>
          <w:p>
            <w:pPr>
              <w:spacing w:line="240" w:lineRule="auto"/>
              <w:jc w:val="center"/>
              <w:rPr>
                <w:rFonts w:hint="eastAsia" w:eastAsiaTheme="minorEastAsia"/>
                <w:sz w:val="24"/>
                <w:szCs w:val="24"/>
                <w:highlight w:val="none"/>
              </w:rPr>
            </w:pPr>
            <w:r>
              <w:rPr>
                <w:rFonts w:hint="eastAsia" w:eastAsiaTheme="minorEastAsia"/>
                <w:sz w:val="24"/>
                <w:szCs w:val="24"/>
                <w:highlight w:val="none"/>
              </w:rPr>
              <w:t>1550</w:t>
            </w:r>
          </w:p>
        </w:tc>
        <w:tc>
          <w:tcPr>
            <w:tcW w:w="2588" w:type="dxa"/>
            <w:vMerge w:val="continue"/>
            <w:tcBorders>
              <w:tl2br w:val="nil"/>
              <w:tr2bl w:val="nil"/>
            </w:tcBorders>
            <w:vAlign w:val="center"/>
          </w:tcPr>
          <w:p>
            <w:pPr>
              <w:jc w:val="cente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trPr>
        <w:tc>
          <w:tcPr>
            <w:tcW w:w="680" w:type="dxa"/>
            <w:tcBorders>
              <w:tl2br w:val="nil"/>
              <w:tr2bl w:val="nil"/>
            </w:tcBorders>
            <w:vAlign w:val="center"/>
          </w:tcPr>
          <w:p>
            <w:pPr>
              <w:spacing w:line="240" w:lineRule="auto"/>
              <w:jc w:val="center"/>
              <w:rPr>
                <w:rFonts w:hint="eastAsia" w:eastAsiaTheme="minorEastAsia"/>
                <w:sz w:val="24"/>
                <w:szCs w:val="24"/>
                <w:highlight w:val="none"/>
              </w:rPr>
            </w:pPr>
            <w:r>
              <w:rPr>
                <w:rFonts w:hint="eastAsia" w:eastAsiaTheme="minorEastAsia"/>
                <w:sz w:val="24"/>
                <w:szCs w:val="24"/>
                <w:highlight w:val="none"/>
              </w:rPr>
              <w:t>16</w:t>
            </w:r>
          </w:p>
        </w:tc>
        <w:tc>
          <w:tcPr>
            <w:tcW w:w="1281" w:type="dxa"/>
            <w:vMerge w:val="continue"/>
            <w:tcBorders>
              <w:tl2br w:val="nil"/>
              <w:tr2bl w:val="nil"/>
            </w:tcBorders>
            <w:vAlign w:val="center"/>
          </w:tcPr>
          <w:p>
            <w:pPr>
              <w:spacing w:line="240" w:lineRule="auto"/>
              <w:jc w:val="center"/>
              <w:rPr>
                <w:rFonts w:hint="eastAsia" w:eastAsiaTheme="minorEastAsia"/>
                <w:sz w:val="24"/>
                <w:szCs w:val="24"/>
                <w:highlight w:val="none"/>
              </w:rPr>
            </w:pPr>
          </w:p>
        </w:tc>
        <w:tc>
          <w:tcPr>
            <w:tcW w:w="2969" w:type="dxa"/>
            <w:gridSpan w:val="2"/>
            <w:tcBorders>
              <w:tl2br w:val="nil"/>
              <w:tr2bl w:val="nil"/>
            </w:tcBorders>
            <w:vAlign w:val="center"/>
          </w:tcPr>
          <w:p>
            <w:pPr>
              <w:spacing w:line="240" w:lineRule="auto"/>
              <w:jc w:val="center"/>
              <w:rPr>
                <w:rFonts w:hint="eastAsia" w:eastAsiaTheme="minorEastAsia"/>
                <w:sz w:val="24"/>
                <w:szCs w:val="24"/>
                <w:highlight w:val="none"/>
              </w:rPr>
            </w:pPr>
            <w:r>
              <w:rPr>
                <w:rFonts w:hint="eastAsia" w:eastAsiaTheme="minorEastAsia"/>
                <w:sz w:val="24"/>
                <w:szCs w:val="24"/>
                <w:highlight w:val="none"/>
              </w:rPr>
              <w:t>新安村</w:t>
            </w:r>
          </w:p>
        </w:tc>
        <w:tc>
          <w:tcPr>
            <w:tcW w:w="1920" w:type="dxa"/>
            <w:tcBorders>
              <w:tl2br w:val="nil"/>
              <w:tr2bl w:val="nil"/>
            </w:tcBorders>
            <w:vAlign w:val="center"/>
          </w:tcPr>
          <w:p>
            <w:pPr>
              <w:spacing w:line="240" w:lineRule="auto"/>
              <w:jc w:val="center"/>
              <w:rPr>
                <w:rFonts w:hint="eastAsia" w:eastAsiaTheme="minorEastAsia"/>
                <w:sz w:val="24"/>
                <w:szCs w:val="24"/>
                <w:highlight w:val="none"/>
              </w:rPr>
            </w:pPr>
            <w:r>
              <w:rPr>
                <w:rFonts w:hint="eastAsia" w:eastAsiaTheme="minorEastAsia"/>
                <w:sz w:val="24"/>
                <w:szCs w:val="24"/>
                <w:highlight w:val="none"/>
              </w:rPr>
              <w:t>居民区</w:t>
            </w:r>
          </w:p>
        </w:tc>
        <w:tc>
          <w:tcPr>
            <w:tcW w:w="1925" w:type="dxa"/>
            <w:tcBorders>
              <w:tl2br w:val="nil"/>
              <w:tr2bl w:val="nil"/>
            </w:tcBorders>
            <w:vAlign w:val="center"/>
          </w:tcPr>
          <w:p>
            <w:pPr>
              <w:spacing w:line="240" w:lineRule="auto"/>
              <w:jc w:val="center"/>
              <w:rPr>
                <w:rFonts w:hint="eastAsia" w:eastAsiaTheme="minorEastAsia"/>
                <w:sz w:val="24"/>
                <w:szCs w:val="24"/>
                <w:highlight w:val="none"/>
              </w:rPr>
            </w:pPr>
            <w:r>
              <w:rPr>
                <w:rFonts w:hint="eastAsia" w:eastAsiaTheme="minorEastAsia"/>
                <w:sz w:val="24"/>
                <w:szCs w:val="24"/>
                <w:highlight w:val="none"/>
              </w:rPr>
              <w:t>约1100人</w:t>
            </w:r>
          </w:p>
        </w:tc>
        <w:tc>
          <w:tcPr>
            <w:tcW w:w="1048" w:type="dxa"/>
            <w:tcBorders>
              <w:tl2br w:val="nil"/>
              <w:tr2bl w:val="nil"/>
            </w:tcBorders>
            <w:vAlign w:val="center"/>
          </w:tcPr>
          <w:p>
            <w:pPr>
              <w:spacing w:line="240" w:lineRule="auto"/>
              <w:jc w:val="center"/>
              <w:rPr>
                <w:rFonts w:hint="eastAsia" w:eastAsiaTheme="minorEastAsia"/>
                <w:sz w:val="24"/>
                <w:szCs w:val="24"/>
                <w:highlight w:val="none"/>
                <w:lang w:eastAsia="zh-CN"/>
              </w:rPr>
            </w:pPr>
            <w:r>
              <w:rPr>
                <w:rFonts w:hint="eastAsia" w:eastAsiaTheme="minorEastAsia"/>
                <w:sz w:val="24"/>
                <w:szCs w:val="24"/>
                <w:highlight w:val="none"/>
                <w:lang w:eastAsia="zh-CN"/>
              </w:rPr>
              <w:t>东北</w:t>
            </w:r>
          </w:p>
        </w:tc>
        <w:tc>
          <w:tcPr>
            <w:tcW w:w="1601" w:type="dxa"/>
            <w:tcBorders>
              <w:tl2br w:val="nil"/>
              <w:tr2bl w:val="nil"/>
            </w:tcBorders>
            <w:vAlign w:val="center"/>
          </w:tcPr>
          <w:p>
            <w:pPr>
              <w:spacing w:line="240" w:lineRule="auto"/>
              <w:jc w:val="center"/>
              <w:rPr>
                <w:rFonts w:hint="eastAsia" w:eastAsiaTheme="minorEastAsia"/>
                <w:sz w:val="24"/>
                <w:szCs w:val="24"/>
                <w:highlight w:val="none"/>
              </w:rPr>
            </w:pPr>
            <w:r>
              <w:rPr>
                <w:rFonts w:hint="eastAsia" w:eastAsiaTheme="minorEastAsia"/>
                <w:sz w:val="24"/>
                <w:szCs w:val="24"/>
                <w:highlight w:val="none"/>
              </w:rPr>
              <w:t>2550</w:t>
            </w:r>
          </w:p>
        </w:tc>
        <w:tc>
          <w:tcPr>
            <w:tcW w:w="2588" w:type="dxa"/>
            <w:vMerge w:val="continue"/>
            <w:tcBorders>
              <w:tl2br w:val="nil"/>
              <w:tr2bl w:val="nil"/>
            </w:tcBorders>
            <w:vAlign w:val="center"/>
          </w:tcPr>
          <w:p>
            <w:pPr>
              <w:jc w:val="cente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trPr>
        <w:tc>
          <w:tcPr>
            <w:tcW w:w="680" w:type="dxa"/>
            <w:tcBorders>
              <w:tl2br w:val="nil"/>
              <w:tr2bl w:val="nil"/>
            </w:tcBorders>
            <w:vAlign w:val="center"/>
          </w:tcPr>
          <w:p>
            <w:pPr>
              <w:spacing w:line="240" w:lineRule="auto"/>
              <w:jc w:val="center"/>
              <w:rPr>
                <w:rFonts w:hint="default" w:eastAsiaTheme="minorEastAsia"/>
                <w:sz w:val="24"/>
                <w:szCs w:val="24"/>
                <w:highlight w:val="none"/>
                <w:lang w:val="en-US" w:eastAsia="zh-CN"/>
              </w:rPr>
            </w:pPr>
            <w:r>
              <w:rPr>
                <w:rFonts w:hint="eastAsia" w:eastAsiaTheme="minorEastAsia"/>
                <w:sz w:val="24"/>
                <w:szCs w:val="24"/>
                <w:highlight w:val="none"/>
                <w:lang w:val="en-US" w:eastAsia="zh-CN"/>
              </w:rPr>
              <w:t>17</w:t>
            </w:r>
          </w:p>
        </w:tc>
        <w:tc>
          <w:tcPr>
            <w:tcW w:w="4250" w:type="dxa"/>
            <w:gridSpan w:val="3"/>
            <w:tcBorders>
              <w:tl2br w:val="nil"/>
              <w:tr2bl w:val="nil"/>
            </w:tcBorders>
            <w:vAlign w:val="center"/>
          </w:tcPr>
          <w:p>
            <w:pPr>
              <w:spacing w:line="240" w:lineRule="auto"/>
              <w:jc w:val="center"/>
              <w:rPr>
                <w:rFonts w:hint="eastAsia" w:eastAsiaTheme="minorEastAsia"/>
                <w:sz w:val="24"/>
                <w:szCs w:val="24"/>
                <w:highlight w:val="none"/>
                <w:lang w:eastAsia="zh-CN"/>
              </w:rPr>
            </w:pPr>
            <w:r>
              <w:rPr>
                <w:rFonts w:hint="eastAsia" w:eastAsiaTheme="minorEastAsia"/>
                <w:sz w:val="24"/>
                <w:szCs w:val="24"/>
                <w:highlight w:val="none"/>
                <w:lang w:eastAsia="zh-CN"/>
              </w:rPr>
              <w:t>洪奇沥水道</w:t>
            </w:r>
          </w:p>
        </w:tc>
        <w:tc>
          <w:tcPr>
            <w:tcW w:w="1920" w:type="dxa"/>
            <w:tcBorders>
              <w:tl2br w:val="nil"/>
              <w:tr2bl w:val="nil"/>
            </w:tcBorders>
            <w:vAlign w:val="center"/>
          </w:tcPr>
          <w:p>
            <w:pPr>
              <w:spacing w:line="240" w:lineRule="auto"/>
              <w:jc w:val="center"/>
              <w:rPr>
                <w:rFonts w:hint="eastAsia" w:eastAsiaTheme="minorEastAsia"/>
                <w:sz w:val="24"/>
                <w:szCs w:val="24"/>
                <w:highlight w:val="none"/>
                <w:lang w:eastAsia="zh-CN"/>
              </w:rPr>
            </w:pPr>
            <w:r>
              <w:rPr>
                <w:rFonts w:hint="eastAsia" w:eastAsiaTheme="minorEastAsia"/>
                <w:sz w:val="24"/>
                <w:szCs w:val="24"/>
                <w:highlight w:val="none"/>
                <w:lang w:val="en-US" w:eastAsia="zh-CN"/>
              </w:rPr>
              <w:t>/</w:t>
            </w:r>
          </w:p>
        </w:tc>
        <w:tc>
          <w:tcPr>
            <w:tcW w:w="1925" w:type="dxa"/>
            <w:tcBorders>
              <w:tl2br w:val="nil"/>
              <w:tr2bl w:val="nil"/>
            </w:tcBorders>
            <w:vAlign w:val="center"/>
          </w:tcPr>
          <w:p>
            <w:pPr>
              <w:spacing w:line="240" w:lineRule="auto"/>
              <w:jc w:val="center"/>
              <w:rPr>
                <w:rFonts w:hint="eastAsia" w:eastAsiaTheme="minorEastAsia"/>
                <w:sz w:val="24"/>
                <w:szCs w:val="24"/>
                <w:highlight w:val="none"/>
                <w:lang w:val="en-US" w:eastAsia="zh-CN"/>
              </w:rPr>
            </w:pPr>
            <w:r>
              <w:rPr>
                <w:rFonts w:hint="eastAsia" w:eastAsiaTheme="minorEastAsia"/>
                <w:sz w:val="24"/>
                <w:szCs w:val="24"/>
                <w:highlight w:val="none"/>
                <w:lang w:val="en-US" w:eastAsia="zh-CN"/>
              </w:rPr>
              <w:t>/</w:t>
            </w:r>
          </w:p>
        </w:tc>
        <w:tc>
          <w:tcPr>
            <w:tcW w:w="1048" w:type="dxa"/>
            <w:tcBorders>
              <w:tl2br w:val="nil"/>
              <w:tr2bl w:val="nil"/>
            </w:tcBorders>
            <w:vAlign w:val="center"/>
          </w:tcPr>
          <w:p>
            <w:pPr>
              <w:spacing w:line="240" w:lineRule="auto"/>
              <w:jc w:val="center"/>
              <w:rPr>
                <w:rFonts w:hint="eastAsia" w:eastAsiaTheme="minorEastAsia"/>
                <w:sz w:val="24"/>
                <w:szCs w:val="24"/>
                <w:highlight w:val="none"/>
                <w:lang w:eastAsia="zh-CN"/>
              </w:rPr>
            </w:pPr>
            <w:r>
              <w:rPr>
                <w:rFonts w:hint="eastAsia" w:eastAsiaTheme="minorEastAsia"/>
                <w:sz w:val="24"/>
                <w:szCs w:val="24"/>
                <w:highlight w:val="none"/>
                <w:lang w:eastAsia="zh-CN"/>
              </w:rPr>
              <w:t>北</w:t>
            </w:r>
          </w:p>
        </w:tc>
        <w:tc>
          <w:tcPr>
            <w:tcW w:w="1601" w:type="dxa"/>
            <w:tcBorders>
              <w:tl2br w:val="nil"/>
              <w:tr2bl w:val="nil"/>
            </w:tcBorders>
            <w:vAlign w:val="center"/>
          </w:tcPr>
          <w:p>
            <w:pPr>
              <w:spacing w:line="240" w:lineRule="auto"/>
              <w:jc w:val="center"/>
              <w:rPr>
                <w:rFonts w:hint="eastAsia" w:eastAsiaTheme="minorEastAsia"/>
                <w:sz w:val="24"/>
                <w:szCs w:val="24"/>
                <w:highlight w:val="none"/>
              </w:rPr>
            </w:pPr>
          </w:p>
        </w:tc>
        <w:tc>
          <w:tcPr>
            <w:tcW w:w="2588" w:type="dxa"/>
            <w:tcBorders>
              <w:tl2br w:val="nil"/>
              <w:tr2bl w:val="nil"/>
            </w:tcBorders>
            <w:vAlign w:val="center"/>
          </w:tcPr>
          <w:p>
            <w:pPr>
              <w:spacing w:line="240" w:lineRule="auto"/>
              <w:jc w:val="center"/>
              <w:rPr>
                <w:rFonts w:hint="eastAsia" w:eastAsiaTheme="minorEastAsia"/>
                <w:sz w:val="24"/>
                <w:szCs w:val="24"/>
                <w:highlight w:val="none"/>
              </w:rPr>
            </w:pPr>
            <w:r>
              <w:rPr>
                <w:rFonts w:hint="eastAsia" w:eastAsiaTheme="minorEastAsia"/>
                <w:sz w:val="24"/>
                <w:szCs w:val="24"/>
                <w:highlight w:val="none"/>
              </w:rPr>
              <w:t>《地表水环境质量标准》</w:t>
            </w:r>
          </w:p>
          <w:p>
            <w:pPr>
              <w:spacing w:line="240" w:lineRule="auto"/>
              <w:jc w:val="center"/>
              <w:rPr>
                <w:rFonts w:hint="eastAsia" w:eastAsiaTheme="minorEastAsia"/>
                <w:sz w:val="24"/>
                <w:szCs w:val="24"/>
                <w:highlight w:val="none"/>
              </w:rPr>
            </w:pPr>
            <w:r>
              <w:rPr>
                <w:rFonts w:hint="eastAsia" w:eastAsiaTheme="minorEastAsia"/>
                <w:sz w:val="24"/>
                <w:szCs w:val="24"/>
                <w:highlight w:val="none"/>
              </w:rPr>
              <w:t>（GB3838-2002）</w:t>
            </w:r>
          </w:p>
          <w:p>
            <w:pPr>
              <w:spacing w:line="240" w:lineRule="auto"/>
              <w:jc w:val="center"/>
              <w:rPr>
                <w:rFonts w:hint="eastAsia" w:eastAsiaTheme="minorEastAsia"/>
                <w:sz w:val="24"/>
                <w:szCs w:val="24"/>
                <w:highlight w:val="none"/>
              </w:rPr>
            </w:pPr>
            <w:r>
              <w:rPr>
                <w:rFonts w:hint="eastAsia" w:eastAsiaTheme="minorEastAsia"/>
                <w:sz w:val="24"/>
                <w:szCs w:val="24"/>
                <w:highlight w:val="none"/>
              </w:rPr>
              <w:t>Ⅲ类</w:t>
            </w:r>
            <w:r>
              <w:rPr>
                <w:rFonts w:hint="eastAsia" w:eastAsiaTheme="minorEastAsia"/>
                <w:sz w:val="24"/>
                <w:szCs w:val="24"/>
                <w:highlight w:val="none"/>
                <w:lang w:eastAsia="zh-CN"/>
              </w:rPr>
              <w:t>水体</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trPr>
        <w:tc>
          <w:tcPr>
            <w:tcW w:w="680" w:type="dxa"/>
            <w:tcBorders>
              <w:tl2br w:val="nil"/>
              <w:tr2bl w:val="nil"/>
            </w:tcBorders>
            <w:vAlign w:val="center"/>
          </w:tcPr>
          <w:p>
            <w:pPr>
              <w:spacing w:line="240" w:lineRule="auto"/>
              <w:jc w:val="center"/>
              <w:rPr>
                <w:rFonts w:hint="default" w:eastAsiaTheme="minorEastAsia"/>
                <w:sz w:val="24"/>
                <w:szCs w:val="24"/>
                <w:highlight w:val="none"/>
                <w:lang w:val="en-US" w:eastAsia="zh-CN"/>
              </w:rPr>
            </w:pPr>
            <w:r>
              <w:rPr>
                <w:rFonts w:hint="eastAsia" w:eastAsiaTheme="minorEastAsia"/>
                <w:sz w:val="24"/>
                <w:szCs w:val="24"/>
                <w:highlight w:val="none"/>
                <w:lang w:val="en-US" w:eastAsia="zh-CN"/>
              </w:rPr>
              <w:t>18</w:t>
            </w:r>
          </w:p>
        </w:tc>
        <w:tc>
          <w:tcPr>
            <w:tcW w:w="4250" w:type="dxa"/>
            <w:gridSpan w:val="3"/>
            <w:tcBorders>
              <w:tl2br w:val="nil"/>
              <w:tr2bl w:val="nil"/>
            </w:tcBorders>
            <w:vAlign w:val="center"/>
          </w:tcPr>
          <w:p>
            <w:pPr>
              <w:spacing w:line="240" w:lineRule="auto"/>
              <w:jc w:val="center"/>
              <w:rPr>
                <w:rFonts w:hint="eastAsia" w:eastAsiaTheme="minorEastAsia"/>
                <w:sz w:val="24"/>
                <w:szCs w:val="24"/>
                <w:highlight w:val="none"/>
                <w:lang w:eastAsia="zh-CN"/>
              </w:rPr>
            </w:pPr>
            <w:r>
              <w:rPr>
                <w:rFonts w:hint="eastAsia" w:eastAsiaTheme="minorEastAsia"/>
                <w:sz w:val="24"/>
                <w:szCs w:val="24"/>
                <w:highlight w:val="none"/>
                <w:lang w:eastAsia="zh-CN"/>
              </w:rPr>
              <w:t>沙仔沥涌</w:t>
            </w:r>
          </w:p>
        </w:tc>
        <w:tc>
          <w:tcPr>
            <w:tcW w:w="1920" w:type="dxa"/>
            <w:tcBorders>
              <w:tl2br w:val="nil"/>
              <w:tr2bl w:val="nil"/>
            </w:tcBorders>
            <w:vAlign w:val="center"/>
          </w:tcPr>
          <w:p>
            <w:pPr>
              <w:spacing w:line="240" w:lineRule="auto"/>
              <w:jc w:val="center"/>
              <w:rPr>
                <w:rFonts w:hint="eastAsia" w:eastAsiaTheme="minorEastAsia"/>
                <w:sz w:val="24"/>
                <w:szCs w:val="24"/>
                <w:highlight w:val="none"/>
                <w:lang w:eastAsia="zh-CN"/>
              </w:rPr>
            </w:pPr>
            <w:r>
              <w:rPr>
                <w:rFonts w:hint="eastAsia" w:eastAsiaTheme="minorEastAsia"/>
                <w:sz w:val="24"/>
                <w:szCs w:val="24"/>
                <w:highlight w:val="none"/>
                <w:lang w:val="en-US" w:eastAsia="zh-CN"/>
              </w:rPr>
              <w:t>/</w:t>
            </w:r>
          </w:p>
        </w:tc>
        <w:tc>
          <w:tcPr>
            <w:tcW w:w="1925" w:type="dxa"/>
            <w:tcBorders>
              <w:tl2br w:val="nil"/>
              <w:tr2bl w:val="nil"/>
            </w:tcBorders>
            <w:vAlign w:val="center"/>
          </w:tcPr>
          <w:p>
            <w:pPr>
              <w:spacing w:line="240" w:lineRule="auto"/>
              <w:jc w:val="center"/>
              <w:rPr>
                <w:rFonts w:hint="eastAsia" w:eastAsiaTheme="minorEastAsia"/>
                <w:sz w:val="24"/>
                <w:szCs w:val="24"/>
                <w:highlight w:val="none"/>
                <w:lang w:val="en-US" w:eastAsia="zh-CN"/>
              </w:rPr>
            </w:pPr>
            <w:r>
              <w:rPr>
                <w:rFonts w:hint="eastAsia" w:eastAsiaTheme="minorEastAsia"/>
                <w:sz w:val="24"/>
                <w:szCs w:val="24"/>
                <w:highlight w:val="none"/>
                <w:lang w:val="en-US" w:eastAsia="zh-CN"/>
              </w:rPr>
              <w:t>/</w:t>
            </w:r>
          </w:p>
        </w:tc>
        <w:tc>
          <w:tcPr>
            <w:tcW w:w="1048" w:type="dxa"/>
            <w:tcBorders>
              <w:tl2br w:val="nil"/>
              <w:tr2bl w:val="nil"/>
            </w:tcBorders>
            <w:vAlign w:val="center"/>
          </w:tcPr>
          <w:p>
            <w:pPr>
              <w:spacing w:line="240" w:lineRule="auto"/>
              <w:jc w:val="center"/>
              <w:rPr>
                <w:rFonts w:hint="default" w:eastAsiaTheme="minorEastAsia"/>
                <w:sz w:val="24"/>
                <w:szCs w:val="24"/>
                <w:highlight w:val="none"/>
                <w:lang w:val="en-US" w:eastAsia="zh-CN"/>
              </w:rPr>
            </w:pPr>
            <w:r>
              <w:rPr>
                <w:rFonts w:hint="eastAsia" w:eastAsiaTheme="minorEastAsia"/>
                <w:sz w:val="24"/>
                <w:szCs w:val="24"/>
                <w:highlight w:val="none"/>
                <w:lang w:val="en-US" w:eastAsia="zh-CN"/>
              </w:rPr>
              <w:t>南</w:t>
            </w:r>
          </w:p>
        </w:tc>
        <w:tc>
          <w:tcPr>
            <w:tcW w:w="1601" w:type="dxa"/>
            <w:tcBorders>
              <w:tl2br w:val="nil"/>
              <w:tr2bl w:val="nil"/>
            </w:tcBorders>
            <w:vAlign w:val="center"/>
          </w:tcPr>
          <w:p>
            <w:pPr>
              <w:spacing w:line="240" w:lineRule="auto"/>
              <w:jc w:val="center"/>
              <w:rPr>
                <w:rFonts w:hint="eastAsia" w:eastAsiaTheme="minorEastAsia"/>
                <w:sz w:val="24"/>
                <w:szCs w:val="24"/>
                <w:highlight w:val="none"/>
              </w:rPr>
            </w:pPr>
          </w:p>
        </w:tc>
        <w:tc>
          <w:tcPr>
            <w:tcW w:w="2588" w:type="dxa"/>
            <w:tcBorders>
              <w:tl2br w:val="nil"/>
              <w:tr2bl w:val="nil"/>
            </w:tcBorders>
            <w:vAlign w:val="center"/>
          </w:tcPr>
          <w:p>
            <w:pPr>
              <w:spacing w:line="240" w:lineRule="auto"/>
              <w:jc w:val="center"/>
              <w:rPr>
                <w:rFonts w:hint="eastAsia" w:eastAsiaTheme="minorEastAsia"/>
                <w:sz w:val="24"/>
                <w:szCs w:val="24"/>
                <w:highlight w:val="none"/>
                <w:lang w:eastAsia="zh-CN"/>
              </w:rPr>
            </w:pPr>
            <w:r>
              <w:rPr>
                <w:rFonts w:hint="eastAsia" w:eastAsiaTheme="minorEastAsia"/>
                <w:sz w:val="24"/>
                <w:szCs w:val="24"/>
                <w:highlight w:val="none"/>
              </w:rPr>
              <w:t>Ⅳ类</w:t>
            </w:r>
            <w:r>
              <w:rPr>
                <w:rFonts w:hint="eastAsia" w:eastAsiaTheme="minorEastAsia"/>
                <w:sz w:val="24"/>
                <w:szCs w:val="24"/>
                <w:highlight w:val="none"/>
                <w:lang w:eastAsia="zh-CN"/>
              </w:rPr>
              <w:t>水体</w:t>
            </w:r>
          </w:p>
        </w:tc>
      </w:tr>
    </w:tbl>
    <w:p>
      <w:pPr>
        <w:spacing w:line="360" w:lineRule="auto"/>
        <w:rPr>
          <w:szCs w:val="28"/>
        </w:rPr>
      </w:pPr>
    </w:p>
    <w:p>
      <w:pPr>
        <w:spacing w:line="360" w:lineRule="auto"/>
        <w:rPr>
          <w:szCs w:val="28"/>
        </w:rPr>
      </w:pPr>
    </w:p>
    <w:p>
      <w:pPr>
        <w:spacing w:line="360" w:lineRule="auto"/>
        <w:rPr>
          <w:szCs w:val="28"/>
        </w:rPr>
        <w:sectPr>
          <w:pgSz w:w="16838" w:h="11906" w:orient="landscape"/>
          <w:pgMar w:top="1418" w:right="1418" w:bottom="1418" w:left="1418" w:header="851" w:footer="959" w:gutter="0"/>
          <w:pgBorders>
            <w:top w:val="none" w:sz="0" w:space="0"/>
            <w:left w:val="none" w:sz="0" w:space="0"/>
            <w:bottom w:val="none" w:sz="0" w:space="0"/>
            <w:right w:val="none" w:sz="0" w:space="0"/>
          </w:pgBorders>
          <w:pgNumType w:fmt="decimal"/>
          <w:cols w:space="720" w:num="1"/>
          <w:docGrid w:linePitch="381" w:charSpace="0"/>
        </w:sectPr>
      </w:pPr>
    </w:p>
    <w:p>
      <w:pPr>
        <w:pStyle w:val="17"/>
        <w:ind w:left="0" w:leftChars="0" w:firstLine="0" w:firstLineChars="0"/>
        <w:jc w:val="center"/>
        <w:rPr>
          <w:rFonts w:hint="eastAsia" w:ascii="宋体" w:hAnsi="宋体" w:eastAsia="宋体"/>
          <w:b/>
          <w:bCs/>
          <w:sz w:val="24"/>
          <w:lang w:eastAsia="zh-CN"/>
        </w:rPr>
      </w:pPr>
      <w:r>
        <w:rPr>
          <w:rFonts w:hint="eastAsia" w:ascii="宋体" w:hAnsi="宋体" w:eastAsia="宋体"/>
          <w:b/>
          <w:bCs/>
          <w:sz w:val="24"/>
          <w:lang w:eastAsia="zh-CN"/>
        </w:rPr>
        <w:drawing>
          <wp:inline distT="0" distB="0" distL="114300" distR="114300">
            <wp:extent cx="7677785" cy="5195570"/>
            <wp:effectExtent l="0" t="0" r="18415" b="5080"/>
            <wp:docPr id="42" name="图片 42" descr="aa689805650f61e6f5d915b58d5c14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aa689805650f61e6f5d915b58d5c14b"/>
                    <pic:cNvPicPr>
                      <a:picLocks noChangeAspect="1"/>
                    </pic:cNvPicPr>
                  </pic:nvPicPr>
                  <pic:blipFill>
                    <a:blip r:embed="rId27"/>
                    <a:stretch>
                      <a:fillRect/>
                    </a:stretch>
                  </pic:blipFill>
                  <pic:spPr>
                    <a:xfrm>
                      <a:off x="0" y="0"/>
                      <a:ext cx="7677785" cy="5195570"/>
                    </a:xfrm>
                    <a:prstGeom prst="rect">
                      <a:avLst/>
                    </a:prstGeom>
                  </pic:spPr>
                </pic:pic>
              </a:graphicData>
            </a:graphic>
          </wp:inline>
        </w:drawing>
      </w:r>
    </w:p>
    <w:p>
      <w:pPr>
        <w:pStyle w:val="17"/>
        <w:ind w:firstLine="526"/>
        <w:jc w:val="center"/>
        <w:rPr>
          <w:rFonts w:ascii="Times New Roman" w:hAnsi="Times New Roman"/>
          <w:b/>
          <w:bCs/>
          <w:highlight w:val="none"/>
        </w:rPr>
      </w:pPr>
      <w:r>
        <w:rPr>
          <w:rFonts w:ascii="宋体" w:hAnsi="宋体" w:eastAsia="宋体"/>
          <w:b/>
          <w:bCs/>
          <w:sz w:val="24"/>
          <w:highlight w:val="none"/>
        </w:rPr>
        <w:t>图</w:t>
      </w:r>
      <w:r>
        <w:rPr>
          <w:rFonts w:hint="eastAsia" w:ascii="宋体" w:hAnsi="宋体" w:eastAsia="宋体"/>
          <w:b/>
          <w:bCs/>
          <w:sz w:val="24"/>
          <w:highlight w:val="none"/>
        </w:rPr>
        <w:t>2-</w:t>
      </w:r>
      <w:r>
        <w:rPr>
          <w:rFonts w:hint="eastAsia" w:ascii="宋体"/>
          <w:b/>
          <w:bCs/>
          <w:sz w:val="24"/>
          <w:highlight w:val="none"/>
          <w:lang w:val="en-US" w:eastAsia="zh-CN"/>
        </w:rPr>
        <w:t>7</w:t>
      </w:r>
      <w:r>
        <w:rPr>
          <w:rFonts w:ascii="宋体" w:hAnsi="宋体" w:eastAsia="宋体"/>
          <w:b/>
          <w:bCs/>
          <w:sz w:val="24"/>
          <w:highlight w:val="none"/>
        </w:rPr>
        <w:t>　</w:t>
      </w:r>
      <w:r>
        <w:rPr>
          <w:rFonts w:hint="eastAsia" w:ascii="宋体" w:cs="Lucida Sans Unicode"/>
          <w:b/>
          <w:bCs/>
          <w:sz w:val="24"/>
          <w:highlight w:val="none"/>
          <w:lang w:eastAsia="zh-CN"/>
        </w:rPr>
        <w:t>周边环境敏感点</w:t>
      </w:r>
      <w:r>
        <w:rPr>
          <w:rFonts w:hint="eastAsia" w:ascii="宋体" w:hAnsi="宋体" w:cs="Lucida Sans Unicode"/>
          <w:b/>
          <w:bCs/>
          <w:sz w:val="24"/>
          <w:highlight w:val="none"/>
          <w:lang w:eastAsia="zh-CN"/>
        </w:rPr>
        <w:t>图</w:t>
      </w:r>
    </w:p>
    <w:p>
      <w:pPr>
        <w:pStyle w:val="17"/>
        <w:ind w:firstLine="526"/>
        <w:jc w:val="center"/>
        <w:rPr>
          <w:rFonts w:ascii="Times New Roman" w:hAnsi="Times New Roman"/>
          <w:b/>
          <w:bCs/>
          <w:highlight w:val="none"/>
        </w:rPr>
        <w:sectPr>
          <w:pgSz w:w="16838" w:h="11906" w:orient="landscape"/>
          <w:pgMar w:top="1418" w:right="1418" w:bottom="1418" w:left="1418" w:header="851" w:footer="959" w:gutter="0"/>
          <w:pgBorders>
            <w:top w:val="none" w:sz="0" w:space="0"/>
            <w:left w:val="none" w:sz="0" w:space="0"/>
            <w:bottom w:val="none" w:sz="0" w:space="0"/>
            <w:right w:val="none" w:sz="0" w:space="0"/>
          </w:pgBorders>
          <w:pgNumType w:fmt="decimal"/>
          <w:cols w:space="720" w:num="1"/>
          <w:docGrid w:linePitch="312" w:charSpace="0"/>
        </w:sectPr>
      </w:pPr>
    </w:p>
    <w:p>
      <w:pPr>
        <w:pStyle w:val="2"/>
      </w:pPr>
      <w:bookmarkStart w:id="147" w:name="_Toc19134"/>
      <w:bookmarkStart w:id="148" w:name="_Toc18593"/>
      <w:bookmarkStart w:id="149" w:name="_Toc31326"/>
      <w:bookmarkStart w:id="150" w:name="_Toc15736"/>
      <w:r>
        <w:t>3环境风险分析</w:t>
      </w:r>
      <w:bookmarkEnd w:id="147"/>
      <w:bookmarkEnd w:id="148"/>
      <w:bookmarkEnd w:id="149"/>
      <w:bookmarkEnd w:id="150"/>
    </w:p>
    <w:p>
      <w:pPr>
        <w:pStyle w:val="3"/>
      </w:pPr>
      <w:bookmarkStart w:id="151" w:name="_Toc10298"/>
      <w:bookmarkStart w:id="152" w:name="_Toc7727"/>
      <w:bookmarkStart w:id="153" w:name="_Toc4101"/>
      <w:bookmarkStart w:id="154" w:name="_Toc2374"/>
      <w:r>
        <w:t>3.1环境风险评</w:t>
      </w:r>
      <w:bookmarkEnd w:id="151"/>
      <w:bookmarkEnd w:id="152"/>
      <w:bookmarkEnd w:id="153"/>
      <w:r>
        <w:t>价</w:t>
      </w:r>
      <w:r>
        <w:rPr>
          <w:rFonts w:hint="eastAsia"/>
        </w:rPr>
        <w:t>等级划分</w:t>
      </w:r>
      <w:bookmarkEnd w:id="154"/>
    </w:p>
    <w:p>
      <w:pPr>
        <w:autoSpaceDE w:val="0"/>
        <w:autoSpaceDN w:val="0"/>
        <w:adjustRightInd w:val="0"/>
        <w:spacing w:before="120" w:beforeLines="50" w:line="360" w:lineRule="auto"/>
        <w:ind w:firstLine="552" w:firstLineChars="200"/>
        <w:jc w:val="left"/>
        <w:rPr>
          <w:szCs w:val="28"/>
        </w:rPr>
      </w:pPr>
      <w:r>
        <w:rPr>
          <w:rFonts w:hint="eastAsia"/>
          <w:szCs w:val="28"/>
        </w:rPr>
        <w:t>根据</w:t>
      </w:r>
      <w:r>
        <w:rPr>
          <w:rFonts w:hint="eastAsia"/>
          <w:szCs w:val="28"/>
          <w:lang w:eastAsia="zh-CN"/>
        </w:rPr>
        <w:t>中山市民东有机废物处理有限公司</w:t>
      </w:r>
      <w:r>
        <w:rPr>
          <w:szCs w:val="28"/>
        </w:rPr>
        <w:t>突发环境事件风险评估报告</w:t>
      </w:r>
      <w:r>
        <w:rPr>
          <w:rFonts w:hint="eastAsia"/>
          <w:szCs w:val="28"/>
        </w:rPr>
        <w:t>分析可知</w:t>
      </w:r>
      <w:r>
        <w:rPr>
          <w:rFonts w:hint="eastAsia"/>
          <w:szCs w:val="28"/>
          <w:lang w:eastAsia="zh-CN"/>
        </w:rPr>
        <w:t>。</w:t>
      </w:r>
      <w:r>
        <w:rPr>
          <w:rFonts w:hint="eastAsia"/>
          <w:szCs w:val="28"/>
          <w:highlight w:val="none"/>
        </w:rPr>
        <w:t>公司突发环境事件风险等级</w:t>
      </w:r>
      <w:r>
        <w:rPr>
          <w:szCs w:val="28"/>
          <w:highlight w:val="none"/>
        </w:rPr>
        <w:t>属于</w:t>
      </w:r>
      <w:r>
        <w:rPr>
          <w:rFonts w:hint="eastAsia"/>
          <w:szCs w:val="28"/>
          <w:highlight w:val="none"/>
        </w:rPr>
        <w:t>“</w:t>
      </w:r>
      <w:r>
        <w:rPr>
          <w:rFonts w:hint="eastAsia"/>
          <w:szCs w:val="28"/>
          <w:highlight w:val="none"/>
          <w:lang w:eastAsia="zh-CN"/>
        </w:rPr>
        <w:t>一般（一般</w:t>
      </w:r>
      <w:r>
        <w:rPr>
          <w:rFonts w:hint="eastAsia"/>
          <w:szCs w:val="28"/>
          <w:highlight w:val="none"/>
        </w:rPr>
        <w:t>-</w:t>
      </w:r>
      <w:r>
        <w:rPr>
          <w:rFonts w:hint="eastAsia"/>
          <w:szCs w:val="28"/>
          <w:highlight w:val="none"/>
          <w:lang w:eastAsia="zh-CN"/>
        </w:rPr>
        <w:t>大气</w:t>
      </w:r>
      <w:r>
        <w:rPr>
          <w:rFonts w:hint="eastAsia"/>
          <w:szCs w:val="28"/>
          <w:highlight w:val="none"/>
        </w:rPr>
        <w:t>（</w:t>
      </w:r>
      <w:r>
        <w:rPr>
          <w:rFonts w:hint="eastAsia"/>
          <w:szCs w:val="28"/>
          <w:highlight w:val="none"/>
          <w:lang w:val="en-US" w:eastAsia="zh-CN"/>
        </w:rPr>
        <w:t>Q0</w:t>
      </w:r>
      <w:r>
        <w:rPr>
          <w:rFonts w:hint="eastAsia"/>
          <w:szCs w:val="28"/>
          <w:highlight w:val="none"/>
        </w:rPr>
        <w:t>）”+“（一般）-水（Q</w:t>
      </w:r>
      <w:r>
        <w:rPr>
          <w:rFonts w:hint="eastAsia"/>
          <w:szCs w:val="28"/>
          <w:highlight w:val="none"/>
          <w:lang w:val="en-US" w:eastAsia="zh-CN"/>
        </w:rPr>
        <w:t>0</w:t>
      </w:r>
      <w:r>
        <w:rPr>
          <w:rFonts w:hint="eastAsia"/>
          <w:szCs w:val="28"/>
          <w:highlight w:val="none"/>
        </w:rPr>
        <w:t>）”</w:t>
      </w:r>
      <w:r>
        <w:rPr>
          <w:szCs w:val="28"/>
          <w:highlight w:val="none"/>
        </w:rPr>
        <w:t>。</w:t>
      </w:r>
    </w:p>
    <w:p>
      <w:pPr>
        <w:pStyle w:val="3"/>
      </w:pPr>
      <w:bookmarkStart w:id="155" w:name="_Toc6235"/>
      <w:bookmarkStart w:id="156" w:name="_Toc17110"/>
      <w:bookmarkStart w:id="157" w:name="_Toc28038"/>
      <w:r>
        <w:t>3.</w:t>
      </w:r>
      <w:bookmarkEnd w:id="155"/>
      <w:bookmarkEnd w:id="156"/>
      <w:r>
        <w:rPr>
          <w:rFonts w:hint="eastAsia"/>
        </w:rPr>
        <w:t>2环境风险影响分析</w:t>
      </w:r>
      <w:bookmarkEnd w:id="157"/>
    </w:p>
    <w:p>
      <w:pPr>
        <w:autoSpaceDE w:val="0"/>
        <w:autoSpaceDN w:val="0"/>
        <w:adjustRightInd w:val="0"/>
        <w:spacing w:line="360" w:lineRule="auto"/>
        <w:ind w:firstLine="621" w:firstLineChars="225"/>
        <w:jc w:val="left"/>
        <w:rPr>
          <w:szCs w:val="28"/>
        </w:rPr>
      </w:pPr>
      <w:r>
        <w:rPr>
          <w:szCs w:val="28"/>
        </w:rPr>
        <w:t>在生产过程中所产生的污染物对环境的影响可分为正常排放和事故排放两种情况：正常情况主要是指公司在正常运行期间产生的污染因子对环境的影响；而事故情况则是指公司在运行过程中发生事故时产生的污染因子对环境的影响。两者在污染因子的释放量、作用环境时间、造成环境危害性等方面都有很大差别。公司的风险评价是针对事故情况，评价环境污染因子对生态环境和人体健康造成的危害，并制定相应措施，尽量降低其危害程度的工作。</w:t>
      </w:r>
    </w:p>
    <w:p>
      <w:pPr>
        <w:autoSpaceDE w:val="0"/>
        <w:autoSpaceDN w:val="0"/>
        <w:adjustRightInd w:val="0"/>
        <w:spacing w:line="360" w:lineRule="auto"/>
        <w:ind w:left="-22" w:leftChars="-8" w:firstLine="416" w:firstLineChars="150"/>
        <w:jc w:val="left"/>
        <w:rPr>
          <w:b/>
          <w:szCs w:val="28"/>
        </w:rPr>
      </w:pPr>
      <w:r>
        <w:rPr>
          <w:b/>
          <w:szCs w:val="28"/>
        </w:rPr>
        <w:t>（</w:t>
      </w:r>
      <w:r>
        <w:rPr>
          <w:rFonts w:hint="eastAsia"/>
          <w:b/>
          <w:szCs w:val="28"/>
          <w:lang w:eastAsia="zh-CN"/>
        </w:rPr>
        <w:t>一</w:t>
      </w:r>
      <w:r>
        <w:rPr>
          <w:b/>
          <w:szCs w:val="28"/>
        </w:rPr>
        <w:t>）</w:t>
      </w:r>
      <w:r>
        <w:rPr>
          <w:rFonts w:hint="eastAsia"/>
          <w:b/>
          <w:szCs w:val="28"/>
          <w:lang w:eastAsia="zh-CN"/>
        </w:rPr>
        <w:t>产品品原辅料</w:t>
      </w:r>
      <w:r>
        <w:rPr>
          <w:b/>
          <w:szCs w:val="28"/>
        </w:rPr>
        <w:t>危险识别与分析</w:t>
      </w:r>
    </w:p>
    <w:p>
      <w:pPr>
        <w:autoSpaceDE w:val="0"/>
        <w:autoSpaceDN w:val="0"/>
        <w:adjustRightInd w:val="0"/>
        <w:spacing w:before="120" w:beforeLines="50" w:line="360" w:lineRule="auto"/>
        <w:ind w:firstLine="623" w:firstLineChars="225"/>
        <w:jc w:val="left"/>
        <w:rPr>
          <w:b/>
          <w:szCs w:val="28"/>
        </w:rPr>
      </w:pPr>
      <w:r>
        <w:rPr>
          <w:b/>
          <w:szCs w:val="28"/>
        </w:rPr>
        <w:t>（1）</w:t>
      </w:r>
      <w:r>
        <w:rPr>
          <w:rFonts w:hint="eastAsia"/>
          <w:b/>
          <w:szCs w:val="28"/>
          <w:lang w:eastAsia="zh-CN"/>
        </w:rPr>
        <w:t>物质</w:t>
      </w:r>
      <w:r>
        <w:rPr>
          <w:b/>
          <w:szCs w:val="28"/>
        </w:rPr>
        <w:t>种类</w:t>
      </w:r>
    </w:p>
    <w:p>
      <w:pPr>
        <w:autoSpaceDE w:val="0"/>
        <w:autoSpaceDN w:val="0"/>
        <w:adjustRightInd w:val="0"/>
        <w:spacing w:line="360" w:lineRule="auto"/>
        <w:ind w:firstLine="621" w:firstLineChars="225"/>
        <w:jc w:val="left"/>
        <w:rPr>
          <w:szCs w:val="28"/>
        </w:rPr>
      </w:pPr>
      <w:r>
        <w:rPr>
          <w:szCs w:val="28"/>
        </w:rPr>
        <w:t>公司为城市污水污泥集中处置项目，</w:t>
      </w:r>
      <w:r>
        <w:rPr>
          <w:rFonts w:hint="eastAsia"/>
          <w:szCs w:val="28"/>
          <w:lang w:eastAsia="zh-CN"/>
        </w:rPr>
        <w:t>污泥通过厌氧消化，</w:t>
      </w:r>
      <w:r>
        <w:rPr>
          <w:szCs w:val="28"/>
        </w:rPr>
        <w:t>可将实现污泥等废物的无害化、减量化，使固体废物得到妥善处理</w:t>
      </w:r>
      <w:r>
        <w:rPr>
          <w:rFonts w:hint="eastAsia"/>
          <w:szCs w:val="28"/>
          <w:lang w:eastAsia="zh-CN"/>
        </w:rPr>
        <w:t>，产生的沼气进行综合利用</w:t>
      </w:r>
      <w:r>
        <w:rPr>
          <w:szCs w:val="28"/>
        </w:rPr>
        <w:t>。</w:t>
      </w:r>
      <w:r>
        <w:rPr>
          <w:rFonts w:hint="eastAsia"/>
          <w:szCs w:val="28"/>
          <w:lang w:eastAsia="zh-CN"/>
        </w:rPr>
        <w:t>公司</w:t>
      </w:r>
      <w:r>
        <w:rPr>
          <w:szCs w:val="28"/>
        </w:rPr>
        <w:t>生产中使用到的</w:t>
      </w:r>
      <w:r>
        <w:rPr>
          <w:rFonts w:hint="eastAsia"/>
          <w:szCs w:val="28"/>
          <w:lang w:eastAsia="zh-CN"/>
        </w:rPr>
        <w:t>原材料和产品</w:t>
      </w:r>
      <w:r>
        <w:rPr>
          <w:szCs w:val="28"/>
        </w:rPr>
        <w:t>主要为</w:t>
      </w:r>
      <w:r>
        <w:rPr>
          <w:rFonts w:hint="eastAsia"/>
          <w:szCs w:val="28"/>
          <w:lang w:eastAsia="zh-CN"/>
        </w:rPr>
        <w:t>污水处理污泥、氧化铁和沼气</w:t>
      </w:r>
      <w:r>
        <w:rPr>
          <w:szCs w:val="28"/>
        </w:rPr>
        <w:t>。</w:t>
      </w:r>
    </w:p>
    <w:p>
      <w:pPr>
        <w:autoSpaceDE w:val="0"/>
        <w:autoSpaceDN w:val="0"/>
        <w:adjustRightInd w:val="0"/>
        <w:spacing w:line="360" w:lineRule="auto"/>
        <w:ind w:firstLine="621" w:firstLineChars="225"/>
        <w:jc w:val="left"/>
        <w:rPr>
          <w:szCs w:val="28"/>
        </w:rPr>
      </w:pPr>
    </w:p>
    <w:p>
      <w:pPr>
        <w:autoSpaceDE w:val="0"/>
        <w:autoSpaceDN w:val="0"/>
        <w:adjustRightInd w:val="0"/>
        <w:spacing w:line="360" w:lineRule="auto"/>
        <w:ind w:firstLine="621" w:firstLineChars="225"/>
        <w:jc w:val="left"/>
        <w:rPr>
          <w:szCs w:val="28"/>
        </w:rPr>
      </w:pPr>
    </w:p>
    <w:p>
      <w:pPr>
        <w:autoSpaceDE w:val="0"/>
        <w:autoSpaceDN w:val="0"/>
        <w:adjustRightInd w:val="0"/>
        <w:spacing w:line="360" w:lineRule="auto"/>
        <w:ind w:left="-22" w:leftChars="-8" w:firstLine="416" w:firstLineChars="150"/>
        <w:jc w:val="left"/>
        <w:rPr>
          <w:b/>
          <w:kern w:val="2"/>
          <w:szCs w:val="28"/>
        </w:rPr>
      </w:pPr>
      <w:r>
        <w:rPr>
          <w:b/>
          <w:kern w:val="2"/>
          <w:szCs w:val="28"/>
        </w:rPr>
        <w:t>（</w:t>
      </w:r>
      <w:r>
        <w:rPr>
          <w:rFonts w:hint="eastAsia"/>
          <w:b/>
          <w:kern w:val="2"/>
          <w:szCs w:val="28"/>
          <w:lang w:val="en-US" w:eastAsia="zh-CN"/>
        </w:rPr>
        <w:t>2</w:t>
      </w:r>
      <w:r>
        <w:rPr>
          <w:b/>
          <w:kern w:val="2"/>
          <w:szCs w:val="28"/>
        </w:rPr>
        <w:t>）发生突发环境事件原因分析</w:t>
      </w:r>
    </w:p>
    <w:p>
      <w:pPr>
        <w:spacing w:line="360" w:lineRule="auto"/>
        <w:ind w:firstLine="552" w:firstLineChars="200"/>
      </w:pPr>
      <w:r>
        <w:rPr>
          <w:rFonts w:hint="eastAsia"/>
          <w:szCs w:val="28"/>
          <w:lang w:eastAsia="zh-CN"/>
        </w:rPr>
        <w:t>物料</w:t>
      </w:r>
      <w:r>
        <w:rPr>
          <w:szCs w:val="28"/>
        </w:rPr>
        <w:t>的</w:t>
      </w:r>
      <w:r>
        <w:rPr>
          <w:rFonts w:hint="eastAsia"/>
          <w:szCs w:val="28"/>
          <w:lang w:eastAsia="zh-CN"/>
        </w:rPr>
        <w:t>运输、</w:t>
      </w:r>
      <w:r>
        <w:rPr>
          <w:szCs w:val="28"/>
        </w:rPr>
        <w:t>装卸、贮存、生产过程中都有发生泄漏的可能。另外，在贮存、生产过程中也有发生泄漏、进而发生火灾、爆炸的可能，造成人员伤亡、财产损失和环境污染事故</w:t>
      </w:r>
      <w:r>
        <w:rPr>
          <w:rFonts w:hint="eastAsia"/>
          <w:szCs w:val="28"/>
          <w:lang w:eastAsia="zh-CN"/>
        </w:rPr>
        <w:t>。</w:t>
      </w:r>
      <w:r>
        <w:t>对</w:t>
      </w:r>
      <w:r>
        <w:rPr>
          <w:rFonts w:hint="eastAsia"/>
          <w:lang w:eastAsia="zh-CN"/>
        </w:rPr>
        <w:t>同类型</w:t>
      </w:r>
      <w:r>
        <w:t>企业事故进行分析，</w:t>
      </w:r>
      <w:r>
        <w:rPr>
          <w:rFonts w:hint="eastAsia"/>
          <w:lang w:eastAsia="zh-CN"/>
        </w:rPr>
        <w:t>密封性</w:t>
      </w:r>
      <w:r>
        <w:t>不足、</w:t>
      </w:r>
      <w:r>
        <w:rPr>
          <w:rFonts w:hint="eastAsia"/>
          <w:lang w:eastAsia="zh-CN"/>
        </w:rPr>
        <w:t>超压</w:t>
      </w:r>
      <w:r>
        <w:t>、高温、违反操作规程、</w:t>
      </w:r>
      <w:r>
        <w:rPr>
          <w:rFonts w:hint="eastAsia"/>
          <w:lang w:eastAsia="zh-CN"/>
        </w:rPr>
        <w:t>设备</w:t>
      </w:r>
      <w:r>
        <w:t>破损等因素，是导致企业</w:t>
      </w:r>
      <w:r>
        <w:rPr>
          <w:rFonts w:hint="eastAsia"/>
          <w:lang w:eastAsia="zh-CN"/>
        </w:rPr>
        <w:t>物料</w:t>
      </w:r>
      <w:r>
        <w:t>发生泄漏的主要因素。</w:t>
      </w:r>
    </w:p>
    <w:p>
      <w:pPr>
        <w:spacing w:after="120" w:afterLines="50" w:line="360" w:lineRule="auto"/>
        <w:ind w:firstLine="416" w:firstLineChars="150"/>
        <w:rPr>
          <w:b/>
          <w:bCs/>
          <w:szCs w:val="28"/>
        </w:rPr>
      </w:pPr>
      <w:bookmarkStart w:id="158" w:name="_Toc367719820"/>
      <w:bookmarkStart w:id="159" w:name="_Toc439689860"/>
      <w:bookmarkStart w:id="160" w:name="_Toc367714316"/>
      <w:r>
        <w:rPr>
          <w:b/>
          <w:bCs/>
          <w:szCs w:val="28"/>
        </w:rPr>
        <w:t>（</w:t>
      </w:r>
      <w:r>
        <w:rPr>
          <w:rFonts w:hint="eastAsia"/>
          <w:b/>
          <w:bCs/>
          <w:szCs w:val="28"/>
          <w:lang w:val="en-US" w:eastAsia="zh-CN"/>
        </w:rPr>
        <w:t>3</w:t>
      </w:r>
      <w:r>
        <w:rPr>
          <w:b/>
          <w:bCs/>
          <w:szCs w:val="28"/>
        </w:rPr>
        <w:t>）</w:t>
      </w:r>
      <w:bookmarkEnd w:id="158"/>
      <w:bookmarkEnd w:id="159"/>
      <w:bookmarkEnd w:id="160"/>
      <w:r>
        <w:rPr>
          <w:b/>
          <w:bCs/>
          <w:szCs w:val="28"/>
        </w:rPr>
        <w:t>环境影响分析</w:t>
      </w:r>
    </w:p>
    <w:p>
      <w:pPr>
        <w:spacing w:before="120" w:beforeLines="50" w:line="360" w:lineRule="auto"/>
        <w:ind w:firstLine="552" w:firstLineChars="200"/>
        <w:rPr>
          <w:rFonts w:hint="eastAsia"/>
          <w:szCs w:val="28"/>
        </w:rPr>
      </w:pPr>
      <w:r>
        <w:rPr>
          <w:rFonts w:hint="eastAsia"/>
          <w:szCs w:val="28"/>
          <w:lang w:eastAsia="zh-CN"/>
        </w:rPr>
        <w:t>公司</w:t>
      </w:r>
      <w:r>
        <w:rPr>
          <w:rFonts w:hint="eastAsia"/>
          <w:szCs w:val="28"/>
        </w:rPr>
        <w:t>产生的沼气其具体组分见表</w:t>
      </w:r>
      <w:r>
        <w:rPr>
          <w:rFonts w:hint="eastAsia"/>
          <w:szCs w:val="28"/>
          <w:lang w:val="en-US" w:eastAsia="zh-CN"/>
        </w:rPr>
        <w:t>3</w:t>
      </w:r>
      <w:r>
        <w:rPr>
          <w:rFonts w:hint="eastAsia"/>
          <w:szCs w:val="28"/>
        </w:rPr>
        <w:t>-1，理化参数见表</w:t>
      </w:r>
      <w:r>
        <w:rPr>
          <w:rFonts w:hint="eastAsia"/>
          <w:szCs w:val="28"/>
          <w:lang w:val="en-US" w:eastAsia="zh-CN"/>
        </w:rPr>
        <w:t>3</w:t>
      </w:r>
      <w:r>
        <w:rPr>
          <w:rFonts w:hint="eastAsia"/>
          <w:szCs w:val="28"/>
        </w:rPr>
        <w:t>-2。</w:t>
      </w:r>
    </w:p>
    <w:p>
      <w:pPr>
        <w:spacing w:line="480" w:lineRule="exact"/>
        <w:ind w:left="-127" w:leftChars="-46" w:firstLine="118" w:firstLineChars="50"/>
        <w:jc w:val="center"/>
        <w:rPr>
          <w:rFonts w:hint="eastAsia"/>
          <w:b/>
          <w:sz w:val="24"/>
          <w:szCs w:val="24"/>
        </w:rPr>
      </w:pPr>
      <w:r>
        <w:rPr>
          <w:rFonts w:hint="eastAsia"/>
          <w:b/>
          <w:sz w:val="24"/>
          <w:szCs w:val="24"/>
        </w:rPr>
        <w:t>表</w:t>
      </w:r>
      <w:r>
        <w:rPr>
          <w:rFonts w:hint="eastAsia"/>
          <w:b/>
          <w:sz w:val="24"/>
          <w:szCs w:val="24"/>
          <w:lang w:val="en-US" w:eastAsia="zh-CN"/>
        </w:rPr>
        <w:t>3</w:t>
      </w:r>
      <w:r>
        <w:rPr>
          <w:rFonts w:hint="eastAsia"/>
          <w:b/>
          <w:sz w:val="24"/>
          <w:szCs w:val="24"/>
        </w:rPr>
        <w:t>-1 沼气气体组分</w:t>
      </w:r>
    </w:p>
    <w:tbl>
      <w:tblPr>
        <w:tblStyle w:val="42"/>
        <w:tblW w:w="8420" w:type="dxa"/>
        <w:jc w:val="center"/>
        <w:tblInd w:w="108"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4156"/>
        <w:gridCol w:w="426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68" w:hRule="atLeast"/>
          <w:jc w:val="center"/>
        </w:trPr>
        <w:tc>
          <w:tcPr>
            <w:tcW w:w="4156" w:type="dxa"/>
            <w:noWrap w:val="0"/>
            <w:vAlign w:val="center"/>
          </w:tcPr>
          <w:p>
            <w:pPr>
              <w:spacing w:line="240" w:lineRule="auto"/>
              <w:jc w:val="center"/>
              <w:rPr>
                <w:rFonts w:hint="eastAsia" w:eastAsiaTheme="minorEastAsia"/>
                <w:sz w:val="24"/>
                <w:szCs w:val="24"/>
                <w:highlight w:val="none"/>
              </w:rPr>
            </w:pPr>
            <w:r>
              <w:rPr>
                <w:rFonts w:hint="eastAsia" w:eastAsiaTheme="minorEastAsia"/>
                <w:sz w:val="24"/>
                <w:szCs w:val="24"/>
                <w:highlight w:val="none"/>
              </w:rPr>
              <w:t>组分</w:t>
            </w:r>
          </w:p>
        </w:tc>
        <w:tc>
          <w:tcPr>
            <w:tcW w:w="4264" w:type="dxa"/>
            <w:noWrap w:val="0"/>
            <w:vAlign w:val="center"/>
          </w:tcPr>
          <w:p>
            <w:pPr>
              <w:spacing w:line="240" w:lineRule="auto"/>
              <w:jc w:val="center"/>
              <w:rPr>
                <w:rFonts w:hint="eastAsia" w:eastAsiaTheme="minorEastAsia"/>
                <w:sz w:val="24"/>
                <w:szCs w:val="24"/>
                <w:highlight w:val="none"/>
              </w:rPr>
            </w:pPr>
            <w:r>
              <w:rPr>
                <w:rFonts w:hint="eastAsia" w:eastAsiaTheme="minorEastAsia"/>
                <w:sz w:val="24"/>
                <w:szCs w:val="24"/>
                <w:highlight w:val="none"/>
              </w:rPr>
              <w:t>体积百分数（%）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68" w:hRule="atLeast"/>
          <w:jc w:val="center"/>
        </w:trPr>
        <w:tc>
          <w:tcPr>
            <w:tcW w:w="4156" w:type="dxa"/>
            <w:noWrap w:val="0"/>
            <w:vAlign w:val="center"/>
          </w:tcPr>
          <w:p>
            <w:pPr>
              <w:spacing w:line="240" w:lineRule="auto"/>
              <w:jc w:val="center"/>
              <w:rPr>
                <w:rFonts w:hint="eastAsia" w:eastAsiaTheme="minorEastAsia"/>
                <w:sz w:val="24"/>
                <w:szCs w:val="24"/>
                <w:highlight w:val="none"/>
              </w:rPr>
            </w:pPr>
            <w:r>
              <w:rPr>
                <w:rFonts w:hint="eastAsia" w:eastAsiaTheme="minorEastAsia"/>
                <w:sz w:val="24"/>
                <w:szCs w:val="24"/>
                <w:highlight w:val="none"/>
              </w:rPr>
              <w:t>CH4</w:t>
            </w:r>
          </w:p>
        </w:tc>
        <w:tc>
          <w:tcPr>
            <w:tcW w:w="4264" w:type="dxa"/>
            <w:noWrap w:val="0"/>
            <w:vAlign w:val="center"/>
          </w:tcPr>
          <w:p>
            <w:pPr>
              <w:spacing w:line="240" w:lineRule="auto"/>
              <w:jc w:val="center"/>
              <w:rPr>
                <w:rFonts w:hint="eastAsia" w:eastAsiaTheme="minorEastAsia"/>
                <w:sz w:val="24"/>
                <w:szCs w:val="24"/>
                <w:highlight w:val="none"/>
              </w:rPr>
            </w:pPr>
            <w:r>
              <w:rPr>
                <w:rFonts w:hint="eastAsia" w:eastAsiaTheme="minorEastAsia"/>
                <w:sz w:val="24"/>
                <w:szCs w:val="24"/>
                <w:highlight w:val="none"/>
              </w:rPr>
              <w:t>&gt;</w:t>
            </w:r>
            <w:r>
              <w:rPr>
                <w:rFonts w:hint="eastAsia" w:eastAsiaTheme="minorEastAsia"/>
                <w:sz w:val="24"/>
                <w:szCs w:val="24"/>
                <w:highlight w:val="none"/>
                <w:lang w:val="en-US" w:eastAsia="zh-CN"/>
              </w:rPr>
              <w:t>5</w:t>
            </w:r>
            <w:r>
              <w:rPr>
                <w:rFonts w:hint="eastAsia" w:eastAsiaTheme="minorEastAsia"/>
                <w:sz w:val="24"/>
                <w:szCs w:val="24"/>
                <w:highlight w:val="none"/>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68" w:hRule="atLeast"/>
          <w:jc w:val="center"/>
        </w:trPr>
        <w:tc>
          <w:tcPr>
            <w:tcW w:w="4156" w:type="dxa"/>
            <w:noWrap w:val="0"/>
            <w:vAlign w:val="center"/>
          </w:tcPr>
          <w:p>
            <w:pPr>
              <w:spacing w:line="240" w:lineRule="auto"/>
              <w:jc w:val="center"/>
              <w:rPr>
                <w:rFonts w:hint="eastAsia" w:eastAsiaTheme="minorEastAsia"/>
                <w:sz w:val="24"/>
                <w:szCs w:val="24"/>
                <w:highlight w:val="none"/>
              </w:rPr>
            </w:pPr>
            <w:r>
              <w:rPr>
                <w:rFonts w:hint="eastAsia" w:eastAsiaTheme="minorEastAsia"/>
                <w:sz w:val="24"/>
                <w:szCs w:val="24"/>
                <w:highlight w:val="none"/>
              </w:rPr>
              <w:t>CO2</w:t>
            </w:r>
          </w:p>
        </w:tc>
        <w:tc>
          <w:tcPr>
            <w:tcW w:w="4264" w:type="dxa"/>
            <w:noWrap w:val="0"/>
            <w:vAlign w:val="center"/>
          </w:tcPr>
          <w:p>
            <w:pPr>
              <w:spacing w:line="240" w:lineRule="auto"/>
              <w:jc w:val="center"/>
              <w:rPr>
                <w:rFonts w:hint="eastAsia" w:eastAsiaTheme="minorEastAsia"/>
                <w:sz w:val="24"/>
                <w:szCs w:val="24"/>
                <w:highlight w:val="none"/>
              </w:rPr>
            </w:pPr>
            <w:r>
              <w:rPr>
                <w:rFonts w:hint="eastAsia" w:eastAsiaTheme="minorEastAsia"/>
                <w:sz w:val="24"/>
                <w:szCs w:val="24"/>
                <w:highlight w:val="none"/>
              </w:rPr>
              <w:t>&lt;</w:t>
            </w:r>
            <w:r>
              <w:rPr>
                <w:rFonts w:hint="eastAsia" w:eastAsiaTheme="minorEastAsia"/>
                <w:sz w:val="24"/>
                <w:szCs w:val="24"/>
                <w:highlight w:val="none"/>
                <w:lang w:val="en-US" w:eastAsia="zh-CN"/>
              </w:rPr>
              <w:t>4</w:t>
            </w:r>
            <w:r>
              <w:rPr>
                <w:rFonts w:hint="eastAsia" w:eastAsiaTheme="minorEastAsia"/>
                <w:sz w:val="24"/>
                <w:szCs w:val="24"/>
                <w:highlight w:val="none"/>
              </w:rPr>
              <w:t>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68" w:hRule="atLeast"/>
          <w:jc w:val="center"/>
        </w:trPr>
        <w:tc>
          <w:tcPr>
            <w:tcW w:w="4156" w:type="dxa"/>
            <w:vMerge w:val="restart"/>
            <w:noWrap w:val="0"/>
            <w:vAlign w:val="center"/>
          </w:tcPr>
          <w:p>
            <w:pPr>
              <w:spacing w:line="240" w:lineRule="auto"/>
              <w:jc w:val="center"/>
              <w:rPr>
                <w:rFonts w:hint="eastAsia" w:eastAsiaTheme="minorEastAsia"/>
                <w:sz w:val="24"/>
                <w:szCs w:val="24"/>
                <w:highlight w:val="none"/>
              </w:rPr>
            </w:pPr>
            <w:r>
              <w:rPr>
                <w:rFonts w:hint="eastAsia" w:eastAsiaTheme="minorEastAsia"/>
                <w:sz w:val="24"/>
                <w:szCs w:val="24"/>
                <w:highlight w:val="none"/>
              </w:rPr>
              <w:t>H2S</w:t>
            </w:r>
          </w:p>
        </w:tc>
        <w:tc>
          <w:tcPr>
            <w:tcW w:w="4264" w:type="dxa"/>
            <w:noWrap w:val="0"/>
            <w:vAlign w:val="center"/>
          </w:tcPr>
          <w:p>
            <w:pPr>
              <w:spacing w:line="240" w:lineRule="auto"/>
              <w:jc w:val="center"/>
              <w:rPr>
                <w:rFonts w:hint="eastAsia" w:eastAsiaTheme="minorEastAsia"/>
                <w:sz w:val="24"/>
                <w:szCs w:val="24"/>
                <w:highlight w:val="none"/>
              </w:rPr>
            </w:pPr>
            <w:r>
              <w:rPr>
                <w:rFonts w:hint="eastAsia" w:eastAsiaTheme="minorEastAsia"/>
                <w:sz w:val="24"/>
                <w:szCs w:val="24"/>
                <w:highlight w:val="none"/>
              </w:rPr>
              <w:t>脱硫前800~1000ppm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68" w:hRule="atLeast"/>
          <w:jc w:val="center"/>
        </w:trPr>
        <w:tc>
          <w:tcPr>
            <w:tcW w:w="4156" w:type="dxa"/>
            <w:vMerge w:val="continue"/>
            <w:noWrap w:val="0"/>
            <w:vAlign w:val="center"/>
          </w:tcPr>
          <w:p>
            <w:pPr>
              <w:spacing w:line="240" w:lineRule="auto"/>
              <w:jc w:val="center"/>
              <w:rPr>
                <w:rFonts w:hint="eastAsia" w:eastAsiaTheme="minorEastAsia"/>
                <w:sz w:val="24"/>
                <w:szCs w:val="24"/>
                <w:highlight w:val="none"/>
              </w:rPr>
            </w:pPr>
          </w:p>
        </w:tc>
        <w:tc>
          <w:tcPr>
            <w:tcW w:w="4264" w:type="dxa"/>
            <w:noWrap w:val="0"/>
            <w:vAlign w:val="center"/>
          </w:tcPr>
          <w:p>
            <w:pPr>
              <w:spacing w:line="240" w:lineRule="auto"/>
              <w:jc w:val="center"/>
              <w:rPr>
                <w:rFonts w:hint="eastAsia" w:eastAsiaTheme="minorEastAsia"/>
                <w:sz w:val="24"/>
                <w:szCs w:val="24"/>
                <w:highlight w:val="none"/>
              </w:rPr>
            </w:pPr>
            <w:r>
              <w:rPr>
                <w:rFonts w:hint="eastAsia" w:eastAsiaTheme="minorEastAsia"/>
                <w:sz w:val="24"/>
                <w:szCs w:val="24"/>
                <w:highlight w:val="none"/>
              </w:rPr>
              <w:t>脱硫后&lt;20ppm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68" w:hRule="atLeast"/>
          <w:jc w:val="center"/>
        </w:trPr>
        <w:tc>
          <w:tcPr>
            <w:tcW w:w="4156" w:type="dxa"/>
            <w:noWrap w:val="0"/>
            <w:vAlign w:val="center"/>
          </w:tcPr>
          <w:p>
            <w:pPr>
              <w:spacing w:line="240" w:lineRule="auto"/>
              <w:jc w:val="center"/>
              <w:rPr>
                <w:rFonts w:hint="eastAsia" w:eastAsiaTheme="minorEastAsia"/>
                <w:sz w:val="24"/>
                <w:szCs w:val="24"/>
                <w:highlight w:val="none"/>
              </w:rPr>
            </w:pPr>
            <w:r>
              <w:rPr>
                <w:rFonts w:hint="eastAsia" w:eastAsiaTheme="minorEastAsia"/>
                <w:sz w:val="24"/>
                <w:szCs w:val="24"/>
                <w:highlight w:val="none"/>
              </w:rPr>
              <w:t>H2、CO</w:t>
            </w:r>
          </w:p>
        </w:tc>
        <w:tc>
          <w:tcPr>
            <w:tcW w:w="4264" w:type="dxa"/>
            <w:noWrap w:val="0"/>
            <w:vAlign w:val="center"/>
          </w:tcPr>
          <w:p>
            <w:pPr>
              <w:spacing w:line="240" w:lineRule="auto"/>
              <w:jc w:val="center"/>
              <w:rPr>
                <w:rFonts w:hint="eastAsia" w:eastAsiaTheme="minorEastAsia"/>
                <w:sz w:val="24"/>
                <w:szCs w:val="24"/>
                <w:highlight w:val="none"/>
              </w:rPr>
            </w:pPr>
            <w:r>
              <w:rPr>
                <w:rFonts w:hint="eastAsia" w:eastAsiaTheme="minorEastAsia"/>
                <w:sz w:val="24"/>
                <w:szCs w:val="24"/>
                <w:highlight w:val="none"/>
              </w:rPr>
              <w:t>&lt;1</w:t>
            </w:r>
          </w:p>
        </w:tc>
      </w:tr>
    </w:tbl>
    <w:p>
      <w:pPr>
        <w:spacing w:line="480" w:lineRule="exact"/>
        <w:ind w:left="-127" w:leftChars="-46" w:firstLine="118" w:firstLineChars="50"/>
        <w:jc w:val="center"/>
        <w:rPr>
          <w:rFonts w:hint="eastAsia"/>
          <w:b/>
          <w:sz w:val="24"/>
          <w:szCs w:val="24"/>
        </w:rPr>
      </w:pPr>
      <w:r>
        <w:rPr>
          <w:rFonts w:hint="eastAsia"/>
          <w:b/>
          <w:sz w:val="24"/>
          <w:szCs w:val="24"/>
        </w:rPr>
        <w:t>表</w:t>
      </w:r>
      <w:r>
        <w:rPr>
          <w:rFonts w:hint="eastAsia"/>
          <w:b/>
          <w:sz w:val="24"/>
          <w:szCs w:val="24"/>
          <w:lang w:val="en-US" w:eastAsia="zh-CN"/>
        </w:rPr>
        <w:t>3</w:t>
      </w:r>
      <w:r>
        <w:rPr>
          <w:rFonts w:hint="eastAsia"/>
          <w:b/>
          <w:sz w:val="24"/>
          <w:szCs w:val="24"/>
        </w:rPr>
        <w:t>-2 沼气理化参数</w:t>
      </w:r>
    </w:p>
    <w:tbl>
      <w:tblPr>
        <w:tblStyle w:val="42"/>
        <w:tblW w:w="8278" w:type="dxa"/>
        <w:jc w:val="center"/>
        <w:tblInd w:w="25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4014"/>
        <w:gridCol w:w="426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05" w:hRule="atLeast"/>
          <w:jc w:val="center"/>
        </w:trPr>
        <w:tc>
          <w:tcPr>
            <w:tcW w:w="4014" w:type="dxa"/>
            <w:noWrap w:val="0"/>
            <w:vAlign w:val="center"/>
          </w:tcPr>
          <w:p>
            <w:pPr>
              <w:spacing w:line="240" w:lineRule="auto"/>
              <w:jc w:val="center"/>
              <w:rPr>
                <w:rFonts w:hint="eastAsia" w:eastAsiaTheme="minorEastAsia"/>
                <w:sz w:val="24"/>
                <w:szCs w:val="24"/>
                <w:highlight w:val="none"/>
              </w:rPr>
            </w:pPr>
            <w:r>
              <w:rPr>
                <w:rFonts w:hint="eastAsia" w:eastAsiaTheme="minorEastAsia"/>
                <w:sz w:val="24"/>
                <w:szCs w:val="24"/>
                <w:highlight w:val="none"/>
              </w:rPr>
              <w:t>项目</w:t>
            </w:r>
          </w:p>
        </w:tc>
        <w:tc>
          <w:tcPr>
            <w:tcW w:w="4264" w:type="dxa"/>
            <w:noWrap w:val="0"/>
            <w:vAlign w:val="center"/>
          </w:tcPr>
          <w:p>
            <w:pPr>
              <w:spacing w:line="240" w:lineRule="auto"/>
              <w:jc w:val="center"/>
              <w:rPr>
                <w:rFonts w:hint="eastAsia" w:eastAsiaTheme="minorEastAsia"/>
                <w:sz w:val="24"/>
                <w:szCs w:val="24"/>
                <w:highlight w:val="none"/>
              </w:rPr>
            </w:pPr>
            <w:r>
              <w:rPr>
                <w:rFonts w:hint="eastAsia" w:eastAsiaTheme="minorEastAsia"/>
                <w:sz w:val="24"/>
                <w:szCs w:val="24"/>
                <w:highlight w:val="none"/>
              </w:rPr>
              <w:t>参数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05" w:hRule="atLeast"/>
          <w:jc w:val="center"/>
        </w:trPr>
        <w:tc>
          <w:tcPr>
            <w:tcW w:w="4014" w:type="dxa"/>
            <w:noWrap w:val="0"/>
            <w:vAlign w:val="center"/>
          </w:tcPr>
          <w:p>
            <w:pPr>
              <w:spacing w:line="240" w:lineRule="auto"/>
              <w:jc w:val="center"/>
              <w:rPr>
                <w:rFonts w:hint="eastAsia" w:eastAsiaTheme="minorEastAsia"/>
                <w:sz w:val="24"/>
                <w:szCs w:val="24"/>
                <w:highlight w:val="none"/>
              </w:rPr>
            </w:pPr>
            <w:r>
              <w:rPr>
                <w:rFonts w:hint="eastAsia" w:eastAsiaTheme="minorEastAsia"/>
                <w:sz w:val="24"/>
                <w:szCs w:val="24"/>
                <w:highlight w:val="none"/>
              </w:rPr>
              <w:t>密度</w:t>
            </w:r>
          </w:p>
        </w:tc>
        <w:tc>
          <w:tcPr>
            <w:tcW w:w="4264" w:type="dxa"/>
            <w:noWrap w:val="0"/>
            <w:vAlign w:val="center"/>
          </w:tcPr>
          <w:p>
            <w:pPr>
              <w:spacing w:line="240" w:lineRule="auto"/>
              <w:jc w:val="center"/>
              <w:rPr>
                <w:rFonts w:hint="eastAsia" w:eastAsiaTheme="minorEastAsia"/>
                <w:sz w:val="24"/>
                <w:szCs w:val="24"/>
                <w:highlight w:val="none"/>
              </w:rPr>
            </w:pPr>
            <w:r>
              <w:rPr>
                <w:rFonts w:hint="eastAsia" w:eastAsiaTheme="minorEastAsia"/>
                <w:sz w:val="24"/>
                <w:szCs w:val="24"/>
                <w:highlight w:val="none"/>
              </w:rPr>
              <w:t>1.2kg/m3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05" w:hRule="atLeast"/>
          <w:jc w:val="center"/>
        </w:trPr>
        <w:tc>
          <w:tcPr>
            <w:tcW w:w="4014" w:type="dxa"/>
            <w:noWrap w:val="0"/>
            <w:vAlign w:val="center"/>
          </w:tcPr>
          <w:p>
            <w:pPr>
              <w:spacing w:line="240" w:lineRule="auto"/>
              <w:jc w:val="center"/>
              <w:rPr>
                <w:rFonts w:hint="eastAsia" w:eastAsiaTheme="minorEastAsia"/>
                <w:sz w:val="24"/>
                <w:szCs w:val="24"/>
                <w:highlight w:val="none"/>
              </w:rPr>
            </w:pPr>
            <w:r>
              <w:rPr>
                <w:rFonts w:hint="eastAsia" w:eastAsiaTheme="minorEastAsia"/>
                <w:sz w:val="24"/>
                <w:szCs w:val="24"/>
                <w:highlight w:val="none"/>
              </w:rPr>
              <w:t>高热值</w:t>
            </w:r>
          </w:p>
        </w:tc>
        <w:tc>
          <w:tcPr>
            <w:tcW w:w="4264" w:type="dxa"/>
            <w:noWrap w:val="0"/>
            <w:vAlign w:val="center"/>
          </w:tcPr>
          <w:p>
            <w:pPr>
              <w:spacing w:line="240" w:lineRule="auto"/>
              <w:jc w:val="center"/>
              <w:rPr>
                <w:rFonts w:hint="eastAsia" w:eastAsiaTheme="minorEastAsia"/>
                <w:sz w:val="24"/>
                <w:szCs w:val="24"/>
                <w:highlight w:val="none"/>
              </w:rPr>
            </w:pPr>
            <w:r>
              <w:rPr>
                <w:rFonts w:hint="eastAsia" w:eastAsiaTheme="minorEastAsia"/>
                <w:sz w:val="24"/>
                <w:szCs w:val="24"/>
                <w:highlight w:val="none"/>
              </w:rPr>
              <w:t>23.02MJ/m3(5498.72kcal/m3)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05" w:hRule="atLeast"/>
          <w:jc w:val="center"/>
        </w:trPr>
        <w:tc>
          <w:tcPr>
            <w:tcW w:w="4014" w:type="dxa"/>
            <w:noWrap w:val="0"/>
            <w:vAlign w:val="center"/>
          </w:tcPr>
          <w:p>
            <w:pPr>
              <w:spacing w:line="240" w:lineRule="auto"/>
              <w:jc w:val="center"/>
              <w:rPr>
                <w:rFonts w:hint="eastAsia" w:eastAsiaTheme="minorEastAsia"/>
                <w:sz w:val="24"/>
                <w:szCs w:val="24"/>
                <w:highlight w:val="none"/>
              </w:rPr>
            </w:pPr>
            <w:r>
              <w:rPr>
                <w:rFonts w:hint="eastAsia" w:eastAsiaTheme="minorEastAsia"/>
                <w:sz w:val="24"/>
                <w:szCs w:val="24"/>
                <w:highlight w:val="none"/>
              </w:rPr>
              <w:t>低热值</w:t>
            </w:r>
          </w:p>
        </w:tc>
        <w:tc>
          <w:tcPr>
            <w:tcW w:w="4264" w:type="dxa"/>
            <w:noWrap w:val="0"/>
            <w:vAlign w:val="center"/>
          </w:tcPr>
          <w:p>
            <w:pPr>
              <w:spacing w:line="240" w:lineRule="auto"/>
              <w:jc w:val="center"/>
              <w:rPr>
                <w:rFonts w:hint="eastAsia" w:eastAsiaTheme="minorEastAsia"/>
                <w:sz w:val="24"/>
                <w:szCs w:val="24"/>
                <w:highlight w:val="none"/>
              </w:rPr>
            </w:pPr>
            <w:r>
              <w:rPr>
                <w:rFonts w:hint="eastAsia" w:eastAsiaTheme="minorEastAsia"/>
                <w:sz w:val="24"/>
                <w:szCs w:val="24"/>
                <w:highlight w:val="none"/>
              </w:rPr>
              <w:t>20.74MJ/m3(4955.69kcal/m3)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05" w:hRule="atLeast"/>
          <w:jc w:val="center"/>
        </w:trPr>
        <w:tc>
          <w:tcPr>
            <w:tcW w:w="4014" w:type="dxa"/>
            <w:noWrap w:val="0"/>
            <w:vAlign w:val="center"/>
          </w:tcPr>
          <w:p>
            <w:pPr>
              <w:spacing w:line="240" w:lineRule="auto"/>
              <w:jc w:val="center"/>
              <w:rPr>
                <w:rFonts w:hint="eastAsia" w:eastAsiaTheme="minorEastAsia"/>
                <w:sz w:val="24"/>
                <w:szCs w:val="24"/>
                <w:highlight w:val="none"/>
              </w:rPr>
            </w:pPr>
            <w:r>
              <w:rPr>
                <w:rFonts w:hint="eastAsia" w:eastAsiaTheme="minorEastAsia"/>
                <w:sz w:val="24"/>
                <w:szCs w:val="24"/>
                <w:highlight w:val="none"/>
              </w:rPr>
              <w:t>华白数</w:t>
            </w:r>
          </w:p>
        </w:tc>
        <w:tc>
          <w:tcPr>
            <w:tcW w:w="4264" w:type="dxa"/>
            <w:noWrap w:val="0"/>
            <w:vAlign w:val="center"/>
          </w:tcPr>
          <w:p>
            <w:pPr>
              <w:spacing w:line="240" w:lineRule="auto"/>
              <w:jc w:val="center"/>
              <w:rPr>
                <w:rFonts w:hint="eastAsia" w:eastAsiaTheme="minorEastAsia"/>
                <w:sz w:val="24"/>
                <w:szCs w:val="24"/>
                <w:highlight w:val="none"/>
              </w:rPr>
            </w:pPr>
            <w:r>
              <w:rPr>
                <w:rFonts w:hint="eastAsia" w:eastAsiaTheme="minorEastAsia"/>
                <w:sz w:val="24"/>
                <w:szCs w:val="24"/>
                <w:highlight w:val="none"/>
              </w:rPr>
              <w:t>24.0MJ/m3(5741.63kcal/m3)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05" w:hRule="atLeast"/>
          <w:jc w:val="center"/>
        </w:trPr>
        <w:tc>
          <w:tcPr>
            <w:tcW w:w="4014" w:type="dxa"/>
            <w:noWrap w:val="0"/>
            <w:vAlign w:val="center"/>
          </w:tcPr>
          <w:p>
            <w:pPr>
              <w:spacing w:line="240" w:lineRule="auto"/>
              <w:jc w:val="center"/>
              <w:rPr>
                <w:rFonts w:hint="eastAsia" w:eastAsiaTheme="minorEastAsia"/>
                <w:sz w:val="24"/>
                <w:szCs w:val="24"/>
                <w:highlight w:val="none"/>
              </w:rPr>
            </w:pPr>
            <w:r>
              <w:rPr>
                <w:rFonts w:hint="eastAsia" w:eastAsiaTheme="minorEastAsia"/>
                <w:sz w:val="24"/>
                <w:szCs w:val="24"/>
                <w:highlight w:val="none"/>
              </w:rPr>
              <w:t>燃烧势</w:t>
            </w:r>
          </w:p>
        </w:tc>
        <w:tc>
          <w:tcPr>
            <w:tcW w:w="4264" w:type="dxa"/>
            <w:noWrap w:val="0"/>
            <w:vAlign w:val="center"/>
          </w:tcPr>
          <w:p>
            <w:pPr>
              <w:spacing w:line="240" w:lineRule="auto"/>
              <w:jc w:val="center"/>
              <w:rPr>
                <w:rFonts w:hint="eastAsia" w:eastAsiaTheme="minorEastAsia"/>
                <w:sz w:val="24"/>
                <w:szCs w:val="24"/>
                <w:highlight w:val="none"/>
              </w:rPr>
            </w:pPr>
            <w:r>
              <w:rPr>
                <w:rFonts w:hint="eastAsia" w:eastAsiaTheme="minorEastAsia"/>
                <w:sz w:val="24"/>
                <w:szCs w:val="24"/>
                <w:highlight w:val="none"/>
              </w:rPr>
              <w:t>20.74</w:t>
            </w:r>
          </w:p>
        </w:tc>
      </w:tr>
    </w:tbl>
    <w:p>
      <w:pPr>
        <w:spacing w:before="120" w:beforeLines="50" w:line="360" w:lineRule="auto"/>
        <w:ind w:firstLine="552" w:firstLineChars="200"/>
        <w:rPr>
          <w:rFonts w:hint="eastAsia"/>
          <w:szCs w:val="28"/>
        </w:rPr>
      </w:pPr>
    </w:p>
    <w:p>
      <w:pPr>
        <w:spacing w:before="120" w:beforeLines="50" w:line="360" w:lineRule="auto"/>
        <w:ind w:firstLine="552" w:firstLineChars="200"/>
        <w:rPr>
          <w:rFonts w:hint="eastAsia"/>
          <w:szCs w:val="28"/>
        </w:rPr>
      </w:pPr>
      <w:r>
        <w:rPr>
          <w:rFonts w:hint="eastAsia"/>
          <w:szCs w:val="28"/>
        </w:rPr>
        <w:t>沼气中大部分组分均有易燃、易爆危险性，上述如下：</w:t>
      </w:r>
    </w:p>
    <w:p>
      <w:pPr>
        <w:spacing w:before="120" w:beforeLines="50" w:line="360" w:lineRule="auto"/>
        <w:ind w:firstLine="552" w:firstLineChars="200"/>
        <w:rPr>
          <w:rFonts w:hint="eastAsia"/>
          <w:szCs w:val="28"/>
        </w:rPr>
      </w:pPr>
      <w:r>
        <w:rPr>
          <w:rFonts w:hint="eastAsia"/>
          <w:szCs w:val="28"/>
        </w:rPr>
        <w:t>1、一氧化碳</w:t>
      </w:r>
      <w:r>
        <w:rPr>
          <w:rFonts w:hint="eastAsia"/>
          <w:szCs w:val="28"/>
          <w:lang w:eastAsia="zh-CN"/>
        </w:rPr>
        <w:t>：</w:t>
      </w:r>
      <w:r>
        <w:rPr>
          <w:rFonts w:hint="eastAsia"/>
          <w:szCs w:val="28"/>
        </w:rPr>
        <w:t>无色无臭无刺激的气体。相对密度0.814（-195℃，液体）。熔点-205℃，沸点-191℃。临界温度-140.2℃，临界压力3.5×106pa。蒸汽相对密度0.97，微溶于水。</w:t>
      </w:r>
    </w:p>
    <w:p>
      <w:pPr>
        <w:spacing w:before="120" w:beforeLines="50" w:line="360" w:lineRule="auto"/>
        <w:ind w:firstLine="552" w:firstLineChars="200"/>
        <w:rPr>
          <w:rFonts w:hint="eastAsia"/>
          <w:szCs w:val="28"/>
        </w:rPr>
      </w:pPr>
      <w:r>
        <w:rPr>
          <w:rFonts w:hint="eastAsia"/>
          <w:szCs w:val="28"/>
        </w:rPr>
        <w:t>危险特性</w:t>
      </w:r>
      <w:r>
        <w:rPr>
          <w:rFonts w:hint="eastAsia"/>
          <w:szCs w:val="28"/>
          <w:lang w:eastAsia="zh-CN"/>
        </w:rPr>
        <w:t>：</w:t>
      </w:r>
      <w:r>
        <w:rPr>
          <w:rFonts w:hint="eastAsia"/>
          <w:szCs w:val="28"/>
        </w:rPr>
        <w:t xml:space="preserve">易燃，自燃点608.9℃。气体比空气轻，在空气中燃烧为蓝色火焰。与空气混和能形成爆炸性混合物，爆炸极限 12.5%~74%。遇明火、高热和摩擦、撞击的火花以引燃发生爆炸。剧毒，急性一氧化碳中毒是我国发病和死亡人数最多的急性职业中毒。急性CO中毒的发生与接触CO的浓度及时间有关。我国车间空气中CO的最高容许浓度为30mg/m3。有资料证明，吸入空气中CO浓度为240mg/m3共3h，Hb中COHb可超过10%；CO浓度达292.5mg/m3时，可使人产生严重的头痛、眩晕等症状，COHb可增高至25%；CO浓度达到 117Omg/ m3时，吸入超过6Omin可使人发生昏迷，COHb约高至60%。CO浓度达到11700mg/ m3时，数分钟内可使人致死，COHb可增高至90%。 </w:t>
      </w:r>
    </w:p>
    <w:p>
      <w:pPr>
        <w:spacing w:before="120" w:beforeLines="50" w:line="360" w:lineRule="auto"/>
        <w:ind w:firstLine="552" w:firstLineChars="200"/>
        <w:rPr>
          <w:rFonts w:hint="eastAsia" w:eastAsia="宋体"/>
          <w:szCs w:val="28"/>
          <w:lang w:eastAsia="zh-CN"/>
        </w:rPr>
      </w:pPr>
      <w:r>
        <w:rPr>
          <w:rFonts w:hint="eastAsia"/>
          <w:szCs w:val="28"/>
        </w:rPr>
        <w:t>2、氢</w:t>
      </w:r>
      <w:r>
        <w:rPr>
          <w:rFonts w:hint="eastAsia"/>
          <w:szCs w:val="28"/>
          <w:lang w:eastAsia="zh-CN"/>
        </w:rPr>
        <w:t>：</w:t>
      </w:r>
      <w:r>
        <w:rPr>
          <w:rFonts w:hint="eastAsia"/>
          <w:szCs w:val="28"/>
        </w:rPr>
        <w:t>无色无臭很轻的气体。易燃，燃烧时发生蓝色火焰。极易扩散和渗透。是强还原剂，在高温时能还原金属氧化物。相对密度0.0899，熔点-259.2℃，沸点-252.8℃。临界温度-234.8，临界压力1664.8kPa。蒸汽相对密度0.078（0℃）。冷氢气和正常温度</w:t>
      </w:r>
      <w:r>
        <w:rPr>
          <w:rFonts w:hint="eastAsia"/>
          <w:szCs w:val="28"/>
          <w:lang w:eastAsia="zh-CN"/>
        </w:rPr>
        <w:t>。</w:t>
      </w:r>
    </w:p>
    <w:p>
      <w:pPr>
        <w:spacing w:before="120" w:beforeLines="50" w:line="360" w:lineRule="auto"/>
        <w:ind w:firstLine="552" w:firstLineChars="200"/>
        <w:rPr>
          <w:rFonts w:hint="eastAsia"/>
          <w:szCs w:val="28"/>
        </w:rPr>
      </w:pPr>
      <w:r>
        <w:rPr>
          <w:rFonts w:hint="eastAsia"/>
          <w:szCs w:val="28"/>
        </w:rPr>
        <w:t>危险特性</w:t>
      </w:r>
      <w:r>
        <w:rPr>
          <w:rFonts w:hint="eastAsia"/>
          <w:szCs w:val="28"/>
          <w:lang w:eastAsia="zh-CN"/>
        </w:rPr>
        <w:t>：</w:t>
      </w:r>
      <w:r>
        <w:rPr>
          <w:rFonts w:hint="eastAsia"/>
          <w:szCs w:val="28"/>
        </w:rPr>
        <w:t>极易燃，空气里如果混入氢气的体积达到总体积的4％～74.2％（氢气的爆炸极限），点燃时就会发生爆炸。最低爆炸能0.2×10-4J。自燃点550℃。氢气与氟、氯、溴等卤素会剧烈反应。无毒，但高浓度时则有窒息作用。液氢与皮肤接触能引起严重冻伤或烧伤。</w:t>
      </w:r>
    </w:p>
    <w:p>
      <w:pPr>
        <w:spacing w:before="120" w:beforeLines="50" w:line="360" w:lineRule="auto"/>
        <w:ind w:firstLine="552" w:firstLineChars="200"/>
        <w:rPr>
          <w:rFonts w:hint="eastAsia"/>
          <w:szCs w:val="28"/>
        </w:rPr>
      </w:pPr>
      <w:r>
        <w:rPr>
          <w:rFonts w:hint="eastAsia"/>
          <w:szCs w:val="28"/>
        </w:rPr>
        <w:t>3、硫化氢</w:t>
      </w:r>
      <w:r>
        <w:rPr>
          <w:rFonts w:hint="eastAsia"/>
          <w:szCs w:val="28"/>
          <w:lang w:eastAsia="zh-CN"/>
        </w:rPr>
        <w:t>：</w:t>
      </w:r>
      <w:r>
        <w:rPr>
          <w:rFonts w:hint="eastAsia"/>
          <w:szCs w:val="28"/>
        </w:rPr>
        <w:t>无色，有刺激性（臭鸡蛋）气味的液化气体。在空气中容易燃烧，燃烧时发出蓝色火焰。熔点：-85.5℃，沸点：-60.4℃，临界温度100.5℃，蒸汽压：2026.5kPa（25.5℃），相对空气密度1.19（空气密度设为1）。</w:t>
      </w:r>
    </w:p>
    <w:p>
      <w:pPr>
        <w:spacing w:before="120" w:beforeLines="50" w:line="360" w:lineRule="auto"/>
        <w:ind w:firstLine="552" w:firstLineChars="200"/>
        <w:rPr>
          <w:rFonts w:hint="eastAsia"/>
          <w:szCs w:val="28"/>
        </w:rPr>
      </w:pPr>
      <w:r>
        <w:rPr>
          <w:rFonts w:hint="eastAsia"/>
          <w:szCs w:val="28"/>
        </w:rPr>
        <w:t>危险特性</w:t>
      </w:r>
      <w:r>
        <w:rPr>
          <w:rFonts w:hint="eastAsia"/>
          <w:szCs w:val="28"/>
          <w:lang w:eastAsia="zh-CN"/>
        </w:rPr>
        <w:t>：</w:t>
      </w:r>
      <w:r>
        <w:rPr>
          <w:rFonts w:hint="eastAsia"/>
          <w:szCs w:val="28"/>
        </w:rPr>
        <w:t>易燃，与空气混合能形成爆炸性混合物，遇明火、高热能引起燃烧爆炸。与浓硝酸、发烟硫酸或其它强氧化剂剧烈反应，发生爆炸。气体比空气重，能在较低处扩散到相当远的地方，遇明火会引起回燃。 当硫化氢浓度介于300～760mg/m3（198～502ppm）时，可引发肺水肿、支气管炎及肺炎、头痛、头昏、恶心、呕吐、排尿困难。</w:t>
      </w:r>
    </w:p>
    <w:p>
      <w:pPr>
        <w:spacing w:before="120" w:beforeLines="50" w:line="360" w:lineRule="auto"/>
        <w:ind w:firstLine="552" w:firstLineChars="200"/>
        <w:rPr>
          <w:rFonts w:hint="eastAsia"/>
          <w:szCs w:val="28"/>
        </w:rPr>
      </w:pPr>
      <w:r>
        <w:rPr>
          <w:rFonts w:hint="eastAsia"/>
          <w:szCs w:val="28"/>
        </w:rPr>
        <w:t>4、甲烷</w:t>
      </w:r>
      <w:r>
        <w:rPr>
          <w:rFonts w:hint="eastAsia"/>
          <w:szCs w:val="28"/>
          <w:lang w:eastAsia="zh-CN"/>
        </w:rPr>
        <w:t>：</w:t>
      </w:r>
      <w:r>
        <w:rPr>
          <w:rFonts w:hint="eastAsia"/>
          <w:szCs w:val="28"/>
        </w:rPr>
        <w:t>无色、无味、可燃和微毒的气体，比空气轻。 蒸汽压3.32kPa/-168.8℃，熔点：-182.5℃，沸点：-161.5℃，相对密度（水=1）0.42（-164℃），相对蒸气密度（空气=1）：0.55，饱和蒸气压（kPa）：53.32（-168.8℃），临界温度：-82.6℃，临界压力：4.59MPa。</w:t>
      </w:r>
    </w:p>
    <w:p>
      <w:pPr>
        <w:spacing w:before="120" w:beforeLines="50" w:line="360" w:lineRule="auto"/>
        <w:ind w:firstLine="552" w:firstLineChars="200"/>
        <w:rPr>
          <w:rFonts w:hint="eastAsia"/>
          <w:szCs w:val="28"/>
        </w:rPr>
      </w:pPr>
      <w:r>
        <w:rPr>
          <w:rFonts w:hint="eastAsia"/>
          <w:szCs w:val="28"/>
        </w:rPr>
        <w:t>危险特性</w:t>
      </w:r>
      <w:r>
        <w:rPr>
          <w:rFonts w:hint="eastAsia"/>
          <w:szCs w:val="28"/>
          <w:lang w:eastAsia="zh-CN"/>
        </w:rPr>
        <w:t>：</w:t>
      </w:r>
      <w:r>
        <w:rPr>
          <w:rFonts w:hint="eastAsia"/>
          <w:szCs w:val="28"/>
        </w:rPr>
        <w:t>引燃温度：538℃，爆炸极限为：5.3~15 %（V/V），遇热源、明火有着火、爆炸危险。与氧化溴、氯气、次氯酸、三氟化氮、液氧、二氧化溴等强氧化剂接触有剧烈反应。甲烷本身无毒，吸入高浓度时因缺氧而引起窒息。空气中甲烷浓度25%~30%时，可引起头痛、头晕、乏力、注意力不集中、呼吸和心跳加速、共济失调。若不及时远离，可致窒息死亡。皮肤接触液化的甲烷，可致冻伤。</w:t>
      </w:r>
    </w:p>
    <w:p>
      <w:pPr>
        <w:spacing w:before="120" w:beforeLines="50" w:line="360" w:lineRule="auto"/>
        <w:ind w:firstLine="552" w:firstLineChars="200"/>
        <w:rPr>
          <w:rFonts w:hint="eastAsia"/>
          <w:szCs w:val="28"/>
        </w:rPr>
      </w:pPr>
      <w:r>
        <w:rPr>
          <w:rFonts w:hint="eastAsia"/>
          <w:szCs w:val="28"/>
        </w:rPr>
        <w:t>5、二氧化碳</w:t>
      </w:r>
      <w:r>
        <w:rPr>
          <w:rFonts w:hint="eastAsia"/>
          <w:szCs w:val="28"/>
          <w:lang w:eastAsia="zh-CN"/>
        </w:rPr>
        <w:t>：</w:t>
      </w:r>
      <w:r>
        <w:rPr>
          <w:rFonts w:hint="eastAsia"/>
          <w:szCs w:val="28"/>
        </w:rPr>
        <w:t>无色，无味气体。 常温下微溶于水，部分生成碳酸。-37℃时可溶于水（体积比1:1），生成碳酸。 相对分子质量44.01，熔点：-56.6℃（5270pa），沸点：-78.48℃（升华），相对密度1.101（-37℃）。</w:t>
      </w:r>
    </w:p>
    <w:p>
      <w:pPr>
        <w:spacing w:before="120" w:beforeLines="50" w:line="360" w:lineRule="auto"/>
        <w:ind w:firstLine="552" w:firstLineChars="200"/>
        <w:rPr>
          <w:rFonts w:hint="eastAsia" w:eastAsia="宋体"/>
          <w:szCs w:val="28"/>
          <w:lang w:eastAsia="zh-CN"/>
        </w:rPr>
      </w:pPr>
      <w:r>
        <w:rPr>
          <w:rFonts w:hint="eastAsia"/>
          <w:szCs w:val="28"/>
        </w:rPr>
        <w:t>危险特性</w:t>
      </w:r>
      <w:r>
        <w:rPr>
          <w:rFonts w:hint="eastAsia"/>
          <w:szCs w:val="28"/>
          <w:lang w:eastAsia="zh-CN"/>
        </w:rPr>
        <w:t>：</w:t>
      </w:r>
      <w:r>
        <w:rPr>
          <w:rFonts w:hint="eastAsia"/>
          <w:szCs w:val="28"/>
        </w:rPr>
        <w:t>无毒。低浓度的二氧化碳可以兴奋呼吸中枢，便呼吸加深加快。高浓度二氧化碳可以抑制和麻痹呼吸中枢。试验证明氧充足的空气中二氧化碳浓度为5％时对人尚无害；但是，氧浓度为17％以下的空气中含4％二氧化碳，即可使人中毒。缺氧可造成肺水肿、脑水肿、代谢性酸中毒、电解质紊乱、休克、缺氧性脑病等</w:t>
      </w:r>
      <w:r>
        <w:rPr>
          <w:rFonts w:hint="eastAsia"/>
          <w:szCs w:val="28"/>
          <w:lang w:eastAsia="zh-CN"/>
        </w:rPr>
        <w:t>。</w:t>
      </w:r>
    </w:p>
    <w:p>
      <w:pPr>
        <w:spacing w:before="120" w:beforeLines="50" w:line="360" w:lineRule="auto"/>
        <w:ind w:firstLine="552" w:firstLineChars="200"/>
        <w:rPr>
          <w:szCs w:val="28"/>
        </w:rPr>
      </w:pPr>
      <w:r>
        <w:rPr>
          <w:rFonts w:hint="eastAsia"/>
          <w:szCs w:val="28"/>
        </w:rPr>
        <w:t>公司涉及</w:t>
      </w:r>
      <w:r>
        <w:rPr>
          <w:rFonts w:hint="eastAsia"/>
          <w:szCs w:val="28"/>
          <w:lang w:eastAsia="zh-CN"/>
        </w:rPr>
        <w:t>的</w:t>
      </w:r>
      <w:r>
        <w:rPr>
          <w:rFonts w:hint="eastAsia"/>
          <w:szCs w:val="28"/>
        </w:rPr>
        <w:t>原料</w:t>
      </w:r>
      <w:r>
        <w:rPr>
          <w:rFonts w:hint="eastAsia"/>
          <w:szCs w:val="28"/>
          <w:lang w:eastAsia="zh-CN"/>
        </w:rPr>
        <w:t>、中间产品及产品</w:t>
      </w:r>
      <w:r>
        <w:rPr>
          <w:rFonts w:hint="eastAsia"/>
          <w:szCs w:val="28"/>
        </w:rPr>
        <w:t>，</w:t>
      </w:r>
      <w:r>
        <w:rPr>
          <w:szCs w:val="28"/>
        </w:rPr>
        <w:t>一旦发生泄漏</w:t>
      </w:r>
      <w:r>
        <w:rPr>
          <w:rFonts w:hint="eastAsia"/>
          <w:szCs w:val="28"/>
        </w:rPr>
        <w:t>或事故</w:t>
      </w:r>
      <w:r>
        <w:rPr>
          <w:rFonts w:hint="eastAsia"/>
          <w:szCs w:val="28"/>
          <w:lang w:eastAsia="zh-CN"/>
        </w:rPr>
        <w:t>，进而可能引起火灾事故</w:t>
      </w:r>
      <w:r>
        <w:rPr>
          <w:szCs w:val="28"/>
        </w:rPr>
        <w:t>，</w:t>
      </w:r>
      <w:r>
        <w:rPr>
          <w:rFonts w:hint="eastAsia"/>
          <w:szCs w:val="28"/>
          <w:lang w:eastAsia="zh-CN"/>
        </w:rPr>
        <w:t>应急过程</w:t>
      </w:r>
      <w:r>
        <w:rPr>
          <w:szCs w:val="28"/>
        </w:rPr>
        <w:t>会产生</w:t>
      </w:r>
      <w:r>
        <w:rPr>
          <w:rFonts w:hint="eastAsia"/>
          <w:szCs w:val="28"/>
        </w:rPr>
        <w:t>大量</w:t>
      </w:r>
      <w:r>
        <w:rPr>
          <w:szCs w:val="28"/>
        </w:rPr>
        <w:t>含化学品</w:t>
      </w:r>
      <w:r>
        <w:rPr>
          <w:rFonts w:hint="eastAsia"/>
          <w:szCs w:val="28"/>
          <w:lang w:eastAsia="zh-CN"/>
        </w:rPr>
        <w:t>污染物</w:t>
      </w:r>
      <w:r>
        <w:rPr>
          <w:szCs w:val="28"/>
        </w:rPr>
        <w:t>的事故污水。事故污水一旦直接排入自然水体，则会对</w:t>
      </w:r>
      <w:r>
        <w:rPr>
          <w:rFonts w:hint="eastAsia"/>
          <w:szCs w:val="28"/>
          <w:lang w:eastAsia="zh-CN"/>
        </w:rPr>
        <w:t>周边水环境造成污染</w:t>
      </w:r>
      <w:r>
        <w:rPr>
          <w:szCs w:val="28"/>
        </w:rPr>
        <w:t>，从而引发环境污染事件。因此，</w:t>
      </w:r>
      <w:r>
        <w:rPr>
          <w:rFonts w:hint="eastAsia"/>
          <w:szCs w:val="28"/>
          <w:lang w:eastAsia="zh-CN"/>
        </w:rPr>
        <w:t>公司</w:t>
      </w:r>
      <w:r>
        <w:rPr>
          <w:szCs w:val="28"/>
        </w:rPr>
        <w:t>在</w:t>
      </w:r>
      <w:r>
        <w:rPr>
          <w:rFonts w:hint="eastAsia"/>
          <w:szCs w:val="28"/>
          <w:lang w:eastAsia="zh-CN"/>
        </w:rPr>
        <w:t>生产车间</w:t>
      </w:r>
      <w:r>
        <w:rPr>
          <w:szCs w:val="28"/>
        </w:rPr>
        <w:t>设有缓坡，</w:t>
      </w:r>
      <w:r>
        <w:rPr>
          <w:rFonts w:hint="eastAsia"/>
          <w:szCs w:val="28"/>
          <w:lang w:eastAsia="zh-CN"/>
        </w:rPr>
        <w:t>罐区设置有围堰，设有导流沟、泄漏收集口、事故池及雨水闸门，</w:t>
      </w:r>
      <w:r>
        <w:rPr>
          <w:szCs w:val="28"/>
        </w:rPr>
        <w:t>防止</w:t>
      </w:r>
      <w:r>
        <w:rPr>
          <w:rFonts w:hint="eastAsia"/>
          <w:szCs w:val="28"/>
          <w:lang w:eastAsia="zh-CN"/>
        </w:rPr>
        <w:t>泄漏</w:t>
      </w:r>
      <w:r>
        <w:rPr>
          <w:szCs w:val="28"/>
        </w:rPr>
        <w:t>的化学品进入外环境。</w:t>
      </w:r>
    </w:p>
    <w:p>
      <w:pPr>
        <w:autoSpaceDE w:val="0"/>
        <w:autoSpaceDN w:val="0"/>
        <w:adjustRightInd w:val="0"/>
        <w:spacing w:line="360" w:lineRule="auto"/>
        <w:ind w:left="-22" w:leftChars="-8" w:firstLine="416" w:firstLineChars="150"/>
        <w:jc w:val="left"/>
        <w:rPr>
          <w:b/>
          <w:szCs w:val="28"/>
        </w:rPr>
      </w:pPr>
      <w:r>
        <w:rPr>
          <w:b/>
          <w:szCs w:val="28"/>
        </w:rPr>
        <w:t>（</w:t>
      </w:r>
      <w:r>
        <w:rPr>
          <w:rFonts w:hint="eastAsia"/>
          <w:b/>
          <w:szCs w:val="28"/>
          <w:lang w:eastAsia="zh-CN"/>
        </w:rPr>
        <w:t>二</w:t>
      </w:r>
      <w:r>
        <w:rPr>
          <w:b/>
          <w:szCs w:val="28"/>
        </w:rPr>
        <w:t>）</w:t>
      </w:r>
      <w:bookmarkStart w:id="161" w:name="_Toc381697026"/>
      <w:r>
        <w:rPr>
          <w:b/>
          <w:szCs w:val="28"/>
        </w:rPr>
        <w:t>废水收集系统</w:t>
      </w:r>
      <w:bookmarkEnd w:id="161"/>
      <w:r>
        <w:rPr>
          <w:b/>
          <w:szCs w:val="28"/>
        </w:rPr>
        <w:t>危险识别与分析</w:t>
      </w:r>
    </w:p>
    <w:p>
      <w:pPr>
        <w:autoSpaceDE w:val="0"/>
        <w:autoSpaceDN w:val="0"/>
        <w:adjustRightInd w:val="0"/>
        <w:spacing w:before="120" w:beforeLines="50" w:line="360" w:lineRule="auto"/>
        <w:ind w:firstLine="623" w:firstLineChars="225"/>
        <w:jc w:val="left"/>
        <w:rPr>
          <w:b/>
          <w:szCs w:val="28"/>
        </w:rPr>
      </w:pPr>
      <w:r>
        <w:rPr>
          <w:b/>
          <w:szCs w:val="28"/>
        </w:rPr>
        <w:t>（1）废水种类</w:t>
      </w:r>
    </w:p>
    <w:p>
      <w:pPr>
        <w:autoSpaceDE w:val="0"/>
        <w:autoSpaceDN w:val="0"/>
        <w:adjustRightInd w:val="0"/>
        <w:spacing w:before="120" w:beforeLines="50" w:line="360" w:lineRule="auto"/>
        <w:ind w:firstLine="621" w:firstLineChars="225"/>
        <w:jc w:val="left"/>
        <w:rPr>
          <w:szCs w:val="28"/>
          <w:highlight w:val="red"/>
        </w:rPr>
      </w:pPr>
      <w:r>
        <w:rPr>
          <w:szCs w:val="28"/>
        </w:rPr>
        <w:t>民东公司生活污水采用三级化粪池预处理后，</w:t>
      </w:r>
      <w:r>
        <w:rPr>
          <w:rFonts w:hint="eastAsia"/>
          <w:szCs w:val="28"/>
          <w:lang w:eastAsia="zh-CN"/>
        </w:rPr>
        <w:t>与生产废水一并</w:t>
      </w:r>
      <w:r>
        <w:rPr>
          <w:szCs w:val="28"/>
        </w:rPr>
        <w:t>存放于沼液缓冲池，定期泵入</w:t>
      </w:r>
      <w:r>
        <w:rPr>
          <w:rFonts w:hint="eastAsia"/>
          <w:szCs w:val="28"/>
          <w:lang w:eastAsia="zh-CN"/>
        </w:rPr>
        <w:t>专用</w:t>
      </w:r>
      <w:r>
        <w:rPr>
          <w:szCs w:val="28"/>
        </w:rPr>
        <w:t>运输船，经水路运输排入珍家山污水处理</w:t>
      </w:r>
      <w:r>
        <w:rPr>
          <w:rFonts w:hint="eastAsia"/>
          <w:szCs w:val="28"/>
          <w:lang w:eastAsia="zh-CN"/>
        </w:rPr>
        <w:t>厂</w:t>
      </w:r>
      <w:r>
        <w:rPr>
          <w:szCs w:val="28"/>
        </w:rPr>
        <w:t>。</w:t>
      </w:r>
    </w:p>
    <w:p>
      <w:pPr>
        <w:tabs>
          <w:tab w:val="left" w:pos="6597"/>
        </w:tabs>
        <w:autoSpaceDE w:val="0"/>
        <w:autoSpaceDN w:val="0"/>
        <w:adjustRightInd w:val="0"/>
        <w:spacing w:before="120" w:beforeLines="50"/>
        <w:ind w:firstLine="623" w:firstLineChars="225"/>
        <w:jc w:val="left"/>
        <w:rPr>
          <w:b/>
          <w:bCs/>
          <w:szCs w:val="28"/>
        </w:rPr>
      </w:pPr>
      <w:r>
        <w:rPr>
          <w:b/>
          <w:szCs w:val="28"/>
        </w:rPr>
        <w:t>（2）</w:t>
      </w:r>
      <w:r>
        <w:rPr>
          <w:b/>
          <w:bCs/>
          <w:szCs w:val="28"/>
        </w:rPr>
        <w:t>发生突发环境事件原因分析</w:t>
      </w:r>
      <w:r>
        <w:rPr>
          <w:b/>
          <w:bCs/>
          <w:szCs w:val="28"/>
        </w:rPr>
        <w:tab/>
      </w:r>
    </w:p>
    <w:p>
      <w:pPr>
        <w:autoSpaceDE w:val="0"/>
        <w:autoSpaceDN w:val="0"/>
        <w:adjustRightInd w:val="0"/>
        <w:spacing w:before="120" w:beforeLines="50" w:line="360" w:lineRule="auto"/>
        <w:ind w:firstLine="621" w:firstLineChars="225"/>
        <w:jc w:val="left"/>
        <w:rPr>
          <w:szCs w:val="28"/>
        </w:rPr>
      </w:pPr>
      <w:r>
        <w:rPr>
          <w:szCs w:val="28"/>
        </w:rPr>
        <w:t>对同类型企业事故进行分析，管道泄漏、</w:t>
      </w:r>
      <w:r>
        <w:rPr>
          <w:rFonts w:hint="eastAsia"/>
          <w:szCs w:val="28"/>
          <w:lang w:eastAsia="zh-CN"/>
        </w:rPr>
        <w:t>运输船只事故</w:t>
      </w:r>
      <w:r>
        <w:rPr>
          <w:szCs w:val="28"/>
        </w:rPr>
        <w:t>、操作不当等原因是导致企业生产废水泄漏</w:t>
      </w:r>
      <w:r>
        <w:rPr>
          <w:rFonts w:hint="eastAsia"/>
          <w:szCs w:val="28"/>
          <w:lang w:eastAsia="zh-CN"/>
        </w:rPr>
        <w:t>、事故排放</w:t>
      </w:r>
      <w:r>
        <w:rPr>
          <w:szCs w:val="28"/>
        </w:rPr>
        <w:t>的主要因素。</w:t>
      </w:r>
    </w:p>
    <w:p>
      <w:pPr>
        <w:autoSpaceDE w:val="0"/>
        <w:autoSpaceDN w:val="0"/>
        <w:adjustRightInd w:val="0"/>
        <w:spacing w:before="120" w:beforeLines="50" w:line="360" w:lineRule="auto"/>
        <w:ind w:firstLine="623" w:firstLineChars="225"/>
        <w:jc w:val="left"/>
        <w:rPr>
          <w:b/>
          <w:szCs w:val="28"/>
        </w:rPr>
      </w:pPr>
      <w:r>
        <w:rPr>
          <w:b/>
          <w:szCs w:val="28"/>
        </w:rPr>
        <w:t>（3）危险性分析</w:t>
      </w:r>
    </w:p>
    <w:p>
      <w:pPr>
        <w:autoSpaceDE w:val="0"/>
        <w:autoSpaceDN w:val="0"/>
        <w:adjustRightInd w:val="0"/>
        <w:spacing w:before="120" w:beforeLines="50" w:line="360" w:lineRule="auto"/>
        <w:ind w:firstLine="621" w:firstLineChars="225"/>
        <w:jc w:val="left"/>
        <w:rPr>
          <w:rFonts w:hint="eastAsia"/>
          <w:szCs w:val="28"/>
          <w:lang w:eastAsia="zh-CN"/>
        </w:rPr>
      </w:pPr>
      <w:r>
        <w:rPr>
          <w:rFonts w:hint="eastAsia"/>
          <w:szCs w:val="28"/>
          <w:lang w:eastAsia="zh-CN"/>
        </w:rPr>
        <w:t>1、沼液：公司产生的沼液不属于危险废物，为一般废水，经船运至珍家山污水处理厂处理。沼液运输风险主要来自水上事故如船只碰撞、沉没等。负责沼液运输船只的运输额定体积为</w:t>
      </w:r>
      <w:r>
        <w:rPr>
          <w:rFonts w:hint="eastAsia"/>
          <w:szCs w:val="28"/>
          <w:lang w:val="en-US" w:eastAsia="zh-CN"/>
        </w:rPr>
        <w:t>595t</w:t>
      </w:r>
      <w:r>
        <w:rPr>
          <w:rFonts w:hint="eastAsia"/>
          <w:szCs w:val="28"/>
          <w:lang w:eastAsia="zh-CN"/>
        </w:rPr>
        <w:t>，实际沼液运输量约为</w:t>
      </w:r>
      <w:r>
        <w:rPr>
          <w:rFonts w:hint="eastAsia"/>
          <w:szCs w:val="28"/>
          <w:lang w:val="en-US" w:eastAsia="zh-CN"/>
        </w:rPr>
        <w:t>500t</w:t>
      </w:r>
      <w:r>
        <w:rPr>
          <w:rFonts w:hint="eastAsia"/>
          <w:szCs w:val="28"/>
          <w:lang w:eastAsia="zh-CN"/>
        </w:rPr>
        <w:t>/船.次。由于船只碰撞导致存有沼液的船舱发生泄漏的事故可能性最高，类比交通类事故化学品泄漏量最大量约为10%。根据工程分析沼液污染物含量，本评价认为沼液运输过程中发生的泄漏污染物情况见下表。</w:t>
      </w:r>
    </w:p>
    <w:p>
      <w:pPr>
        <w:autoSpaceDE w:val="0"/>
        <w:autoSpaceDN w:val="0"/>
        <w:adjustRightInd w:val="0"/>
        <w:spacing w:before="120" w:beforeLines="50" w:line="360" w:lineRule="auto"/>
        <w:ind w:firstLine="533" w:firstLineChars="225"/>
        <w:jc w:val="center"/>
        <w:rPr>
          <w:rFonts w:hint="eastAsia"/>
          <w:b/>
          <w:bCs/>
          <w:sz w:val="24"/>
          <w:szCs w:val="24"/>
          <w:lang w:eastAsia="zh-CN"/>
        </w:rPr>
      </w:pPr>
      <w:r>
        <w:rPr>
          <w:rFonts w:hint="eastAsia"/>
          <w:b/>
          <w:bCs/>
          <w:sz w:val="24"/>
          <w:szCs w:val="24"/>
          <w:lang w:eastAsia="zh-CN"/>
        </w:rPr>
        <w:t>表</w:t>
      </w:r>
      <w:r>
        <w:rPr>
          <w:rFonts w:hint="eastAsia"/>
          <w:b/>
          <w:bCs/>
          <w:sz w:val="24"/>
          <w:szCs w:val="24"/>
          <w:lang w:val="en-US" w:eastAsia="zh-CN"/>
        </w:rPr>
        <w:t>3</w:t>
      </w:r>
      <w:r>
        <w:rPr>
          <w:rFonts w:hint="eastAsia"/>
          <w:b/>
          <w:bCs/>
          <w:sz w:val="24"/>
          <w:szCs w:val="24"/>
          <w:lang w:eastAsia="zh-CN"/>
        </w:rPr>
        <w:t>-</w:t>
      </w:r>
      <w:r>
        <w:rPr>
          <w:rFonts w:hint="eastAsia"/>
          <w:b/>
          <w:bCs/>
          <w:sz w:val="24"/>
          <w:szCs w:val="24"/>
          <w:lang w:val="en-US" w:eastAsia="zh-CN"/>
        </w:rPr>
        <w:t>3</w:t>
      </w:r>
      <w:r>
        <w:rPr>
          <w:rFonts w:hint="eastAsia"/>
          <w:b/>
          <w:bCs/>
          <w:sz w:val="24"/>
          <w:szCs w:val="24"/>
          <w:lang w:eastAsia="zh-CN"/>
        </w:rPr>
        <w:t xml:space="preserve">  污染物排放源强</w:t>
      </w:r>
    </w:p>
    <w:tbl>
      <w:tblPr>
        <w:tblStyle w:val="42"/>
        <w:tblW w:w="6220"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33"/>
        <w:gridCol w:w="1767"/>
        <w:gridCol w:w="25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6" w:hRule="exact"/>
          <w:jc w:val="center"/>
        </w:trPr>
        <w:tc>
          <w:tcPr>
            <w:tcW w:w="1933" w:type="dxa"/>
            <w:tcBorders>
              <w:tl2br w:val="nil"/>
              <w:tr2bl w:val="nil"/>
            </w:tcBorders>
            <w:noWrap w:val="0"/>
            <w:vAlign w:val="center"/>
          </w:tcPr>
          <w:p>
            <w:pPr>
              <w:spacing w:line="240" w:lineRule="auto"/>
              <w:jc w:val="center"/>
              <w:rPr>
                <w:rFonts w:hint="eastAsia" w:eastAsiaTheme="minorEastAsia"/>
                <w:sz w:val="24"/>
                <w:szCs w:val="24"/>
                <w:highlight w:val="none"/>
                <w:lang w:eastAsia="zh-CN"/>
              </w:rPr>
            </w:pPr>
            <w:r>
              <w:rPr>
                <w:rFonts w:hint="eastAsia" w:eastAsiaTheme="minorEastAsia"/>
                <w:sz w:val="24"/>
                <w:szCs w:val="24"/>
                <w:highlight w:val="none"/>
                <w:lang w:eastAsia="zh-CN"/>
              </w:rPr>
              <w:t>项目</w:t>
            </w:r>
          </w:p>
        </w:tc>
        <w:tc>
          <w:tcPr>
            <w:tcW w:w="1767" w:type="dxa"/>
            <w:tcBorders>
              <w:tl2br w:val="nil"/>
              <w:tr2bl w:val="nil"/>
            </w:tcBorders>
            <w:noWrap w:val="0"/>
            <w:vAlign w:val="center"/>
          </w:tcPr>
          <w:p>
            <w:pPr>
              <w:spacing w:line="240" w:lineRule="auto"/>
              <w:jc w:val="center"/>
              <w:rPr>
                <w:rFonts w:hint="eastAsia" w:eastAsiaTheme="minorEastAsia"/>
                <w:sz w:val="24"/>
                <w:szCs w:val="24"/>
                <w:highlight w:val="none"/>
                <w:lang w:eastAsia="zh-CN"/>
              </w:rPr>
            </w:pPr>
            <w:r>
              <w:rPr>
                <w:rFonts w:hint="eastAsia" w:eastAsiaTheme="minorEastAsia"/>
                <w:sz w:val="24"/>
                <w:szCs w:val="24"/>
                <w:highlight w:val="none"/>
                <w:lang w:eastAsia="zh-CN"/>
              </w:rPr>
              <w:t>排放类型</w:t>
            </w:r>
          </w:p>
        </w:tc>
        <w:tc>
          <w:tcPr>
            <w:tcW w:w="2520" w:type="dxa"/>
            <w:tcBorders>
              <w:tl2br w:val="nil"/>
              <w:tr2bl w:val="nil"/>
            </w:tcBorders>
            <w:noWrap w:val="0"/>
            <w:vAlign w:val="center"/>
          </w:tcPr>
          <w:p>
            <w:pPr>
              <w:spacing w:line="240" w:lineRule="auto"/>
              <w:jc w:val="center"/>
              <w:rPr>
                <w:rFonts w:hint="eastAsia" w:eastAsiaTheme="minorEastAsia"/>
                <w:sz w:val="24"/>
                <w:szCs w:val="24"/>
                <w:highlight w:val="none"/>
                <w:lang w:eastAsia="zh-CN"/>
              </w:rPr>
            </w:pPr>
            <w:r>
              <w:rPr>
                <w:rFonts w:hint="eastAsia" w:eastAsiaTheme="minorEastAsia"/>
                <w:sz w:val="24"/>
                <w:szCs w:val="24"/>
                <w:highlight w:val="none"/>
                <w:lang w:eastAsia="zh-CN"/>
              </w:rPr>
              <w:t>排放量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299" w:hRule="exact"/>
          <w:jc w:val="center"/>
        </w:trPr>
        <w:tc>
          <w:tcPr>
            <w:tcW w:w="1933" w:type="dxa"/>
            <w:tcBorders>
              <w:tl2br w:val="nil"/>
              <w:tr2bl w:val="nil"/>
            </w:tcBorders>
            <w:noWrap w:val="0"/>
            <w:vAlign w:val="center"/>
          </w:tcPr>
          <w:p>
            <w:pPr>
              <w:spacing w:line="240" w:lineRule="auto"/>
              <w:jc w:val="center"/>
              <w:rPr>
                <w:rFonts w:hint="eastAsia" w:eastAsiaTheme="minorEastAsia"/>
                <w:sz w:val="24"/>
                <w:szCs w:val="24"/>
                <w:highlight w:val="none"/>
                <w:lang w:eastAsia="zh-CN"/>
              </w:rPr>
            </w:pPr>
            <w:r>
              <w:rPr>
                <w:rFonts w:hint="eastAsia" w:eastAsiaTheme="minorEastAsia"/>
                <w:sz w:val="24"/>
                <w:szCs w:val="24"/>
                <w:highlight w:val="none"/>
                <w:lang w:eastAsia="zh-CN"/>
              </w:rPr>
              <w:t>水量（t/次）</w:t>
            </w:r>
          </w:p>
        </w:tc>
        <w:tc>
          <w:tcPr>
            <w:tcW w:w="1767" w:type="dxa"/>
            <w:vMerge w:val="restart"/>
            <w:tcBorders>
              <w:tl2br w:val="nil"/>
              <w:tr2bl w:val="nil"/>
            </w:tcBorders>
            <w:noWrap w:val="0"/>
            <w:vAlign w:val="center"/>
          </w:tcPr>
          <w:p>
            <w:pPr>
              <w:spacing w:line="240" w:lineRule="auto"/>
              <w:jc w:val="center"/>
              <w:rPr>
                <w:rFonts w:hint="eastAsia" w:eastAsiaTheme="minorEastAsia"/>
                <w:sz w:val="24"/>
                <w:szCs w:val="24"/>
                <w:highlight w:val="none"/>
                <w:lang w:eastAsia="zh-CN"/>
              </w:rPr>
            </w:pPr>
            <w:r>
              <w:rPr>
                <w:rFonts w:hint="eastAsia" w:eastAsiaTheme="minorEastAsia"/>
                <w:sz w:val="24"/>
                <w:szCs w:val="24"/>
                <w:highlight w:val="none"/>
                <w:lang w:eastAsia="zh-CN"/>
              </w:rPr>
              <w:t>事故后渗漏</w:t>
            </w:r>
          </w:p>
        </w:tc>
        <w:tc>
          <w:tcPr>
            <w:tcW w:w="2520" w:type="dxa"/>
            <w:tcBorders>
              <w:tl2br w:val="nil"/>
              <w:tr2bl w:val="nil"/>
            </w:tcBorders>
            <w:noWrap w:val="0"/>
            <w:vAlign w:val="center"/>
          </w:tcPr>
          <w:p>
            <w:pPr>
              <w:spacing w:line="240" w:lineRule="auto"/>
              <w:jc w:val="center"/>
              <w:rPr>
                <w:rFonts w:hint="eastAsia" w:eastAsiaTheme="minorEastAsia"/>
                <w:sz w:val="24"/>
                <w:szCs w:val="24"/>
                <w:highlight w:val="none"/>
                <w:lang w:eastAsia="zh-CN"/>
              </w:rPr>
            </w:pPr>
            <w:r>
              <w:rPr>
                <w:rFonts w:hint="eastAsia" w:eastAsiaTheme="minorEastAsia"/>
                <w:sz w:val="24"/>
                <w:szCs w:val="24"/>
                <w:highlight w:val="none"/>
                <w:lang w:val="en-US" w:eastAsia="zh-CN"/>
              </w:rPr>
              <w:t>5</w:t>
            </w:r>
            <w:r>
              <w:rPr>
                <w:rFonts w:hint="eastAsia" w:eastAsiaTheme="minorEastAsia"/>
                <w:sz w:val="24"/>
                <w:szCs w:val="24"/>
                <w:highlight w:val="none"/>
                <w:lang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50" w:hRule="exact"/>
          <w:jc w:val="center"/>
        </w:trPr>
        <w:tc>
          <w:tcPr>
            <w:tcW w:w="1933" w:type="dxa"/>
            <w:tcBorders>
              <w:tl2br w:val="nil"/>
              <w:tr2bl w:val="nil"/>
            </w:tcBorders>
            <w:noWrap w:val="0"/>
            <w:vAlign w:val="center"/>
          </w:tcPr>
          <w:p>
            <w:pPr>
              <w:spacing w:line="240" w:lineRule="auto"/>
              <w:jc w:val="center"/>
              <w:rPr>
                <w:rFonts w:hint="eastAsia" w:eastAsiaTheme="minorEastAsia"/>
                <w:sz w:val="24"/>
                <w:szCs w:val="24"/>
                <w:highlight w:val="none"/>
                <w:lang w:eastAsia="zh-CN"/>
              </w:rPr>
            </w:pPr>
            <w:r>
              <w:rPr>
                <w:rFonts w:hint="eastAsia" w:eastAsiaTheme="minorEastAsia"/>
                <w:sz w:val="24"/>
                <w:szCs w:val="24"/>
                <w:highlight w:val="none"/>
                <w:lang w:eastAsia="zh-CN"/>
              </w:rPr>
              <w:t>CODcr（kg/次）</w:t>
            </w:r>
          </w:p>
        </w:tc>
        <w:tc>
          <w:tcPr>
            <w:tcW w:w="1767" w:type="dxa"/>
            <w:vMerge w:val="continue"/>
            <w:tcBorders>
              <w:tl2br w:val="nil"/>
              <w:tr2bl w:val="nil"/>
            </w:tcBorders>
            <w:noWrap w:val="0"/>
            <w:vAlign w:val="center"/>
          </w:tcPr>
          <w:p>
            <w:pPr>
              <w:spacing w:line="240" w:lineRule="auto"/>
              <w:jc w:val="center"/>
              <w:rPr>
                <w:rFonts w:hint="eastAsia" w:eastAsiaTheme="minorEastAsia"/>
                <w:sz w:val="24"/>
                <w:szCs w:val="24"/>
                <w:highlight w:val="none"/>
                <w:lang w:eastAsia="zh-CN"/>
              </w:rPr>
            </w:pPr>
          </w:p>
        </w:tc>
        <w:tc>
          <w:tcPr>
            <w:tcW w:w="2520" w:type="dxa"/>
            <w:tcBorders>
              <w:tl2br w:val="nil"/>
              <w:tr2bl w:val="nil"/>
            </w:tcBorders>
            <w:noWrap w:val="0"/>
            <w:vAlign w:val="center"/>
          </w:tcPr>
          <w:p>
            <w:pPr>
              <w:spacing w:line="240" w:lineRule="auto"/>
              <w:jc w:val="center"/>
              <w:rPr>
                <w:rFonts w:hint="default" w:eastAsiaTheme="minorEastAsia"/>
                <w:sz w:val="24"/>
                <w:szCs w:val="24"/>
                <w:highlight w:val="none"/>
                <w:lang w:val="en-US" w:eastAsia="zh-CN"/>
              </w:rPr>
            </w:pPr>
            <w:r>
              <w:rPr>
                <w:rFonts w:hint="eastAsia" w:eastAsiaTheme="minorEastAsia"/>
                <w:sz w:val="24"/>
                <w:szCs w:val="24"/>
                <w:highlight w:val="none"/>
                <w:lang w:val="en-US" w:eastAsia="zh-CN"/>
              </w:rPr>
              <w:t>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50" w:hRule="exact"/>
          <w:jc w:val="center"/>
        </w:trPr>
        <w:tc>
          <w:tcPr>
            <w:tcW w:w="1933" w:type="dxa"/>
            <w:tcBorders>
              <w:tl2br w:val="nil"/>
              <w:tr2bl w:val="nil"/>
            </w:tcBorders>
            <w:noWrap w:val="0"/>
            <w:vAlign w:val="center"/>
          </w:tcPr>
          <w:p>
            <w:pPr>
              <w:spacing w:line="240" w:lineRule="auto"/>
              <w:jc w:val="center"/>
              <w:rPr>
                <w:rFonts w:hint="eastAsia" w:eastAsiaTheme="minorEastAsia"/>
                <w:sz w:val="24"/>
                <w:szCs w:val="24"/>
                <w:highlight w:val="none"/>
                <w:lang w:eastAsia="zh-CN"/>
              </w:rPr>
            </w:pPr>
            <w:r>
              <w:rPr>
                <w:rFonts w:hint="eastAsia" w:eastAsiaTheme="minorEastAsia"/>
                <w:sz w:val="24"/>
                <w:szCs w:val="24"/>
                <w:highlight w:val="none"/>
                <w:lang w:eastAsia="zh-CN"/>
              </w:rPr>
              <w:t>氨氮（kg/次）</w:t>
            </w:r>
          </w:p>
        </w:tc>
        <w:tc>
          <w:tcPr>
            <w:tcW w:w="1767" w:type="dxa"/>
            <w:vMerge w:val="continue"/>
            <w:tcBorders>
              <w:tl2br w:val="nil"/>
              <w:tr2bl w:val="nil"/>
            </w:tcBorders>
            <w:noWrap w:val="0"/>
            <w:vAlign w:val="center"/>
          </w:tcPr>
          <w:p>
            <w:pPr>
              <w:spacing w:line="240" w:lineRule="auto"/>
              <w:jc w:val="center"/>
              <w:rPr>
                <w:rFonts w:hint="eastAsia" w:eastAsiaTheme="minorEastAsia"/>
                <w:sz w:val="24"/>
                <w:szCs w:val="24"/>
                <w:highlight w:val="none"/>
                <w:lang w:eastAsia="zh-CN"/>
              </w:rPr>
            </w:pPr>
          </w:p>
        </w:tc>
        <w:tc>
          <w:tcPr>
            <w:tcW w:w="2520" w:type="dxa"/>
            <w:tcBorders>
              <w:tl2br w:val="nil"/>
              <w:tr2bl w:val="nil"/>
            </w:tcBorders>
            <w:noWrap w:val="0"/>
            <w:vAlign w:val="center"/>
          </w:tcPr>
          <w:p>
            <w:pPr>
              <w:spacing w:line="240" w:lineRule="auto"/>
              <w:jc w:val="center"/>
              <w:rPr>
                <w:rFonts w:hint="default" w:eastAsiaTheme="minorEastAsia"/>
                <w:sz w:val="24"/>
                <w:szCs w:val="24"/>
                <w:highlight w:val="none"/>
                <w:lang w:val="en-US" w:eastAsia="zh-CN"/>
              </w:rPr>
            </w:pPr>
            <w:r>
              <w:rPr>
                <w:rFonts w:hint="eastAsia" w:eastAsiaTheme="minorEastAsia"/>
                <w:sz w:val="24"/>
                <w:szCs w:val="24"/>
                <w:highlight w:val="none"/>
                <w:lang w:val="en-US" w:eastAsia="zh-CN"/>
              </w:rPr>
              <w:t>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50" w:hRule="exact"/>
          <w:jc w:val="center"/>
        </w:trPr>
        <w:tc>
          <w:tcPr>
            <w:tcW w:w="1933" w:type="dxa"/>
            <w:tcBorders>
              <w:tl2br w:val="nil"/>
              <w:tr2bl w:val="nil"/>
            </w:tcBorders>
            <w:noWrap w:val="0"/>
            <w:vAlign w:val="center"/>
          </w:tcPr>
          <w:p>
            <w:pPr>
              <w:spacing w:line="240" w:lineRule="auto"/>
              <w:jc w:val="center"/>
              <w:rPr>
                <w:rFonts w:hint="eastAsia" w:eastAsiaTheme="minorEastAsia"/>
                <w:sz w:val="24"/>
                <w:szCs w:val="24"/>
                <w:highlight w:val="none"/>
                <w:lang w:eastAsia="zh-CN"/>
              </w:rPr>
            </w:pPr>
            <w:r>
              <w:rPr>
                <w:rFonts w:hint="eastAsia" w:eastAsiaTheme="minorEastAsia"/>
                <w:sz w:val="24"/>
                <w:szCs w:val="24"/>
                <w:highlight w:val="none"/>
                <w:lang w:val="en-US" w:eastAsia="zh-CN"/>
              </w:rPr>
              <w:t>SS</w:t>
            </w:r>
            <w:r>
              <w:rPr>
                <w:rFonts w:hint="eastAsia" w:eastAsiaTheme="minorEastAsia"/>
                <w:sz w:val="24"/>
                <w:szCs w:val="24"/>
                <w:highlight w:val="none"/>
                <w:lang w:eastAsia="zh-CN"/>
              </w:rPr>
              <w:t>（kg/次）</w:t>
            </w:r>
          </w:p>
        </w:tc>
        <w:tc>
          <w:tcPr>
            <w:tcW w:w="1767" w:type="dxa"/>
            <w:vMerge w:val="continue"/>
            <w:tcBorders>
              <w:tl2br w:val="nil"/>
              <w:tr2bl w:val="nil"/>
            </w:tcBorders>
            <w:noWrap w:val="0"/>
            <w:vAlign w:val="center"/>
          </w:tcPr>
          <w:p>
            <w:pPr>
              <w:spacing w:line="240" w:lineRule="auto"/>
              <w:jc w:val="center"/>
              <w:rPr>
                <w:rFonts w:hint="eastAsia" w:eastAsiaTheme="minorEastAsia"/>
                <w:sz w:val="24"/>
                <w:szCs w:val="24"/>
                <w:highlight w:val="none"/>
                <w:lang w:eastAsia="zh-CN"/>
              </w:rPr>
            </w:pPr>
          </w:p>
        </w:tc>
        <w:tc>
          <w:tcPr>
            <w:tcW w:w="2520" w:type="dxa"/>
            <w:tcBorders>
              <w:tl2br w:val="nil"/>
              <w:tr2bl w:val="nil"/>
            </w:tcBorders>
            <w:noWrap w:val="0"/>
            <w:vAlign w:val="center"/>
          </w:tcPr>
          <w:p>
            <w:pPr>
              <w:spacing w:line="240" w:lineRule="auto"/>
              <w:jc w:val="center"/>
              <w:rPr>
                <w:rFonts w:hint="default" w:eastAsiaTheme="minorEastAsia"/>
                <w:sz w:val="24"/>
                <w:szCs w:val="24"/>
                <w:highlight w:val="none"/>
                <w:lang w:val="en-US" w:eastAsia="zh-CN"/>
              </w:rPr>
            </w:pPr>
            <w:r>
              <w:rPr>
                <w:rFonts w:hint="eastAsia" w:eastAsiaTheme="minorEastAsia"/>
                <w:sz w:val="24"/>
                <w:szCs w:val="24"/>
                <w:highlight w:val="none"/>
                <w:lang w:val="en-US" w:eastAsia="zh-CN"/>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50" w:hRule="exact"/>
          <w:jc w:val="center"/>
        </w:trPr>
        <w:tc>
          <w:tcPr>
            <w:tcW w:w="1933" w:type="dxa"/>
            <w:tcBorders>
              <w:tl2br w:val="nil"/>
              <w:tr2bl w:val="nil"/>
            </w:tcBorders>
            <w:noWrap w:val="0"/>
            <w:vAlign w:val="center"/>
          </w:tcPr>
          <w:p>
            <w:pPr>
              <w:spacing w:line="240" w:lineRule="auto"/>
              <w:jc w:val="center"/>
              <w:rPr>
                <w:rFonts w:hint="eastAsia" w:eastAsiaTheme="minorEastAsia"/>
                <w:sz w:val="24"/>
                <w:szCs w:val="24"/>
                <w:highlight w:val="none"/>
                <w:lang w:eastAsia="zh-CN"/>
              </w:rPr>
            </w:pPr>
            <w:r>
              <w:rPr>
                <w:rFonts w:hint="eastAsia" w:eastAsiaTheme="minorEastAsia"/>
                <w:sz w:val="24"/>
                <w:szCs w:val="24"/>
                <w:highlight w:val="none"/>
                <w:lang w:eastAsia="zh-CN"/>
              </w:rPr>
              <w:t>总氮（kg/次）</w:t>
            </w:r>
          </w:p>
        </w:tc>
        <w:tc>
          <w:tcPr>
            <w:tcW w:w="1767" w:type="dxa"/>
            <w:vMerge w:val="continue"/>
            <w:tcBorders>
              <w:tl2br w:val="nil"/>
              <w:tr2bl w:val="nil"/>
            </w:tcBorders>
            <w:noWrap w:val="0"/>
            <w:vAlign w:val="center"/>
          </w:tcPr>
          <w:p>
            <w:pPr>
              <w:spacing w:line="240" w:lineRule="auto"/>
              <w:jc w:val="center"/>
              <w:rPr>
                <w:rFonts w:hint="eastAsia" w:eastAsiaTheme="minorEastAsia"/>
                <w:sz w:val="24"/>
                <w:szCs w:val="24"/>
                <w:highlight w:val="none"/>
                <w:lang w:eastAsia="zh-CN"/>
              </w:rPr>
            </w:pPr>
          </w:p>
        </w:tc>
        <w:tc>
          <w:tcPr>
            <w:tcW w:w="2520" w:type="dxa"/>
            <w:tcBorders>
              <w:tl2br w:val="nil"/>
              <w:tr2bl w:val="nil"/>
            </w:tcBorders>
            <w:noWrap w:val="0"/>
            <w:vAlign w:val="center"/>
          </w:tcPr>
          <w:p>
            <w:pPr>
              <w:spacing w:line="240" w:lineRule="auto"/>
              <w:jc w:val="center"/>
              <w:rPr>
                <w:rFonts w:hint="default" w:eastAsiaTheme="minorEastAsia"/>
                <w:sz w:val="24"/>
                <w:szCs w:val="24"/>
                <w:highlight w:val="none"/>
                <w:lang w:val="en-US" w:eastAsia="zh-CN"/>
              </w:rPr>
            </w:pPr>
            <w:r>
              <w:rPr>
                <w:rFonts w:hint="eastAsia" w:eastAsiaTheme="minorEastAsia"/>
                <w:sz w:val="24"/>
                <w:szCs w:val="24"/>
                <w:highlight w:val="none"/>
                <w:lang w:val="en-US"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09" w:hRule="exact"/>
          <w:jc w:val="center"/>
        </w:trPr>
        <w:tc>
          <w:tcPr>
            <w:tcW w:w="1933" w:type="dxa"/>
            <w:tcBorders>
              <w:tl2br w:val="nil"/>
              <w:tr2bl w:val="nil"/>
            </w:tcBorders>
            <w:noWrap w:val="0"/>
            <w:vAlign w:val="center"/>
          </w:tcPr>
          <w:p>
            <w:pPr>
              <w:spacing w:line="240" w:lineRule="auto"/>
              <w:jc w:val="center"/>
              <w:rPr>
                <w:rFonts w:hint="eastAsia" w:eastAsiaTheme="minorEastAsia"/>
                <w:sz w:val="24"/>
                <w:szCs w:val="24"/>
                <w:highlight w:val="none"/>
                <w:lang w:eastAsia="zh-CN"/>
              </w:rPr>
            </w:pPr>
            <w:r>
              <w:rPr>
                <w:rFonts w:hint="eastAsia" w:eastAsiaTheme="minorEastAsia"/>
                <w:sz w:val="24"/>
                <w:szCs w:val="24"/>
                <w:highlight w:val="none"/>
                <w:lang w:eastAsia="zh-CN"/>
              </w:rPr>
              <w:t>总磷（kg/次）</w:t>
            </w:r>
          </w:p>
        </w:tc>
        <w:tc>
          <w:tcPr>
            <w:tcW w:w="1767" w:type="dxa"/>
            <w:vMerge w:val="continue"/>
            <w:tcBorders>
              <w:tl2br w:val="nil"/>
              <w:tr2bl w:val="nil"/>
            </w:tcBorders>
            <w:noWrap w:val="0"/>
            <w:vAlign w:val="center"/>
          </w:tcPr>
          <w:p>
            <w:pPr>
              <w:spacing w:line="240" w:lineRule="auto"/>
              <w:jc w:val="center"/>
              <w:rPr>
                <w:rFonts w:hint="eastAsia" w:eastAsiaTheme="minorEastAsia"/>
                <w:sz w:val="24"/>
                <w:szCs w:val="24"/>
                <w:highlight w:val="none"/>
                <w:lang w:eastAsia="zh-CN"/>
              </w:rPr>
            </w:pPr>
          </w:p>
        </w:tc>
        <w:tc>
          <w:tcPr>
            <w:tcW w:w="2520" w:type="dxa"/>
            <w:tcBorders>
              <w:tl2br w:val="nil"/>
              <w:tr2bl w:val="nil"/>
            </w:tcBorders>
            <w:noWrap w:val="0"/>
            <w:vAlign w:val="center"/>
          </w:tcPr>
          <w:p>
            <w:pPr>
              <w:spacing w:line="240" w:lineRule="auto"/>
              <w:jc w:val="center"/>
              <w:rPr>
                <w:rFonts w:hint="default" w:eastAsiaTheme="minorEastAsia"/>
                <w:sz w:val="24"/>
                <w:szCs w:val="24"/>
                <w:highlight w:val="none"/>
                <w:lang w:val="en-US" w:eastAsia="zh-CN"/>
              </w:rPr>
            </w:pPr>
            <w:r>
              <w:rPr>
                <w:rFonts w:hint="eastAsia" w:eastAsiaTheme="minorEastAsia"/>
                <w:sz w:val="24"/>
                <w:szCs w:val="24"/>
                <w:highlight w:val="none"/>
                <w:lang w:val="en-US" w:eastAsia="zh-CN"/>
              </w:rPr>
              <w:t>3.5</w:t>
            </w:r>
          </w:p>
        </w:tc>
      </w:tr>
    </w:tbl>
    <w:p>
      <w:pPr>
        <w:autoSpaceDE w:val="0"/>
        <w:autoSpaceDN w:val="0"/>
        <w:adjustRightInd w:val="0"/>
        <w:spacing w:before="120" w:beforeLines="50" w:line="360" w:lineRule="auto"/>
        <w:ind w:firstLine="621" w:firstLineChars="225"/>
        <w:jc w:val="left"/>
        <w:rPr>
          <w:rFonts w:hint="eastAsia"/>
          <w:szCs w:val="28"/>
          <w:lang w:eastAsia="zh-CN"/>
        </w:rPr>
      </w:pPr>
      <w:r>
        <w:rPr>
          <w:rFonts w:hint="eastAsia"/>
          <w:szCs w:val="28"/>
          <w:lang w:val="en-US" w:eastAsia="zh-CN"/>
        </w:rPr>
        <w:t>2、</w:t>
      </w:r>
      <w:r>
        <w:rPr>
          <w:rFonts w:hint="eastAsia"/>
          <w:szCs w:val="28"/>
          <w:lang w:eastAsia="zh-CN"/>
        </w:rPr>
        <w:t>运输路线：沼液运输路线的固有特征、气象条件、交通状况和影响人员分布等是导致运输道路事故风险的重要因子。从图</w:t>
      </w:r>
      <w:r>
        <w:rPr>
          <w:rFonts w:hint="eastAsia"/>
          <w:szCs w:val="28"/>
          <w:lang w:val="en-US" w:eastAsia="zh-CN"/>
        </w:rPr>
        <w:t>3</w:t>
      </w:r>
      <w:r>
        <w:rPr>
          <w:rFonts w:hint="eastAsia"/>
          <w:szCs w:val="28"/>
          <w:lang w:eastAsia="zh-CN"/>
        </w:rPr>
        <w:t>-1可见，船运路线经过洪奇沥水道（西沥）、横门水道及石岐河，涉及水域线路约27公里，不涉及饮用水源保护区。</w:t>
      </w:r>
    </w:p>
    <w:p>
      <w:pPr>
        <w:autoSpaceDE w:val="0"/>
        <w:autoSpaceDN w:val="0"/>
        <w:adjustRightInd w:val="0"/>
        <w:spacing w:before="120" w:beforeLines="50" w:line="360" w:lineRule="auto"/>
        <w:ind w:firstLine="621" w:firstLineChars="225"/>
        <w:jc w:val="left"/>
        <w:rPr>
          <w:rFonts w:hint="eastAsia"/>
          <w:szCs w:val="28"/>
          <w:lang w:eastAsia="zh-CN"/>
        </w:rPr>
      </w:pPr>
      <w:r>
        <w:rPr>
          <w:rFonts w:hint="eastAsia"/>
          <w:szCs w:val="28"/>
          <w:lang w:eastAsia="zh-CN"/>
        </w:rPr>
        <w:t>3、运输船只：运输船设备状况：包括整船系统，发动机，转向系统，行驶系统，传动系统，电气、照明、信号、仪表系统，安全防护装置，包装，容器系统等。</w:t>
      </w:r>
    </w:p>
    <w:p>
      <w:pPr>
        <w:autoSpaceDE w:val="0"/>
        <w:autoSpaceDN w:val="0"/>
        <w:adjustRightInd w:val="0"/>
        <w:spacing w:before="120" w:beforeLines="50" w:line="360" w:lineRule="auto"/>
        <w:ind w:firstLine="621" w:firstLineChars="225"/>
        <w:jc w:val="left"/>
        <w:rPr>
          <w:rFonts w:hint="eastAsia"/>
          <w:szCs w:val="28"/>
          <w:lang w:eastAsia="zh-CN"/>
        </w:rPr>
      </w:pPr>
      <w:r>
        <w:rPr>
          <w:rFonts w:hint="eastAsia"/>
          <w:szCs w:val="28"/>
          <w:lang w:eastAsia="zh-CN"/>
        </w:rPr>
        <w:t>沼液运输用船属于液货船，主要用于装载液态货物的船。为减少项目沼液运输过程中发生的风险，必须做好船只的定期检验，包括</w:t>
      </w:r>
      <w:r>
        <w:rPr>
          <w:rFonts w:hint="eastAsia"/>
          <w:szCs w:val="28"/>
          <w:lang w:eastAsia="zh-CN"/>
        </w:rPr>
        <w:fldChar w:fldCharType="begin"/>
      </w:r>
      <w:r>
        <w:rPr>
          <w:rFonts w:hint="eastAsia"/>
          <w:szCs w:val="28"/>
          <w:lang w:eastAsia="zh-CN"/>
        </w:rPr>
        <w:instrText xml:space="preserve"> = 1 \* GB3 </w:instrText>
      </w:r>
      <w:r>
        <w:rPr>
          <w:rFonts w:hint="eastAsia"/>
          <w:szCs w:val="28"/>
          <w:lang w:eastAsia="zh-CN"/>
        </w:rPr>
        <w:fldChar w:fldCharType="separate"/>
      </w:r>
      <w:r>
        <w:rPr>
          <w:rFonts w:hint="eastAsia"/>
          <w:szCs w:val="28"/>
          <w:lang w:eastAsia="zh-CN"/>
        </w:rPr>
        <w:t>①</w:t>
      </w:r>
      <w:r>
        <w:rPr>
          <w:rFonts w:hint="eastAsia"/>
          <w:szCs w:val="28"/>
          <w:lang w:eastAsia="zh-CN"/>
        </w:rPr>
        <w:fldChar w:fldCharType="end"/>
      </w:r>
      <w:r>
        <w:rPr>
          <w:rFonts w:hint="eastAsia"/>
          <w:szCs w:val="28"/>
          <w:lang w:eastAsia="zh-CN"/>
        </w:rPr>
        <w:t>船体的表面漆色、铭牌和标志检查；</w:t>
      </w:r>
      <w:r>
        <w:rPr>
          <w:rFonts w:hint="eastAsia"/>
          <w:szCs w:val="28"/>
          <w:lang w:eastAsia="zh-CN"/>
        </w:rPr>
        <w:fldChar w:fldCharType="begin"/>
      </w:r>
      <w:r>
        <w:rPr>
          <w:rFonts w:hint="eastAsia"/>
          <w:szCs w:val="28"/>
          <w:lang w:eastAsia="zh-CN"/>
        </w:rPr>
        <w:instrText xml:space="preserve"> = 2 \* GB3 </w:instrText>
      </w:r>
      <w:r>
        <w:rPr>
          <w:rFonts w:hint="eastAsia"/>
          <w:szCs w:val="28"/>
          <w:lang w:eastAsia="zh-CN"/>
        </w:rPr>
        <w:fldChar w:fldCharType="separate"/>
      </w:r>
      <w:r>
        <w:rPr>
          <w:rFonts w:hint="eastAsia"/>
          <w:szCs w:val="28"/>
          <w:lang w:eastAsia="zh-CN"/>
        </w:rPr>
        <w:t>②</w:t>
      </w:r>
      <w:r>
        <w:rPr>
          <w:rFonts w:hint="eastAsia"/>
          <w:szCs w:val="28"/>
          <w:lang w:eastAsia="zh-CN"/>
        </w:rPr>
        <w:fldChar w:fldCharType="end"/>
      </w:r>
      <w:r>
        <w:rPr>
          <w:rFonts w:hint="eastAsia"/>
          <w:szCs w:val="28"/>
          <w:lang w:eastAsia="zh-CN"/>
        </w:rPr>
        <w:t>装载沼液槽的表面检查；</w:t>
      </w:r>
      <w:r>
        <w:rPr>
          <w:rFonts w:hint="eastAsia"/>
          <w:szCs w:val="28"/>
          <w:lang w:eastAsia="zh-CN"/>
        </w:rPr>
        <w:fldChar w:fldCharType="begin"/>
      </w:r>
      <w:r>
        <w:rPr>
          <w:rFonts w:hint="eastAsia"/>
          <w:szCs w:val="28"/>
          <w:lang w:eastAsia="zh-CN"/>
        </w:rPr>
        <w:instrText xml:space="preserve"> = 3 \* GB3 </w:instrText>
      </w:r>
      <w:r>
        <w:rPr>
          <w:rFonts w:hint="eastAsia"/>
          <w:szCs w:val="28"/>
          <w:lang w:eastAsia="zh-CN"/>
        </w:rPr>
        <w:fldChar w:fldCharType="separate"/>
      </w:r>
      <w:r>
        <w:rPr>
          <w:rFonts w:hint="eastAsia"/>
          <w:szCs w:val="28"/>
          <w:lang w:eastAsia="zh-CN"/>
        </w:rPr>
        <w:t>③</w:t>
      </w:r>
      <w:r>
        <w:rPr>
          <w:rFonts w:hint="eastAsia"/>
          <w:szCs w:val="28"/>
          <w:lang w:eastAsia="zh-CN"/>
        </w:rPr>
        <w:fldChar w:fldCharType="end"/>
      </w:r>
      <w:r>
        <w:rPr>
          <w:rFonts w:hint="eastAsia"/>
          <w:szCs w:val="28"/>
          <w:lang w:eastAsia="zh-CN"/>
        </w:rPr>
        <w:t>对安全阀、紧急切断阀、液面计、压力表、温度计和灭火器等安全装置进行性能校验，对失效或失灵，应予更换等。</w:t>
      </w:r>
    </w:p>
    <w:p>
      <w:pPr>
        <w:autoSpaceDE w:val="0"/>
        <w:autoSpaceDN w:val="0"/>
        <w:adjustRightInd w:val="0"/>
        <w:spacing w:before="120" w:beforeLines="50" w:line="360" w:lineRule="auto"/>
        <w:ind w:firstLine="621" w:firstLineChars="225"/>
        <w:jc w:val="left"/>
        <w:rPr>
          <w:rFonts w:hint="eastAsia"/>
          <w:szCs w:val="28"/>
          <w:lang w:eastAsia="zh-CN"/>
        </w:rPr>
      </w:pPr>
      <w:r>
        <w:rPr>
          <w:rFonts w:hint="eastAsia"/>
          <w:szCs w:val="28"/>
          <w:lang w:eastAsia="zh-CN"/>
        </w:rPr>
        <w:t>人员素质方面：确保驾驶人员合格性、熟练性、稳定性。</w:t>
      </w:r>
    </w:p>
    <w:p>
      <w:pPr>
        <w:autoSpaceDE w:val="0"/>
        <w:autoSpaceDN w:val="0"/>
        <w:adjustRightInd w:val="0"/>
        <w:spacing w:before="120" w:beforeLines="50" w:line="360" w:lineRule="auto"/>
        <w:ind w:firstLine="621" w:firstLineChars="225"/>
        <w:jc w:val="left"/>
        <w:rPr>
          <w:rFonts w:hint="eastAsia"/>
          <w:szCs w:val="28"/>
          <w:lang w:eastAsia="zh-CN"/>
        </w:rPr>
      </w:pPr>
      <w:r>
        <w:rPr>
          <w:rFonts w:hint="eastAsia"/>
          <w:szCs w:val="28"/>
          <w:lang w:eastAsia="zh-CN"/>
        </w:rPr>
        <w:t>管理方面：严格使用检测不合格的船只和容器运输沼液；严禁运输船只超载；严禁运输船只驾驶员疲劳驾驶；严禁恶劣天气运输沼液等。</w:t>
      </w:r>
    </w:p>
    <w:p>
      <w:pPr>
        <w:autoSpaceDE w:val="0"/>
        <w:autoSpaceDN w:val="0"/>
        <w:adjustRightInd w:val="0"/>
        <w:spacing w:before="120" w:beforeLines="50" w:line="360" w:lineRule="auto"/>
        <w:jc w:val="left"/>
        <w:rPr>
          <w:rFonts w:hint="eastAsia"/>
          <w:szCs w:val="28"/>
          <w:lang w:eastAsia="zh-CN"/>
        </w:rPr>
      </w:pPr>
      <w:r>
        <w:rPr>
          <w:rFonts w:hint="eastAsia"/>
          <w:szCs w:val="28"/>
          <w:lang w:eastAsia="zh-CN"/>
        </w:rPr>
        <w:drawing>
          <wp:inline distT="0" distB="0" distL="114300" distR="114300">
            <wp:extent cx="5727700" cy="3162300"/>
            <wp:effectExtent l="0" t="0" r="6350" b="0"/>
            <wp:docPr id="2" name="图片 6532" descr="QQ截图20141010150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6532" descr="QQ截图20141010150932"/>
                    <pic:cNvPicPr>
                      <a:picLocks noChangeAspect="1"/>
                    </pic:cNvPicPr>
                  </pic:nvPicPr>
                  <pic:blipFill>
                    <a:blip r:embed="rId28"/>
                    <a:stretch>
                      <a:fillRect/>
                    </a:stretch>
                  </pic:blipFill>
                  <pic:spPr>
                    <a:xfrm>
                      <a:off x="0" y="0"/>
                      <a:ext cx="5727700" cy="3162300"/>
                    </a:xfrm>
                    <a:prstGeom prst="rect">
                      <a:avLst/>
                    </a:prstGeom>
                    <a:noFill/>
                    <a:ln>
                      <a:noFill/>
                    </a:ln>
                  </pic:spPr>
                </pic:pic>
              </a:graphicData>
            </a:graphic>
          </wp:inline>
        </w:drawing>
      </w:r>
    </w:p>
    <w:p>
      <w:pPr>
        <w:autoSpaceDE w:val="0"/>
        <w:autoSpaceDN w:val="0"/>
        <w:adjustRightInd w:val="0"/>
        <w:spacing w:before="120" w:beforeLines="50" w:line="240" w:lineRule="auto"/>
        <w:ind w:firstLine="623" w:firstLineChars="225"/>
        <w:jc w:val="center"/>
        <w:rPr>
          <w:rFonts w:hint="eastAsia"/>
          <w:b/>
          <w:bCs/>
          <w:szCs w:val="28"/>
          <w:lang w:eastAsia="zh-CN"/>
        </w:rPr>
      </w:pPr>
      <w:r>
        <w:rPr>
          <w:rFonts w:hint="eastAsia"/>
          <w:b/>
          <w:bCs/>
          <w:szCs w:val="28"/>
          <w:lang w:eastAsia="zh-CN"/>
        </w:rPr>
        <w:t>图</w:t>
      </w:r>
      <w:r>
        <w:rPr>
          <w:rFonts w:hint="eastAsia"/>
          <w:b/>
          <w:bCs/>
          <w:szCs w:val="28"/>
          <w:lang w:val="en-US" w:eastAsia="zh-CN"/>
        </w:rPr>
        <w:t>3</w:t>
      </w:r>
      <w:r>
        <w:rPr>
          <w:rFonts w:hint="eastAsia"/>
          <w:b/>
          <w:bCs/>
          <w:szCs w:val="28"/>
          <w:lang w:eastAsia="zh-CN"/>
        </w:rPr>
        <w:t>-1  沼液运输路线</w:t>
      </w:r>
    </w:p>
    <w:p>
      <w:pPr>
        <w:autoSpaceDE w:val="0"/>
        <w:autoSpaceDN w:val="0"/>
        <w:adjustRightInd w:val="0"/>
        <w:spacing w:before="120" w:beforeLines="50" w:line="360" w:lineRule="auto"/>
        <w:ind w:firstLine="623" w:firstLineChars="225"/>
        <w:jc w:val="left"/>
        <w:rPr>
          <w:b/>
          <w:szCs w:val="28"/>
        </w:rPr>
      </w:pPr>
      <w:r>
        <w:rPr>
          <w:b/>
          <w:szCs w:val="28"/>
        </w:rPr>
        <w:t>（4）环境影响分析</w:t>
      </w:r>
    </w:p>
    <w:p>
      <w:pPr>
        <w:autoSpaceDE w:val="0"/>
        <w:autoSpaceDN w:val="0"/>
        <w:adjustRightInd w:val="0"/>
        <w:spacing w:before="120" w:beforeLines="50" w:line="360" w:lineRule="auto"/>
        <w:ind w:firstLine="621" w:firstLineChars="225"/>
        <w:jc w:val="left"/>
        <w:rPr>
          <w:szCs w:val="28"/>
        </w:rPr>
      </w:pPr>
      <w:r>
        <w:rPr>
          <w:rFonts w:hint="eastAsia"/>
          <w:szCs w:val="28"/>
          <w:lang w:eastAsia="zh-CN"/>
        </w:rPr>
        <w:t>公司生产废水主要为沼液、冲洗废水及生活污水，废水主要污染因子为CODCr、BOD5、NH3-N、SS、总磷、总氮等。高浓度的</w:t>
      </w:r>
      <w:r>
        <w:rPr>
          <w:rFonts w:hint="eastAsia"/>
          <w:szCs w:val="28"/>
          <w:lang w:val="en-US" w:eastAsia="zh-CN"/>
        </w:rPr>
        <w:t>污染物，如果直接排入的水环境中，造成水环境质量下降，影响水生动植物的生长，引发环境污染事故</w:t>
      </w:r>
      <w:r>
        <w:rPr>
          <w:szCs w:val="28"/>
        </w:rPr>
        <w:t>。</w:t>
      </w:r>
    </w:p>
    <w:p>
      <w:pPr>
        <w:autoSpaceDE w:val="0"/>
        <w:autoSpaceDN w:val="0"/>
        <w:adjustRightInd w:val="0"/>
        <w:spacing w:line="360" w:lineRule="auto"/>
        <w:ind w:left="-22" w:leftChars="-8" w:firstLine="416" w:firstLineChars="150"/>
        <w:jc w:val="left"/>
        <w:rPr>
          <w:b/>
          <w:szCs w:val="28"/>
        </w:rPr>
      </w:pPr>
      <w:r>
        <w:rPr>
          <w:b/>
          <w:szCs w:val="28"/>
        </w:rPr>
        <w:t>（</w:t>
      </w:r>
      <w:r>
        <w:rPr>
          <w:rFonts w:hint="eastAsia"/>
          <w:b/>
          <w:szCs w:val="28"/>
          <w:lang w:eastAsia="zh-CN"/>
        </w:rPr>
        <w:t>三</w:t>
      </w:r>
      <w:r>
        <w:rPr>
          <w:b/>
          <w:szCs w:val="28"/>
        </w:rPr>
        <w:t>）废气处理系统危险识别与分析</w:t>
      </w:r>
    </w:p>
    <w:p>
      <w:pPr>
        <w:autoSpaceDE w:val="0"/>
        <w:autoSpaceDN w:val="0"/>
        <w:adjustRightInd w:val="0"/>
        <w:spacing w:before="120" w:beforeLines="50" w:line="360" w:lineRule="auto"/>
        <w:ind w:firstLine="623" w:firstLineChars="225"/>
        <w:jc w:val="left"/>
        <w:rPr>
          <w:b/>
          <w:szCs w:val="28"/>
        </w:rPr>
      </w:pPr>
      <w:r>
        <w:rPr>
          <w:b/>
          <w:szCs w:val="28"/>
        </w:rPr>
        <w:t>（1）废气种类</w:t>
      </w:r>
    </w:p>
    <w:p>
      <w:pPr>
        <w:autoSpaceDE w:val="0"/>
        <w:autoSpaceDN w:val="0"/>
        <w:adjustRightInd w:val="0"/>
        <w:spacing w:before="120" w:beforeLines="50" w:line="360" w:lineRule="auto"/>
        <w:ind w:firstLine="621" w:firstLineChars="225"/>
        <w:jc w:val="left"/>
        <w:rPr>
          <w:szCs w:val="28"/>
        </w:rPr>
      </w:pPr>
      <w:r>
        <w:rPr>
          <w:szCs w:val="28"/>
        </w:rPr>
        <w:t>公司在生产过程中所排放的废气主要包括：</w:t>
      </w:r>
      <w:r>
        <w:rPr>
          <w:rFonts w:hint="eastAsia"/>
          <w:szCs w:val="28"/>
          <w:lang w:eastAsia="zh-CN"/>
        </w:rPr>
        <w:t>生产过程产生的恶臭气体、</w:t>
      </w:r>
      <w:r>
        <w:rPr>
          <w:rFonts w:hint="eastAsia"/>
          <w:szCs w:val="28"/>
          <w:lang w:val="en-US" w:eastAsia="zh-CN"/>
        </w:rPr>
        <w:t>锅炉及备用发电机燃烧废气</w:t>
      </w:r>
      <w:r>
        <w:rPr>
          <w:szCs w:val="28"/>
        </w:rPr>
        <w:t>、</w:t>
      </w:r>
      <w:r>
        <w:rPr>
          <w:rFonts w:hint="eastAsia"/>
          <w:szCs w:val="28"/>
          <w:lang w:eastAsia="zh-CN"/>
        </w:rPr>
        <w:t>沼气烟气</w:t>
      </w:r>
      <w:r>
        <w:rPr>
          <w:szCs w:val="28"/>
        </w:rPr>
        <w:t>等。</w:t>
      </w:r>
    </w:p>
    <w:p>
      <w:pPr>
        <w:autoSpaceDE w:val="0"/>
        <w:autoSpaceDN w:val="0"/>
        <w:adjustRightInd w:val="0"/>
        <w:spacing w:before="120" w:beforeLines="50" w:line="360" w:lineRule="auto"/>
        <w:ind w:firstLine="623" w:firstLineChars="225"/>
        <w:jc w:val="left"/>
        <w:rPr>
          <w:b/>
          <w:szCs w:val="28"/>
        </w:rPr>
      </w:pPr>
      <w:r>
        <w:rPr>
          <w:b/>
          <w:szCs w:val="28"/>
        </w:rPr>
        <w:t>（2）发生突发环境事件的原因分析</w:t>
      </w:r>
    </w:p>
    <w:p>
      <w:pPr>
        <w:autoSpaceDE w:val="0"/>
        <w:autoSpaceDN w:val="0"/>
        <w:adjustRightInd w:val="0"/>
        <w:spacing w:before="120" w:beforeLines="50" w:line="360" w:lineRule="auto"/>
        <w:ind w:firstLine="621" w:firstLineChars="225"/>
        <w:jc w:val="left"/>
        <w:rPr>
          <w:szCs w:val="28"/>
        </w:rPr>
      </w:pPr>
      <w:r>
        <w:rPr>
          <w:szCs w:val="28"/>
        </w:rPr>
        <w:t>对同类型企业事故进行分析，</w:t>
      </w:r>
      <w:r>
        <w:rPr>
          <w:rFonts w:hint="eastAsia"/>
          <w:szCs w:val="28"/>
        </w:rPr>
        <w:t>设备运行状态不佳、</w:t>
      </w:r>
      <w:r>
        <w:rPr>
          <w:szCs w:val="28"/>
        </w:rPr>
        <w:t>设备故障、</w:t>
      </w:r>
      <w:r>
        <w:rPr>
          <w:rFonts w:hint="eastAsia"/>
          <w:szCs w:val="28"/>
          <w:lang w:eastAsia="zh-CN"/>
        </w:rPr>
        <w:t>治理设施故障、</w:t>
      </w:r>
      <w:r>
        <w:rPr>
          <w:szCs w:val="28"/>
        </w:rPr>
        <w:t>违规操作</w:t>
      </w:r>
      <w:r>
        <w:rPr>
          <w:rFonts w:hint="eastAsia"/>
          <w:szCs w:val="28"/>
          <w:lang w:eastAsia="zh-CN"/>
        </w:rPr>
        <w:t>、火灾</w:t>
      </w:r>
      <w:r>
        <w:rPr>
          <w:szCs w:val="28"/>
        </w:rPr>
        <w:t>等因素是导致企业</w:t>
      </w:r>
      <w:r>
        <w:rPr>
          <w:rFonts w:hint="eastAsia"/>
          <w:szCs w:val="28"/>
        </w:rPr>
        <w:t>发生突发大气环境事件</w:t>
      </w:r>
      <w:r>
        <w:rPr>
          <w:szCs w:val="28"/>
        </w:rPr>
        <w:t>的主要因素。</w:t>
      </w:r>
    </w:p>
    <w:p>
      <w:pPr>
        <w:autoSpaceDE w:val="0"/>
        <w:autoSpaceDN w:val="0"/>
        <w:adjustRightInd w:val="0"/>
        <w:spacing w:before="120" w:beforeLines="50" w:line="360" w:lineRule="auto"/>
        <w:ind w:firstLine="623" w:firstLineChars="225"/>
        <w:jc w:val="left"/>
        <w:rPr>
          <w:b/>
          <w:szCs w:val="28"/>
        </w:rPr>
      </w:pPr>
      <w:r>
        <w:rPr>
          <w:b/>
          <w:szCs w:val="28"/>
        </w:rPr>
        <w:t>（3）危险性分析</w:t>
      </w:r>
    </w:p>
    <w:p>
      <w:pPr>
        <w:autoSpaceDE w:val="0"/>
        <w:autoSpaceDN w:val="0"/>
        <w:adjustRightInd w:val="0"/>
        <w:spacing w:before="120" w:beforeLines="50" w:line="360" w:lineRule="auto"/>
        <w:ind w:firstLine="621" w:firstLineChars="225"/>
        <w:jc w:val="left"/>
        <w:rPr>
          <w:szCs w:val="28"/>
        </w:rPr>
      </w:pPr>
      <w:r>
        <w:rPr>
          <w:szCs w:val="28"/>
        </w:rPr>
        <w:t>废气中含有的</w:t>
      </w:r>
      <w:r>
        <w:rPr>
          <w:rFonts w:hint="eastAsia"/>
          <w:szCs w:val="28"/>
          <w:lang w:eastAsia="zh-CN"/>
        </w:rPr>
        <w:t>恶臭气体</w:t>
      </w:r>
      <w:r>
        <w:rPr>
          <w:szCs w:val="28"/>
        </w:rPr>
        <w:t>等</w:t>
      </w:r>
      <w:r>
        <w:rPr>
          <w:rFonts w:hint="eastAsia"/>
          <w:szCs w:val="28"/>
        </w:rPr>
        <w:t>有毒气体</w:t>
      </w:r>
      <w:r>
        <w:rPr>
          <w:rFonts w:hint="eastAsia"/>
          <w:szCs w:val="28"/>
          <w:lang w:eastAsia="zh-CN"/>
        </w:rPr>
        <w:t>的</w:t>
      </w:r>
      <w:r>
        <w:rPr>
          <w:szCs w:val="28"/>
        </w:rPr>
        <w:t>污染物对人体呼吸道具有刺激性，吸入较大量的上述气体会对呼吸道、肺等组织造成危害</w:t>
      </w:r>
      <w:r>
        <w:rPr>
          <w:rFonts w:hint="eastAsia"/>
          <w:szCs w:val="28"/>
        </w:rPr>
        <w:t>，严重时可危及生命</w:t>
      </w:r>
      <w:r>
        <w:rPr>
          <w:szCs w:val="28"/>
        </w:rPr>
        <w:t>。</w:t>
      </w:r>
    </w:p>
    <w:p>
      <w:pPr>
        <w:autoSpaceDE w:val="0"/>
        <w:autoSpaceDN w:val="0"/>
        <w:adjustRightInd w:val="0"/>
        <w:spacing w:before="120" w:beforeLines="50" w:line="360" w:lineRule="auto"/>
        <w:ind w:firstLine="623" w:firstLineChars="225"/>
        <w:jc w:val="left"/>
        <w:rPr>
          <w:b/>
          <w:szCs w:val="28"/>
        </w:rPr>
      </w:pPr>
      <w:r>
        <w:rPr>
          <w:b/>
          <w:szCs w:val="28"/>
        </w:rPr>
        <w:t>（4）环境影响分析</w:t>
      </w:r>
    </w:p>
    <w:p>
      <w:pPr>
        <w:autoSpaceDE w:val="0"/>
        <w:autoSpaceDN w:val="0"/>
        <w:adjustRightInd w:val="0"/>
        <w:spacing w:before="120" w:beforeLines="50" w:line="360" w:lineRule="auto"/>
        <w:ind w:firstLine="621" w:firstLineChars="225"/>
        <w:jc w:val="left"/>
        <w:rPr>
          <w:szCs w:val="28"/>
        </w:rPr>
      </w:pPr>
      <w:r>
        <w:rPr>
          <w:szCs w:val="28"/>
        </w:rPr>
        <w:t>类比同类型项目，当发生事故性废气排放时，风险评价范围内的</w:t>
      </w:r>
      <w:r>
        <w:rPr>
          <w:rFonts w:hint="eastAsia"/>
          <w:szCs w:val="28"/>
        </w:rPr>
        <w:t>大气污染物</w:t>
      </w:r>
      <w:r>
        <w:rPr>
          <w:szCs w:val="28"/>
        </w:rPr>
        <w:t>污染物的浓度增量会比正常排放时浓度增量明显增大。当废气处理系统发生故障时，污染物最大落地浓度一般在评价范围内。即突发环境事件影响范围一般在3km范围内，事故排放的废气对周边居民、企业可能造成一定的影响。</w:t>
      </w:r>
    </w:p>
    <w:p>
      <w:pPr>
        <w:autoSpaceDE w:val="0"/>
        <w:autoSpaceDN w:val="0"/>
        <w:adjustRightInd w:val="0"/>
        <w:spacing w:before="120" w:beforeLines="50" w:line="360" w:lineRule="auto"/>
        <w:ind w:firstLine="416" w:firstLineChars="150"/>
        <w:jc w:val="left"/>
        <w:rPr>
          <w:b/>
          <w:bCs/>
          <w:szCs w:val="28"/>
        </w:rPr>
      </w:pPr>
      <w:r>
        <w:rPr>
          <w:b/>
          <w:szCs w:val="28"/>
        </w:rPr>
        <w:t>（</w:t>
      </w:r>
      <w:r>
        <w:rPr>
          <w:rFonts w:hint="eastAsia"/>
          <w:b/>
          <w:szCs w:val="28"/>
          <w:lang w:eastAsia="zh-CN"/>
        </w:rPr>
        <w:t>四</w:t>
      </w:r>
      <w:r>
        <w:rPr>
          <w:b/>
          <w:szCs w:val="28"/>
        </w:rPr>
        <w:t>）</w:t>
      </w:r>
      <w:r>
        <w:rPr>
          <w:rFonts w:hint="eastAsia"/>
          <w:b/>
          <w:bCs/>
          <w:szCs w:val="28"/>
          <w:lang w:eastAsia="zh-CN"/>
        </w:rPr>
        <w:t>固体废物</w:t>
      </w:r>
      <w:r>
        <w:rPr>
          <w:b/>
          <w:bCs/>
          <w:szCs w:val="28"/>
        </w:rPr>
        <w:t>危险识别与分析</w:t>
      </w:r>
    </w:p>
    <w:p>
      <w:pPr>
        <w:autoSpaceDE w:val="0"/>
        <w:autoSpaceDN w:val="0"/>
        <w:adjustRightInd w:val="0"/>
        <w:spacing w:before="120" w:beforeLines="50" w:line="360" w:lineRule="auto"/>
        <w:ind w:firstLine="621" w:firstLineChars="225"/>
        <w:jc w:val="left"/>
        <w:rPr>
          <w:rFonts w:hint="eastAsia" w:eastAsia="宋体"/>
          <w:szCs w:val="28"/>
          <w:lang w:eastAsia="zh-CN"/>
        </w:rPr>
      </w:pPr>
      <w:r>
        <w:rPr>
          <w:szCs w:val="28"/>
        </w:rPr>
        <w:t>公司在生产过程中所</w:t>
      </w:r>
      <w:r>
        <w:rPr>
          <w:rFonts w:hint="eastAsia"/>
          <w:szCs w:val="28"/>
          <w:lang w:eastAsia="zh-CN"/>
        </w:rPr>
        <w:t>产生</w:t>
      </w:r>
      <w:r>
        <w:rPr>
          <w:szCs w:val="28"/>
        </w:rPr>
        <w:t>的</w:t>
      </w:r>
      <w:r>
        <w:rPr>
          <w:rFonts w:hint="eastAsia"/>
          <w:szCs w:val="28"/>
          <w:lang w:eastAsia="zh-CN"/>
        </w:rPr>
        <w:t>固废</w:t>
      </w:r>
      <w:r>
        <w:rPr>
          <w:szCs w:val="28"/>
        </w:rPr>
        <w:t>主要包括：</w:t>
      </w:r>
      <w:r>
        <w:rPr>
          <w:rFonts w:hint="eastAsia"/>
          <w:szCs w:val="28"/>
        </w:rPr>
        <w:t>废矿物油</w:t>
      </w:r>
      <w:r>
        <w:rPr>
          <w:rFonts w:hint="eastAsia"/>
          <w:szCs w:val="28"/>
          <w:lang w:eastAsia="zh-CN"/>
        </w:rPr>
        <w:t>、</w:t>
      </w:r>
      <w:r>
        <w:rPr>
          <w:rFonts w:hint="eastAsia"/>
          <w:szCs w:val="28"/>
        </w:rPr>
        <w:t>试验废液</w:t>
      </w:r>
      <w:r>
        <w:rPr>
          <w:rFonts w:hint="eastAsia"/>
          <w:szCs w:val="28"/>
          <w:lang w:eastAsia="zh-CN"/>
        </w:rPr>
        <w:t>、</w:t>
      </w:r>
      <w:r>
        <w:rPr>
          <w:rFonts w:hint="eastAsia"/>
          <w:szCs w:val="28"/>
        </w:rPr>
        <w:t>废离子交换树脂</w:t>
      </w:r>
      <w:r>
        <w:rPr>
          <w:rFonts w:hint="eastAsia"/>
          <w:szCs w:val="28"/>
          <w:lang w:eastAsia="zh-CN"/>
        </w:rPr>
        <w:t>、</w:t>
      </w:r>
      <w:r>
        <w:rPr>
          <w:rFonts w:hint="eastAsia"/>
          <w:szCs w:val="28"/>
        </w:rPr>
        <w:t>废脱硫剂</w:t>
      </w:r>
      <w:r>
        <w:rPr>
          <w:rFonts w:hint="eastAsia"/>
          <w:szCs w:val="28"/>
          <w:lang w:eastAsia="zh-CN"/>
        </w:rPr>
        <w:t>、</w:t>
      </w:r>
      <w:r>
        <w:rPr>
          <w:rFonts w:hint="eastAsia"/>
          <w:szCs w:val="28"/>
        </w:rPr>
        <w:t>沼渣</w:t>
      </w:r>
      <w:r>
        <w:rPr>
          <w:rFonts w:hint="eastAsia"/>
          <w:szCs w:val="28"/>
          <w:lang w:eastAsia="zh-CN"/>
        </w:rPr>
        <w:t>、</w:t>
      </w:r>
      <w:r>
        <w:rPr>
          <w:rFonts w:hint="eastAsia"/>
          <w:szCs w:val="28"/>
        </w:rPr>
        <w:t>生活垃圾</w:t>
      </w:r>
      <w:r>
        <w:rPr>
          <w:szCs w:val="28"/>
        </w:rPr>
        <w:t>等。</w:t>
      </w:r>
      <w:r>
        <w:rPr>
          <w:rFonts w:hint="eastAsia"/>
          <w:szCs w:val="28"/>
          <w:lang w:eastAsia="zh-CN"/>
        </w:rPr>
        <w:t>其中</w:t>
      </w:r>
      <w:r>
        <w:rPr>
          <w:rFonts w:hint="eastAsia"/>
          <w:szCs w:val="28"/>
        </w:rPr>
        <w:t>废矿物油</w:t>
      </w:r>
      <w:r>
        <w:rPr>
          <w:rFonts w:hint="eastAsia"/>
          <w:szCs w:val="28"/>
          <w:lang w:eastAsia="zh-CN"/>
        </w:rPr>
        <w:t>、</w:t>
      </w:r>
      <w:r>
        <w:rPr>
          <w:rFonts w:hint="eastAsia"/>
          <w:szCs w:val="28"/>
        </w:rPr>
        <w:t>试验废液</w:t>
      </w:r>
      <w:r>
        <w:rPr>
          <w:rFonts w:hint="eastAsia"/>
          <w:szCs w:val="28"/>
          <w:lang w:eastAsia="zh-CN"/>
        </w:rPr>
        <w:t>、</w:t>
      </w:r>
      <w:r>
        <w:rPr>
          <w:rFonts w:hint="eastAsia"/>
          <w:szCs w:val="28"/>
        </w:rPr>
        <w:t>废离子交换树脂</w:t>
      </w:r>
      <w:r>
        <w:rPr>
          <w:szCs w:val="28"/>
        </w:rPr>
        <w:t>等</w:t>
      </w:r>
      <w:r>
        <w:rPr>
          <w:rFonts w:hint="eastAsia"/>
          <w:szCs w:val="28"/>
          <w:lang w:eastAsia="zh-CN"/>
        </w:rPr>
        <w:t>属于危险废物。</w:t>
      </w:r>
    </w:p>
    <w:p>
      <w:pPr>
        <w:autoSpaceDE w:val="0"/>
        <w:autoSpaceDN w:val="0"/>
        <w:adjustRightInd w:val="0"/>
        <w:spacing w:before="120" w:beforeLines="50" w:line="360" w:lineRule="auto"/>
        <w:ind w:firstLine="623" w:firstLineChars="225"/>
        <w:jc w:val="left"/>
        <w:rPr>
          <w:b/>
          <w:szCs w:val="28"/>
        </w:rPr>
      </w:pPr>
      <w:r>
        <w:rPr>
          <w:b/>
          <w:szCs w:val="28"/>
        </w:rPr>
        <w:t>（2）发生突发环境事件的原因分析</w:t>
      </w:r>
    </w:p>
    <w:p>
      <w:pPr>
        <w:autoSpaceDE w:val="0"/>
        <w:autoSpaceDN w:val="0"/>
        <w:adjustRightInd w:val="0"/>
        <w:spacing w:before="120" w:beforeLines="50" w:line="360" w:lineRule="auto"/>
        <w:ind w:firstLine="621" w:firstLineChars="225"/>
        <w:jc w:val="left"/>
        <w:rPr>
          <w:szCs w:val="28"/>
        </w:rPr>
      </w:pPr>
      <w:r>
        <w:rPr>
          <w:szCs w:val="28"/>
        </w:rPr>
        <w:t>对同类型企业事故进行分析，</w:t>
      </w:r>
      <w:r>
        <w:rPr>
          <w:rFonts w:hint="eastAsia"/>
          <w:szCs w:val="28"/>
          <w:lang w:eastAsia="zh-CN"/>
        </w:rPr>
        <w:t>污泥管道破损、危险废物不规范存放</w:t>
      </w:r>
      <w:r>
        <w:rPr>
          <w:szCs w:val="28"/>
        </w:rPr>
        <w:t>是导致企业</w:t>
      </w:r>
      <w:r>
        <w:rPr>
          <w:rFonts w:hint="eastAsia"/>
          <w:szCs w:val="28"/>
        </w:rPr>
        <w:t>发生突发</w:t>
      </w:r>
      <w:r>
        <w:rPr>
          <w:rFonts w:hint="eastAsia"/>
          <w:szCs w:val="28"/>
          <w:lang w:eastAsia="zh-CN"/>
        </w:rPr>
        <w:t>固体废物泄露</w:t>
      </w:r>
      <w:r>
        <w:rPr>
          <w:rFonts w:hint="eastAsia"/>
          <w:szCs w:val="28"/>
        </w:rPr>
        <w:t>环境事件</w:t>
      </w:r>
      <w:r>
        <w:rPr>
          <w:szCs w:val="28"/>
        </w:rPr>
        <w:t>的主要因素。</w:t>
      </w:r>
    </w:p>
    <w:p>
      <w:pPr>
        <w:autoSpaceDE w:val="0"/>
        <w:autoSpaceDN w:val="0"/>
        <w:adjustRightInd w:val="0"/>
        <w:spacing w:before="120" w:beforeLines="50" w:line="360" w:lineRule="auto"/>
        <w:ind w:firstLine="623" w:firstLineChars="225"/>
        <w:jc w:val="left"/>
        <w:rPr>
          <w:b/>
          <w:szCs w:val="28"/>
        </w:rPr>
      </w:pPr>
      <w:r>
        <w:rPr>
          <w:b/>
          <w:szCs w:val="28"/>
        </w:rPr>
        <w:t>（</w:t>
      </w:r>
      <w:r>
        <w:rPr>
          <w:rFonts w:hint="eastAsia"/>
          <w:b/>
          <w:szCs w:val="28"/>
          <w:lang w:val="en-US" w:eastAsia="zh-CN"/>
        </w:rPr>
        <w:t>3</w:t>
      </w:r>
      <w:r>
        <w:rPr>
          <w:b/>
          <w:szCs w:val="28"/>
        </w:rPr>
        <w:t>）环境影响分析</w:t>
      </w:r>
    </w:p>
    <w:p>
      <w:pPr>
        <w:spacing w:line="360" w:lineRule="auto"/>
        <w:ind w:firstLine="552" w:firstLineChars="200"/>
        <w:rPr>
          <w:color w:val="auto"/>
          <w:sz w:val="28"/>
          <w:szCs w:val="28"/>
        </w:rPr>
      </w:pPr>
      <w:r>
        <w:rPr>
          <w:rFonts w:hint="eastAsia"/>
          <w:color w:val="auto"/>
          <w:sz w:val="28"/>
          <w:szCs w:val="28"/>
        </w:rPr>
        <w:t>厂区内</w:t>
      </w:r>
      <w:r>
        <w:rPr>
          <w:rFonts w:hint="eastAsia"/>
          <w:color w:val="auto"/>
          <w:sz w:val="28"/>
          <w:szCs w:val="28"/>
          <w:lang w:eastAsia="zh-CN"/>
        </w:rPr>
        <w:t>沼渣</w:t>
      </w:r>
      <w:r>
        <w:rPr>
          <w:rFonts w:hint="eastAsia"/>
          <w:color w:val="auto"/>
          <w:sz w:val="28"/>
          <w:szCs w:val="28"/>
        </w:rPr>
        <w:t>污泥经过预设管道泵送，一旦管道发生爆裂事故后，污泥散落地面未及时清理，恶臭污染物（氨、硫化氢）从污泥中挥发出来，对散落场地周边的环境空气质量产生影响。污泥散落地面后，恶臭污染物（气态形式）将以面源方式向外输送扩散。</w:t>
      </w:r>
    </w:p>
    <w:p>
      <w:pPr>
        <w:spacing w:line="360" w:lineRule="auto"/>
        <w:ind w:firstLine="552" w:firstLineChars="200"/>
        <w:rPr>
          <w:color w:val="auto"/>
          <w:sz w:val="28"/>
          <w:szCs w:val="28"/>
        </w:rPr>
      </w:pPr>
      <w:bookmarkStart w:id="162" w:name="_Toc191102332"/>
      <w:bookmarkStart w:id="163" w:name="_Toc192331135"/>
      <w:bookmarkStart w:id="164" w:name="_Toc192049410"/>
      <w:r>
        <w:rPr>
          <w:color w:val="auto"/>
          <w:sz w:val="28"/>
          <w:szCs w:val="28"/>
        </w:rPr>
        <w:t>一旦在运输过程中发生管道爆裂，污泥泄漏事故，厂区人员的应急救援响应处理，即散落污泥在地面的停留时间，散落污泥中恶臭污染物在散落地向外扩散的持续时间</w:t>
      </w:r>
      <w:r>
        <w:rPr>
          <w:rFonts w:hint="eastAsia"/>
          <w:color w:val="auto"/>
          <w:sz w:val="28"/>
          <w:szCs w:val="28"/>
          <w:lang w:eastAsia="zh-CN"/>
        </w:rPr>
        <w:t>较短</w:t>
      </w:r>
      <w:r>
        <w:rPr>
          <w:color w:val="auto"/>
          <w:sz w:val="28"/>
          <w:szCs w:val="28"/>
        </w:rPr>
        <w:t>。</w:t>
      </w:r>
      <w:bookmarkEnd w:id="162"/>
      <w:bookmarkEnd w:id="163"/>
      <w:bookmarkEnd w:id="164"/>
    </w:p>
    <w:p>
      <w:pPr>
        <w:pStyle w:val="17"/>
        <w:rPr>
          <w:rFonts w:hint="eastAsia"/>
          <w:color w:val="auto"/>
        </w:rPr>
      </w:pPr>
      <w:r>
        <w:rPr>
          <w:rFonts w:hint="eastAsia"/>
          <w:color w:val="auto"/>
        </w:rPr>
        <w:t>废脱硫剂</w:t>
      </w:r>
      <w:r>
        <w:rPr>
          <w:rFonts w:hint="eastAsia"/>
          <w:color w:val="auto"/>
          <w:lang w:eastAsia="zh-CN"/>
        </w:rPr>
        <w:t>主要成分为硫化铁，</w:t>
      </w:r>
      <w:r>
        <w:rPr>
          <w:rFonts w:hint="eastAsia"/>
          <w:color w:val="auto"/>
        </w:rPr>
        <w:t>由于硫化铁在常温下与空气中的氧接触发生反应，并放出大量的热，具有极高的自燃倾向性。硫化铁在空气中氧化放热时引发自燃着火事故的内在因素，连续的供氧和热量易于集聚是硫化铁自燃的外部因素。饱和废脱硫剂在自然环境条件下自燃与硫化时间长、暴露面积大以及较多的硫化铁能够加速氧化升温过程，都增加了硫化铁的自燃倾向性。由于废脱硫剂具有易燃的危险特性，建设单位不能自行处置的，应交由具有相应特定处理废硫化铁能力的单位妥善处理。</w:t>
      </w:r>
    </w:p>
    <w:p>
      <w:pPr>
        <w:autoSpaceDE w:val="0"/>
        <w:autoSpaceDN w:val="0"/>
        <w:adjustRightInd w:val="0"/>
        <w:spacing w:before="120" w:beforeLines="50" w:line="360" w:lineRule="auto"/>
        <w:ind w:firstLine="621" w:firstLineChars="225"/>
        <w:jc w:val="left"/>
        <w:rPr>
          <w:szCs w:val="28"/>
        </w:rPr>
      </w:pPr>
      <w:r>
        <w:rPr>
          <w:rFonts w:hint="eastAsia"/>
          <w:szCs w:val="28"/>
        </w:rPr>
        <w:t>公司</w:t>
      </w:r>
      <w:r>
        <w:rPr>
          <w:szCs w:val="28"/>
        </w:rPr>
        <w:t>生产过程中产生的</w:t>
      </w:r>
      <w:r>
        <w:rPr>
          <w:rFonts w:hint="eastAsia"/>
          <w:szCs w:val="28"/>
        </w:rPr>
        <w:t>废矿物油</w:t>
      </w:r>
      <w:r>
        <w:rPr>
          <w:rFonts w:hint="eastAsia"/>
          <w:szCs w:val="28"/>
          <w:lang w:eastAsia="zh-CN"/>
        </w:rPr>
        <w:t>、</w:t>
      </w:r>
      <w:r>
        <w:rPr>
          <w:rFonts w:hint="eastAsia"/>
          <w:szCs w:val="28"/>
        </w:rPr>
        <w:t>试验废液</w:t>
      </w:r>
      <w:r>
        <w:rPr>
          <w:rFonts w:hint="eastAsia"/>
          <w:szCs w:val="28"/>
          <w:lang w:eastAsia="zh-CN"/>
        </w:rPr>
        <w:t>、</w:t>
      </w:r>
      <w:r>
        <w:rPr>
          <w:rFonts w:hint="eastAsia"/>
          <w:szCs w:val="28"/>
        </w:rPr>
        <w:t>废离子交换树脂</w:t>
      </w:r>
      <w:r>
        <w:rPr>
          <w:rFonts w:hint="eastAsia"/>
          <w:szCs w:val="28"/>
          <w:lang w:eastAsia="zh-CN"/>
        </w:rPr>
        <w:t>等危险废物</w:t>
      </w:r>
      <w:r>
        <w:rPr>
          <w:rFonts w:hint="eastAsia"/>
          <w:szCs w:val="28"/>
        </w:rPr>
        <w:t>，</w:t>
      </w:r>
      <w:r>
        <w:rPr>
          <w:szCs w:val="28"/>
        </w:rPr>
        <w:t>一旦发生泄漏</w:t>
      </w:r>
      <w:r>
        <w:rPr>
          <w:rFonts w:hint="eastAsia"/>
          <w:szCs w:val="28"/>
        </w:rPr>
        <w:t>或事故</w:t>
      </w:r>
      <w:r>
        <w:rPr>
          <w:szCs w:val="28"/>
        </w:rPr>
        <w:t>，</w:t>
      </w:r>
      <w:r>
        <w:rPr>
          <w:rFonts w:hint="eastAsia"/>
          <w:szCs w:val="28"/>
          <w:lang w:eastAsia="zh-CN"/>
        </w:rPr>
        <w:t>危险废物进入雨水管网、</w:t>
      </w:r>
      <w:r>
        <w:rPr>
          <w:szCs w:val="28"/>
        </w:rPr>
        <w:t>自然水体</w:t>
      </w:r>
      <w:r>
        <w:rPr>
          <w:rFonts w:hint="eastAsia"/>
          <w:szCs w:val="28"/>
          <w:lang w:eastAsia="zh-CN"/>
        </w:rPr>
        <w:t>或土壤中</w:t>
      </w:r>
      <w:r>
        <w:rPr>
          <w:szCs w:val="28"/>
        </w:rPr>
        <w:t>，则会对</w:t>
      </w:r>
      <w:r>
        <w:rPr>
          <w:rFonts w:hint="eastAsia"/>
          <w:szCs w:val="28"/>
          <w:lang w:eastAsia="zh-CN"/>
        </w:rPr>
        <w:t>周边水环境、土壤环境造成污染</w:t>
      </w:r>
      <w:r>
        <w:rPr>
          <w:szCs w:val="28"/>
        </w:rPr>
        <w:t>，从而引发环境污染事件。</w:t>
      </w:r>
      <w:r>
        <w:rPr>
          <w:rFonts w:hint="eastAsia"/>
          <w:szCs w:val="28"/>
          <w:lang w:eastAsia="zh-CN"/>
        </w:rPr>
        <w:t>公司设置有一般固体废物仓库和危险废物仓库</w:t>
      </w:r>
      <w:r>
        <w:rPr>
          <w:szCs w:val="28"/>
        </w:rPr>
        <w:t>，</w:t>
      </w:r>
      <w:r>
        <w:rPr>
          <w:rFonts w:hint="eastAsia"/>
          <w:szCs w:val="28"/>
          <w:lang w:eastAsia="zh-CN"/>
        </w:rPr>
        <w:t>危险废物分类存放，同时危险废物仓库满足危险废物规范化的要求。危废仓库门口、污泥堆场设置围堰缓坡，</w:t>
      </w:r>
      <w:r>
        <w:rPr>
          <w:szCs w:val="28"/>
        </w:rPr>
        <w:t>防止</w:t>
      </w:r>
      <w:r>
        <w:rPr>
          <w:rFonts w:hint="eastAsia"/>
          <w:szCs w:val="28"/>
          <w:lang w:eastAsia="zh-CN"/>
        </w:rPr>
        <w:t>固体废物泄露事故的发生</w:t>
      </w:r>
      <w:r>
        <w:rPr>
          <w:szCs w:val="28"/>
        </w:rPr>
        <w:t>。</w:t>
      </w:r>
    </w:p>
    <w:p>
      <w:pPr>
        <w:autoSpaceDE w:val="0"/>
        <w:autoSpaceDN w:val="0"/>
        <w:adjustRightInd w:val="0"/>
        <w:spacing w:before="120" w:beforeLines="50" w:line="360" w:lineRule="auto"/>
        <w:ind w:firstLine="416" w:firstLineChars="150"/>
        <w:jc w:val="left"/>
        <w:rPr>
          <w:b/>
          <w:bCs/>
          <w:szCs w:val="28"/>
        </w:rPr>
      </w:pPr>
      <w:r>
        <w:rPr>
          <w:b/>
          <w:szCs w:val="28"/>
        </w:rPr>
        <w:t>（</w:t>
      </w:r>
      <w:r>
        <w:rPr>
          <w:rFonts w:hint="eastAsia"/>
          <w:b/>
          <w:szCs w:val="28"/>
          <w:lang w:eastAsia="zh-CN"/>
        </w:rPr>
        <w:t>四</w:t>
      </w:r>
      <w:r>
        <w:rPr>
          <w:b/>
          <w:szCs w:val="28"/>
        </w:rPr>
        <w:t>）</w:t>
      </w:r>
      <w:r>
        <w:rPr>
          <w:b/>
          <w:bCs/>
          <w:szCs w:val="28"/>
        </w:rPr>
        <w:t>生产</w:t>
      </w:r>
      <w:r>
        <w:rPr>
          <w:rFonts w:hint="eastAsia"/>
          <w:b/>
          <w:bCs/>
          <w:szCs w:val="28"/>
          <w:lang w:eastAsia="zh-CN"/>
        </w:rPr>
        <w:t>过程</w:t>
      </w:r>
      <w:r>
        <w:rPr>
          <w:b/>
          <w:bCs/>
          <w:szCs w:val="28"/>
        </w:rPr>
        <w:t>危险识别与分析</w:t>
      </w:r>
    </w:p>
    <w:p>
      <w:pPr>
        <w:autoSpaceDE w:val="0"/>
        <w:autoSpaceDN w:val="0"/>
        <w:adjustRightInd w:val="0"/>
        <w:spacing w:before="120" w:beforeLines="50" w:line="360" w:lineRule="auto"/>
        <w:ind w:firstLine="554" w:firstLineChars="200"/>
        <w:jc w:val="left"/>
        <w:rPr>
          <w:rFonts w:hint="eastAsia" w:eastAsia="宋体"/>
          <w:b/>
          <w:szCs w:val="28"/>
          <w:lang w:eastAsia="zh-CN"/>
        </w:rPr>
      </w:pPr>
      <w:r>
        <w:rPr>
          <w:b/>
          <w:szCs w:val="28"/>
        </w:rPr>
        <w:t>（1）</w:t>
      </w:r>
      <w:r>
        <w:rPr>
          <w:rFonts w:hint="eastAsia"/>
          <w:b/>
          <w:szCs w:val="28"/>
          <w:lang w:eastAsia="zh-CN"/>
        </w:rPr>
        <w:t>生产设施风险识别</w:t>
      </w:r>
    </w:p>
    <w:p>
      <w:pPr>
        <w:autoSpaceDE w:val="0"/>
        <w:autoSpaceDN w:val="0"/>
        <w:adjustRightInd w:val="0"/>
        <w:spacing w:before="120" w:beforeLines="50" w:line="360" w:lineRule="auto"/>
        <w:ind w:firstLine="552" w:firstLineChars="200"/>
        <w:jc w:val="left"/>
        <w:rPr>
          <w:szCs w:val="28"/>
        </w:rPr>
      </w:pPr>
      <w:r>
        <w:rPr>
          <w:rFonts w:hint="eastAsia"/>
          <w:szCs w:val="28"/>
        </w:rPr>
        <w:t>① 生产线</w:t>
      </w:r>
      <w:r>
        <w:rPr>
          <w:rFonts w:hint="eastAsia"/>
          <w:szCs w:val="28"/>
          <w:lang w:eastAsia="zh-CN"/>
        </w:rPr>
        <w:t>管道、储罐等设备。</w:t>
      </w:r>
      <w:r>
        <w:rPr>
          <w:rFonts w:hint="eastAsia"/>
          <w:szCs w:val="28"/>
        </w:rPr>
        <w:t>因长时期</w:t>
      </w:r>
      <w:r>
        <w:rPr>
          <w:rFonts w:hint="eastAsia"/>
          <w:szCs w:val="28"/>
          <w:lang w:eastAsia="zh-CN"/>
        </w:rPr>
        <w:t>的使用</w:t>
      </w:r>
      <w:r>
        <w:rPr>
          <w:rFonts w:hint="eastAsia"/>
          <w:szCs w:val="28"/>
        </w:rPr>
        <w:t>，易遭腐蚀或产生疲劳和变形。若缺少定期检修，或附件不全、失效，将会导致设备局部的破损，进而导致内部物料的泄漏；可能产生</w:t>
      </w:r>
      <w:r>
        <w:rPr>
          <w:rFonts w:hint="eastAsia"/>
          <w:szCs w:val="28"/>
          <w:lang w:eastAsia="zh-CN"/>
        </w:rPr>
        <w:t>事故</w:t>
      </w:r>
      <w:r>
        <w:rPr>
          <w:rFonts w:hint="eastAsia"/>
          <w:szCs w:val="28"/>
        </w:rPr>
        <w:t>废水等污染物。</w:t>
      </w:r>
    </w:p>
    <w:p>
      <w:pPr>
        <w:autoSpaceDE w:val="0"/>
        <w:autoSpaceDN w:val="0"/>
        <w:adjustRightInd w:val="0"/>
        <w:spacing w:before="120" w:beforeLines="50" w:line="360" w:lineRule="auto"/>
        <w:ind w:firstLine="552" w:firstLineChars="200"/>
        <w:jc w:val="left"/>
        <w:rPr>
          <w:szCs w:val="28"/>
        </w:rPr>
      </w:pPr>
      <w:r>
        <w:rPr>
          <w:rFonts w:hint="eastAsia"/>
          <w:szCs w:val="28"/>
        </w:rPr>
        <w:t>②电机、泵等辅助设备防爆要求没有达到，电线安装没有达到规范要求，也易形成爆炸、火灾。</w:t>
      </w:r>
    </w:p>
    <w:p>
      <w:pPr>
        <w:autoSpaceDE w:val="0"/>
        <w:autoSpaceDN w:val="0"/>
        <w:adjustRightInd w:val="0"/>
        <w:spacing w:before="120" w:beforeLines="50" w:line="360" w:lineRule="auto"/>
        <w:ind w:firstLine="552" w:firstLineChars="200"/>
        <w:jc w:val="left"/>
        <w:rPr>
          <w:szCs w:val="28"/>
        </w:rPr>
      </w:pPr>
      <w:r>
        <w:rPr>
          <w:rFonts w:hint="eastAsia"/>
          <w:szCs w:val="28"/>
        </w:rPr>
        <w:t>③ 仪表、安全设施等附件经过长期使用，可能出现失灵、损坏，导致物料泄漏、工艺失常。设备阀门的破裂、密封件失效、设备基础的失效和设备支座失稳等设备事故均可能造成物料泄漏等事故。</w:t>
      </w:r>
    </w:p>
    <w:p>
      <w:pPr>
        <w:autoSpaceDE w:val="0"/>
        <w:autoSpaceDN w:val="0"/>
        <w:adjustRightInd w:val="0"/>
        <w:spacing w:before="120" w:beforeLines="50" w:line="360" w:lineRule="auto"/>
        <w:ind w:firstLine="552" w:firstLineChars="200"/>
        <w:jc w:val="left"/>
        <w:rPr>
          <w:rFonts w:hint="eastAsia"/>
          <w:szCs w:val="28"/>
        </w:rPr>
      </w:pPr>
      <w:r>
        <w:rPr>
          <w:rFonts w:hint="eastAsia"/>
          <w:szCs w:val="28"/>
        </w:rPr>
        <w:t>④ 公司生产过程中使用大量的设备、容器、管道、阀门、泵和附属的装置，需要定期修理、</w:t>
      </w:r>
      <w:r>
        <w:rPr>
          <w:rFonts w:hint="eastAsia"/>
          <w:szCs w:val="28"/>
          <w:lang w:eastAsia="zh-CN"/>
        </w:rPr>
        <w:t>清理</w:t>
      </w:r>
      <w:r>
        <w:rPr>
          <w:rFonts w:hint="eastAsia"/>
          <w:szCs w:val="28"/>
        </w:rPr>
        <w:t>、更换及其它维护保养。在作业和检修中，相关设备中有一定数量的残留物存在。若处理不当，可能会发生残留物泄漏、等事故。</w:t>
      </w:r>
    </w:p>
    <w:p>
      <w:pPr>
        <w:spacing w:line="360" w:lineRule="auto"/>
        <w:ind w:firstLine="554" w:firstLineChars="200"/>
        <w:rPr>
          <w:rFonts w:ascii="Times New Roman" w:hAnsi="Times New Roman"/>
          <w:b/>
          <w:sz w:val="28"/>
          <w:szCs w:val="28"/>
        </w:rPr>
      </w:pPr>
      <w:r>
        <w:rPr>
          <w:rFonts w:hint="eastAsia" w:ascii="Times New Roman" w:hAnsi="Times New Roman"/>
          <w:b/>
          <w:sz w:val="28"/>
          <w:szCs w:val="28"/>
        </w:rPr>
        <w:t>(2) 生产过程风险识别</w:t>
      </w:r>
    </w:p>
    <w:p>
      <w:pPr>
        <w:autoSpaceDE w:val="0"/>
        <w:autoSpaceDN w:val="0"/>
        <w:adjustRightInd w:val="0"/>
        <w:spacing w:before="120" w:beforeLines="50" w:line="360" w:lineRule="auto"/>
        <w:ind w:firstLine="552" w:firstLineChars="200"/>
        <w:jc w:val="left"/>
        <w:rPr>
          <w:rFonts w:hint="eastAsia"/>
          <w:szCs w:val="28"/>
        </w:rPr>
      </w:pPr>
      <w:r>
        <w:rPr>
          <w:rFonts w:hint="eastAsia"/>
          <w:szCs w:val="28"/>
        </w:rPr>
        <w:t>公司生产过程中，由于温度、压力、物料流动速度、物料计量等过程控制不当，容易造成生产过程失控，可能引起物料外溢。</w:t>
      </w:r>
    </w:p>
    <w:p>
      <w:pPr>
        <w:pStyle w:val="3"/>
        <w:rPr>
          <w:rFonts w:hint="eastAsia"/>
          <w:lang w:eastAsia="zh-CN"/>
        </w:rPr>
      </w:pPr>
      <w:bookmarkStart w:id="165" w:name="_Toc28721"/>
      <w:r>
        <w:t>3.</w:t>
      </w:r>
      <w:r>
        <w:rPr>
          <w:rFonts w:hint="eastAsia"/>
          <w:lang w:val="en-US" w:eastAsia="zh-CN"/>
        </w:rPr>
        <w:t>3</w:t>
      </w:r>
      <w:r>
        <w:rPr>
          <w:rFonts w:hint="eastAsia"/>
          <w:lang w:eastAsia="zh-CN"/>
        </w:rPr>
        <w:t>风险目标</w:t>
      </w:r>
      <w:bookmarkEnd w:id="165"/>
    </w:p>
    <w:p>
      <w:pPr>
        <w:autoSpaceDE w:val="0"/>
        <w:autoSpaceDN w:val="0"/>
        <w:adjustRightInd w:val="0"/>
        <w:spacing w:before="120" w:beforeLines="50" w:line="360" w:lineRule="auto"/>
        <w:ind w:firstLine="552" w:firstLineChars="200"/>
        <w:jc w:val="left"/>
        <w:rPr>
          <w:szCs w:val="28"/>
        </w:rPr>
      </w:pPr>
      <w:r>
        <w:rPr>
          <w:rFonts w:hint="eastAsia"/>
          <w:szCs w:val="28"/>
        </w:rPr>
        <w:t>通过风险识别，公司存在环境风险因素主要有</w:t>
      </w:r>
      <w:r>
        <w:rPr>
          <w:rFonts w:hint="eastAsia"/>
          <w:szCs w:val="28"/>
          <w:lang w:eastAsia="zh-CN"/>
        </w:rPr>
        <w:t>物料</w:t>
      </w:r>
      <w:r>
        <w:rPr>
          <w:rFonts w:hint="eastAsia"/>
          <w:szCs w:val="28"/>
        </w:rPr>
        <w:t>泄漏、废气不正常排放、废水（生产废水、消防废水等）事故排放。</w:t>
      </w:r>
    </w:p>
    <w:p>
      <w:pPr>
        <w:autoSpaceDE w:val="0"/>
        <w:autoSpaceDN w:val="0"/>
        <w:adjustRightInd w:val="0"/>
        <w:spacing w:before="120" w:beforeLines="50" w:line="360" w:lineRule="auto"/>
        <w:ind w:firstLine="552" w:firstLineChars="200"/>
        <w:jc w:val="left"/>
        <w:rPr>
          <w:rFonts w:hint="eastAsia"/>
          <w:szCs w:val="28"/>
        </w:rPr>
      </w:pPr>
      <w:r>
        <w:rPr>
          <w:rFonts w:hint="eastAsia"/>
          <w:szCs w:val="28"/>
        </w:rPr>
        <w:t>根据《企业突发环境事件风险分级方法》（HJ941-2018）和《建设项目环境风险评价技术导则》（HJ/T169-2004），经辨识，本公司为</w:t>
      </w:r>
      <w:r>
        <w:rPr>
          <w:rFonts w:hint="eastAsia"/>
          <w:szCs w:val="28"/>
          <w:lang w:eastAsia="zh-CN"/>
        </w:rPr>
        <w:t>一般环境风险源</w:t>
      </w:r>
      <w:r>
        <w:rPr>
          <w:rFonts w:hint="eastAsia"/>
          <w:szCs w:val="28"/>
        </w:rPr>
        <w:t>。根据公司生产实际与危险物质储存、使用情况，本公司生产、物料储存过程存在的主要风险源（点）有：</w:t>
      </w:r>
      <w:r>
        <w:rPr>
          <w:rFonts w:hint="eastAsia"/>
          <w:szCs w:val="28"/>
          <w:lang w:eastAsia="zh-CN"/>
        </w:rPr>
        <w:t>前处理单元</w:t>
      </w:r>
      <w:r>
        <w:rPr>
          <w:rFonts w:hint="eastAsia"/>
          <w:szCs w:val="28"/>
        </w:rPr>
        <w:t>、</w:t>
      </w:r>
      <w:r>
        <w:rPr>
          <w:rFonts w:hint="eastAsia"/>
          <w:szCs w:val="28"/>
          <w:lang w:eastAsia="zh-CN"/>
        </w:rPr>
        <w:t>热水解处理站、厌氧罐区、沼气净化单元、锅炉房、泥棚、危险暂存库</w:t>
      </w:r>
      <w:r>
        <w:rPr>
          <w:rFonts w:hint="eastAsia"/>
          <w:szCs w:val="28"/>
        </w:rPr>
        <w:t>等。公司各风险源点情况一览表见表3-</w:t>
      </w:r>
      <w:r>
        <w:rPr>
          <w:rFonts w:hint="eastAsia"/>
          <w:szCs w:val="28"/>
          <w:lang w:val="en-US" w:eastAsia="zh-CN"/>
        </w:rPr>
        <w:t>4</w:t>
      </w:r>
      <w:r>
        <w:rPr>
          <w:rFonts w:hint="eastAsia"/>
          <w:szCs w:val="28"/>
        </w:rPr>
        <w:t>，主要风险源点分布请见</w:t>
      </w:r>
      <w:r>
        <w:rPr>
          <w:rFonts w:hint="eastAsia"/>
          <w:szCs w:val="28"/>
          <w:lang w:eastAsia="zh-CN"/>
        </w:rPr>
        <w:t>下图</w:t>
      </w:r>
      <w:r>
        <w:rPr>
          <w:rFonts w:hint="eastAsia"/>
          <w:szCs w:val="28"/>
        </w:rPr>
        <w:t>。</w:t>
      </w:r>
    </w:p>
    <w:p>
      <w:pPr>
        <w:spacing w:before="156" w:beforeLines="50" w:line="360" w:lineRule="auto"/>
        <w:jc w:val="center"/>
        <w:rPr>
          <w:rFonts w:hint="eastAsia" w:ascii="Times New Roman" w:hAnsi="Times New Roman"/>
          <w:b/>
          <w:sz w:val="24"/>
          <w:szCs w:val="24"/>
        </w:rPr>
      </w:pPr>
      <w:r>
        <w:rPr>
          <w:rFonts w:hint="eastAsia" w:ascii="Times New Roman" w:hAnsi="Times New Roman"/>
          <w:b/>
          <w:sz w:val="24"/>
          <w:szCs w:val="24"/>
        </w:rPr>
        <w:t>表3-</w:t>
      </w:r>
      <w:r>
        <w:rPr>
          <w:rFonts w:hint="eastAsia"/>
          <w:b/>
          <w:sz w:val="24"/>
          <w:szCs w:val="24"/>
          <w:lang w:val="en-US" w:eastAsia="zh-CN"/>
        </w:rPr>
        <w:t>4</w:t>
      </w:r>
      <w:r>
        <w:rPr>
          <w:rFonts w:hint="eastAsia" w:ascii="Times New Roman" w:hAnsi="Times New Roman"/>
          <w:b/>
          <w:sz w:val="24"/>
          <w:szCs w:val="24"/>
        </w:rPr>
        <w:t xml:space="preserve"> 环境风险源点情况一览表</w:t>
      </w:r>
    </w:p>
    <w:tbl>
      <w:tblPr>
        <w:tblStyle w:val="42"/>
        <w:tblW w:w="8505"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96"/>
        <w:gridCol w:w="1519"/>
        <w:gridCol w:w="1843"/>
        <w:gridCol w:w="2552"/>
        <w:gridCol w:w="189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blHeader/>
          <w:jc w:val="center"/>
        </w:trPr>
        <w:tc>
          <w:tcPr>
            <w:tcW w:w="696" w:type="dxa"/>
            <w:shd w:val="clear" w:color="auto" w:fill="auto"/>
            <w:noWrap w:val="0"/>
            <w:vAlign w:val="center"/>
          </w:tcPr>
          <w:p>
            <w:pPr>
              <w:spacing w:line="240" w:lineRule="auto"/>
              <w:jc w:val="center"/>
              <w:rPr>
                <w:rFonts w:ascii="Times New Roman" w:hAnsi="Times New Roman"/>
                <w:sz w:val="24"/>
                <w:szCs w:val="24"/>
              </w:rPr>
            </w:pPr>
            <w:r>
              <w:rPr>
                <w:rFonts w:ascii="Times New Roman" w:hAnsi="Times New Roman"/>
                <w:sz w:val="24"/>
                <w:szCs w:val="24"/>
              </w:rPr>
              <w:t>序号</w:t>
            </w:r>
          </w:p>
        </w:tc>
        <w:tc>
          <w:tcPr>
            <w:tcW w:w="1519" w:type="dxa"/>
            <w:shd w:val="clear" w:color="auto" w:fill="auto"/>
            <w:noWrap w:val="0"/>
            <w:vAlign w:val="center"/>
          </w:tcPr>
          <w:p>
            <w:pPr>
              <w:spacing w:line="240" w:lineRule="auto"/>
              <w:jc w:val="center"/>
              <w:rPr>
                <w:rFonts w:ascii="Times New Roman" w:hAnsi="Times New Roman"/>
                <w:sz w:val="24"/>
                <w:szCs w:val="24"/>
              </w:rPr>
            </w:pPr>
            <w:r>
              <w:rPr>
                <w:rFonts w:ascii="Times New Roman" w:hAnsi="Times New Roman"/>
                <w:sz w:val="24"/>
                <w:szCs w:val="24"/>
              </w:rPr>
              <w:t>风险源</w:t>
            </w:r>
          </w:p>
        </w:tc>
        <w:tc>
          <w:tcPr>
            <w:tcW w:w="1843" w:type="dxa"/>
            <w:shd w:val="clear" w:color="auto" w:fill="auto"/>
            <w:noWrap w:val="0"/>
            <w:vAlign w:val="center"/>
          </w:tcPr>
          <w:p>
            <w:pPr>
              <w:spacing w:line="240" w:lineRule="auto"/>
              <w:jc w:val="center"/>
              <w:rPr>
                <w:rFonts w:ascii="Times New Roman" w:hAnsi="Times New Roman"/>
                <w:sz w:val="24"/>
                <w:szCs w:val="24"/>
              </w:rPr>
            </w:pPr>
            <w:r>
              <w:rPr>
                <w:rFonts w:hint="eastAsia" w:ascii="Times New Roman" w:hAnsi="Times New Roman"/>
                <w:sz w:val="24"/>
                <w:szCs w:val="24"/>
              </w:rPr>
              <w:t>风险事故</w:t>
            </w:r>
          </w:p>
        </w:tc>
        <w:tc>
          <w:tcPr>
            <w:tcW w:w="2552" w:type="dxa"/>
            <w:shd w:val="clear" w:color="auto" w:fill="auto"/>
            <w:noWrap w:val="0"/>
            <w:vAlign w:val="center"/>
          </w:tcPr>
          <w:p>
            <w:pPr>
              <w:spacing w:line="240" w:lineRule="auto"/>
              <w:jc w:val="center"/>
              <w:rPr>
                <w:rFonts w:hint="eastAsia" w:ascii="Times New Roman" w:hAnsi="Times New Roman"/>
                <w:sz w:val="24"/>
                <w:szCs w:val="24"/>
              </w:rPr>
            </w:pPr>
            <w:r>
              <w:rPr>
                <w:rFonts w:hint="eastAsia" w:ascii="Times New Roman" w:hAnsi="Times New Roman"/>
                <w:sz w:val="24"/>
                <w:szCs w:val="24"/>
              </w:rPr>
              <w:t>涉及物质</w:t>
            </w:r>
          </w:p>
        </w:tc>
        <w:tc>
          <w:tcPr>
            <w:tcW w:w="1895" w:type="dxa"/>
            <w:shd w:val="clear" w:color="auto" w:fill="auto"/>
            <w:noWrap w:val="0"/>
            <w:vAlign w:val="center"/>
          </w:tcPr>
          <w:p>
            <w:pPr>
              <w:spacing w:line="240" w:lineRule="auto"/>
              <w:jc w:val="center"/>
              <w:rPr>
                <w:rFonts w:ascii="Times New Roman" w:hAnsi="Times New Roman"/>
                <w:sz w:val="24"/>
                <w:szCs w:val="24"/>
              </w:rPr>
            </w:pPr>
            <w:r>
              <w:rPr>
                <w:rFonts w:hint="eastAsia" w:ascii="Times New Roman" w:hAnsi="Times New Roman"/>
                <w:sz w:val="24"/>
                <w:szCs w:val="24"/>
              </w:rPr>
              <w:t>环境影响分析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07" w:hRule="atLeast"/>
          <w:jc w:val="center"/>
        </w:trPr>
        <w:tc>
          <w:tcPr>
            <w:tcW w:w="696" w:type="dxa"/>
            <w:shd w:val="clear" w:color="auto" w:fill="auto"/>
            <w:noWrap w:val="0"/>
            <w:vAlign w:val="center"/>
          </w:tcPr>
          <w:p>
            <w:pPr>
              <w:spacing w:line="240" w:lineRule="auto"/>
              <w:jc w:val="center"/>
              <w:rPr>
                <w:rFonts w:ascii="Times New Roman" w:hAnsi="Times New Roman"/>
                <w:sz w:val="24"/>
                <w:szCs w:val="24"/>
              </w:rPr>
            </w:pPr>
            <w:r>
              <w:rPr>
                <w:rFonts w:hint="eastAsia" w:ascii="Times New Roman" w:hAnsi="Times New Roman"/>
                <w:sz w:val="24"/>
                <w:szCs w:val="24"/>
              </w:rPr>
              <w:t>1</w:t>
            </w:r>
          </w:p>
        </w:tc>
        <w:tc>
          <w:tcPr>
            <w:tcW w:w="1519" w:type="dxa"/>
            <w:shd w:val="clear" w:color="auto" w:fill="auto"/>
            <w:noWrap w:val="0"/>
            <w:vAlign w:val="center"/>
          </w:tcPr>
          <w:p>
            <w:pPr>
              <w:spacing w:line="240" w:lineRule="auto"/>
              <w:jc w:val="center"/>
              <w:rPr>
                <w:rFonts w:ascii="Times New Roman" w:hAnsi="Times New Roman"/>
                <w:sz w:val="24"/>
                <w:szCs w:val="24"/>
              </w:rPr>
            </w:pPr>
            <w:r>
              <w:rPr>
                <w:rFonts w:hint="eastAsia"/>
                <w:sz w:val="24"/>
                <w:szCs w:val="24"/>
                <w:lang w:eastAsia="zh-CN"/>
              </w:rPr>
              <w:t>前处理单元、</w:t>
            </w:r>
            <w:r>
              <w:rPr>
                <w:rFonts w:hint="eastAsia" w:ascii="Times New Roman" w:hAnsi="Times New Roman"/>
                <w:sz w:val="24"/>
                <w:szCs w:val="24"/>
              </w:rPr>
              <w:t>装卸平台</w:t>
            </w:r>
          </w:p>
        </w:tc>
        <w:tc>
          <w:tcPr>
            <w:tcW w:w="1843" w:type="dxa"/>
            <w:shd w:val="clear" w:color="auto" w:fill="auto"/>
            <w:noWrap w:val="0"/>
            <w:vAlign w:val="center"/>
          </w:tcPr>
          <w:p>
            <w:pPr>
              <w:spacing w:line="240" w:lineRule="auto"/>
              <w:jc w:val="center"/>
              <w:rPr>
                <w:rFonts w:ascii="Times New Roman" w:hAnsi="Times New Roman"/>
                <w:sz w:val="24"/>
                <w:szCs w:val="24"/>
              </w:rPr>
            </w:pPr>
            <w:r>
              <w:rPr>
                <w:rFonts w:hint="eastAsia"/>
                <w:sz w:val="24"/>
                <w:szCs w:val="24"/>
                <w:lang w:eastAsia="zh-CN"/>
              </w:rPr>
              <w:t>物料泄露</w:t>
            </w:r>
          </w:p>
        </w:tc>
        <w:tc>
          <w:tcPr>
            <w:tcW w:w="2552" w:type="dxa"/>
            <w:shd w:val="clear" w:color="auto" w:fill="auto"/>
            <w:noWrap w:val="0"/>
            <w:vAlign w:val="center"/>
          </w:tcPr>
          <w:p>
            <w:pPr>
              <w:spacing w:line="240" w:lineRule="auto"/>
              <w:jc w:val="center"/>
              <w:rPr>
                <w:rFonts w:hint="eastAsia" w:ascii="Times New Roman" w:hAnsi="Times New Roman" w:eastAsia="宋体"/>
                <w:sz w:val="24"/>
                <w:szCs w:val="24"/>
                <w:lang w:eastAsia="zh-CN"/>
              </w:rPr>
            </w:pPr>
            <w:r>
              <w:rPr>
                <w:rFonts w:hint="eastAsia"/>
                <w:sz w:val="24"/>
                <w:szCs w:val="24"/>
                <w:lang w:eastAsia="zh-CN"/>
              </w:rPr>
              <w:t>污泥</w:t>
            </w:r>
          </w:p>
        </w:tc>
        <w:tc>
          <w:tcPr>
            <w:tcW w:w="1895" w:type="dxa"/>
            <w:shd w:val="clear" w:color="auto" w:fill="auto"/>
            <w:noWrap w:val="0"/>
            <w:vAlign w:val="center"/>
          </w:tcPr>
          <w:p>
            <w:pPr>
              <w:spacing w:line="240" w:lineRule="auto"/>
              <w:jc w:val="center"/>
              <w:rPr>
                <w:rFonts w:ascii="Times New Roman" w:hAnsi="Times New Roman"/>
                <w:sz w:val="24"/>
                <w:szCs w:val="24"/>
              </w:rPr>
            </w:pPr>
            <w:r>
              <w:rPr>
                <w:rFonts w:hint="eastAsia" w:ascii="Times New Roman" w:hAnsi="Times New Roman"/>
                <w:sz w:val="24"/>
                <w:szCs w:val="24"/>
              </w:rPr>
              <w:t>事故污水等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118" w:hRule="atLeast"/>
          <w:jc w:val="center"/>
        </w:trPr>
        <w:tc>
          <w:tcPr>
            <w:tcW w:w="696" w:type="dxa"/>
            <w:shd w:val="clear" w:color="auto" w:fill="auto"/>
            <w:noWrap w:val="0"/>
            <w:vAlign w:val="center"/>
          </w:tcPr>
          <w:p>
            <w:pPr>
              <w:spacing w:line="240" w:lineRule="auto"/>
              <w:jc w:val="center"/>
              <w:rPr>
                <w:rFonts w:ascii="Times New Roman" w:hAnsi="Times New Roman"/>
                <w:sz w:val="24"/>
                <w:szCs w:val="24"/>
              </w:rPr>
            </w:pPr>
            <w:r>
              <w:rPr>
                <w:rFonts w:hint="eastAsia" w:ascii="Times New Roman" w:hAnsi="Times New Roman"/>
                <w:sz w:val="24"/>
                <w:szCs w:val="24"/>
              </w:rPr>
              <w:t>2</w:t>
            </w:r>
          </w:p>
        </w:tc>
        <w:tc>
          <w:tcPr>
            <w:tcW w:w="1519" w:type="dxa"/>
            <w:shd w:val="clear" w:color="auto" w:fill="auto"/>
            <w:noWrap w:val="0"/>
            <w:vAlign w:val="center"/>
          </w:tcPr>
          <w:p>
            <w:pPr>
              <w:spacing w:line="240" w:lineRule="auto"/>
              <w:jc w:val="center"/>
              <w:rPr>
                <w:rFonts w:hint="eastAsia" w:ascii="Times New Roman" w:hAnsi="Times New Roman" w:eastAsia="宋体"/>
                <w:sz w:val="24"/>
                <w:szCs w:val="24"/>
                <w:lang w:eastAsia="zh-CN"/>
              </w:rPr>
            </w:pPr>
            <w:r>
              <w:rPr>
                <w:rFonts w:hint="eastAsia"/>
                <w:sz w:val="24"/>
                <w:szCs w:val="24"/>
                <w:lang w:eastAsia="zh-CN"/>
              </w:rPr>
              <w:t>热水解处理单元</w:t>
            </w:r>
          </w:p>
        </w:tc>
        <w:tc>
          <w:tcPr>
            <w:tcW w:w="1843" w:type="dxa"/>
            <w:shd w:val="clear" w:color="auto" w:fill="auto"/>
            <w:noWrap w:val="0"/>
            <w:vAlign w:val="center"/>
          </w:tcPr>
          <w:p>
            <w:pPr>
              <w:spacing w:line="240" w:lineRule="auto"/>
              <w:jc w:val="center"/>
              <w:rPr>
                <w:rFonts w:ascii="Times New Roman" w:hAnsi="Times New Roman"/>
                <w:sz w:val="24"/>
                <w:szCs w:val="24"/>
              </w:rPr>
            </w:pPr>
            <w:r>
              <w:rPr>
                <w:rFonts w:hint="eastAsia"/>
                <w:sz w:val="24"/>
                <w:szCs w:val="24"/>
                <w:lang w:eastAsia="zh-CN"/>
              </w:rPr>
              <w:t>物料泄露</w:t>
            </w:r>
          </w:p>
        </w:tc>
        <w:tc>
          <w:tcPr>
            <w:tcW w:w="2552" w:type="dxa"/>
            <w:shd w:val="clear" w:color="auto" w:fill="auto"/>
            <w:noWrap w:val="0"/>
            <w:vAlign w:val="center"/>
          </w:tcPr>
          <w:p>
            <w:pPr>
              <w:spacing w:line="240" w:lineRule="auto"/>
              <w:jc w:val="center"/>
              <w:rPr>
                <w:rFonts w:hint="eastAsia" w:ascii="Times New Roman" w:hAnsi="Times New Roman" w:eastAsia="宋体"/>
                <w:sz w:val="24"/>
                <w:szCs w:val="24"/>
                <w:lang w:eastAsia="zh-CN"/>
              </w:rPr>
            </w:pPr>
            <w:r>
              <w:rPr>
                <w:rFonts w:hint="eastAsia"/>
                <w:sz w:val="24"/>
                <w:szCs w:val="24"/>
                <w:lang w:eastAsia="zh-CN"/>
              </w:rPr>
              <w:t>水解污泥</w:t>
            </w:r>
          </w:p>
        </w:tc>
        <w:tc>
          <w:tcPr>
            <w:tcW w:w="1895" w:type="dxa"/>
            <w:shd w:val="clear" w:color="auto" w:fill="auto"/>
            <w:noWrap w:val="0"/>
            <w:vAlign w:val="center"/>
          </w:tcPr>
          <w:p>
            <w:pPr>
              <w:spacing w:line="240" w:lineRule="auto"/>
              <w:jc w:val="center"/>
              <w:rPr>
                <w:rFonts w:ascii="Times New Roman" w:hAnsi="Times New Roman"/>
                <w:sz w:val="24"/>
                <w:szCs w:val="24"/>
              </w:rPr>
            </w:pPr>
            <w:r>
              <w:rPr>
                <w:rFonts w:hint="eastAsia" w:ascii="Times New Roman" w:hAnsi="Times New Roman"/>
                <w:sz w:val="24"/>
                <w:szCs w:val="24"/>
              </w:rPr>
              <w:t>事故污水等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103" w:hRule="atLeast"/>
          <w:jc w:val="center"/>
        </w:trPr>
        <w:tc>
          <w:tcPr>
            <w:tcW w:w="696" w:type="dxa"/>
            <w:shd w:val="clear" w:color="auto" w:fill="auto"/>
            <w:noWrap w:val="0"/>
            <w:vAlign w:val="center"/>
          </w:tcPr>
          <w:p>
            <w:pPr>
              <w:spacing w:line="240" w:lineRule="auto"/>
              <w:jc w:val="center"/>
              <w:rPr>
                <w:rFonts w:ascii="Times New Roman" w:hAnsi="Times New Roman"/>
                <w:sz w:val="24"/>
                <w:szCs w:val="24"/>
              </w:rPr>
            </w:pPr>
            <w:r>
              <w:rPr>
                <w:rFonts w:hint="eastAsia" w:ascii="Times New Roman" w:hAnsi="Times New Roman"/>
                <w:sz w:val="24"/>
                <w:szCs w:val="24"/>
              </w:rPr>
              <w:t>3</w:t>
            </w:r>
          </w:p>
        </w:tc>
        <w:tc>
          <w:tcPr>
            <w:tcW w:w="1519" w:type="dxa"/>
            <w:shd w:val="clear" w:color="auto" w:fill="auto"/>
            <w:noWrap w:val="0"/>
            <w:vAlign w:val="center"/>
          </w:tcPr>
          <w:p>
            <w:pPr>
              <w:spacing w:line="240" w:lineRule="auto"/>
              <w:jc w:val="center"/>
              <w:rPr>
                <w:rFonts w:ascii="Times New Roman" w:hAnsi="Times New Roman"/>
                <w:sz w:val="24"/>
                <w:szCs w:val="24"/>
              </w:rPr>
            </w:pPr>
            <w:r>
              <w:rPr>
                <w:rFonts w:hint="eastAsia"/>
                <w:sz w:val="24"/>
                <w:szCs w:val="24"/>
                <w:lang w:eastAsia="zh-CN"/>
              </w:rPr>
              <w:t>厌氧罐区</w:t>
            </w:r>
          </w:p>
        </w:tc>
        <w:tc>
          <w:tcPr>
            <w:tcW w:w="1843" w:type="dxa"/>
            <w:shd w:val="clear" w:color="auto" w:fill="auto"/>
            <w:noWrap w:val="0"/>
            <w:vAlign w:val="center"/>
          </w:tcPr>
          <w:p>
            <w:pPr>
              <w:spacing w:line="240" w:lineRule="auto"/>
              <w:jc w:val="center"/>
              <w:rPr>
                <w:rFonts w:ascii="Times New Roman" w:hAnsi="Times New Roman"/>
                <w:sz w:val="24"/>
                <w:szCs w:val="24"/>
              </w:rPr>
            </w:pPr>
            <w:r>
              <w:rPr>
                <w:rFonts w:hint="eastAsia"/>
                <w:sz w:val="24"/>
                <w:szCs w:val="24"/>
                <w:lang w:eastAsia="zh-CN"/>
              </w:rPr>
              <w:t>物料泄露</w:t>
            </w:r>
            <w:r>
              <w:rPr>
                <w:rFonts w:hint="eastAsia" w:ascii="Times New Roman" w:hAnsi="Times New Roman"/>
                <w:sz w:val="24"/>
                <w:szCs w:val="24"/>
              </w:rPr>
              <w:t>、火灾、爆炸</w:t>
            </w:r>
          </w:p>
        </w:tc>
        <w:tc>
          <w:tcPr>
            <w:tcW w:w="2552" w:type="dxa"/>
            <w:shd w:val="clear" w:color="auto" w:fill="auto"/>
            <w:noWrap w:val="0"/>
            <w:vAlign w:val="center"/>
          </w:tcPr>
          <w:p>
            <w:pPr>
              <w:spacing w:line="240" w:lineRule="auto"/>
              <w:jc w:val="center"/>
              <w:rPr>
                <w:rFonts w:hint="eastAsia" w:ascii="Times New Roman" w:hAnsi="Times New Roman"/>
                <w:sz w:val="24"/>
                <w:szCs w:val="24"/>
              </w:rPr>
            </w:pPr>
            <w:r>
              <w:rPr>
                <w:rFonts w:hint="eastAsia"/>
                <w:sz w:val="24"/>
                <w:szCs w:val="24"/>
                <w:lang w:eastAsia="zh-CN"/>
              </w:rPr>
              <w:t>消化污泥、沼气等</w:t>
            </w:r>
          </w:p>
        </w:tc>
        <w:tc>
          <w:tcPr>
            <w:tcW w:w="1895" w:type="dxa"/>
            <w:shd w:val="clear" w:color="auto" w:fill="auto"/>
            <w:noWrap w:val="0"/>
            <w:vAlign w:val="center"/>
          </w:tcPr>
          <w:p>
            <w:pPr>
              <w:spacing w:line="240" w:lineRule="auto"/>
              <w:jc w:val="center"/>
              <w:rPr>
                <w:rFonts w:ascii="Times New Roman" w:hAnsi="Times New Roman"/>
                <w:sz w:val="24"/>
                <w:szCs w:val="24"/>
              </w:rPr>
            </w:pPr>
            <w:r>
              <w:rPr>
                <w:rFonts w:hint="eastAsia"/>
                <w:sz w:val="24"/>
                <w:szCs w:val="24"/>
                <w:lang w:eastAsia="zh-CN"/>
              </w:rPr>
              <w:t>废气、</w:t>
            </w:r>
            <w:r>
              <w:rPr>
                <w:rFonts w:hint="eastAsia" w:ascii="Times New Roman" w:hAnsi="Times New Roman"/>
                <w:sz w:val="24"/>
                <w:szCs w:val="24"/>
              </w:rPr>
              <w:t>事故污水、消防废水等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002" w:hRule="atLeast"/>
          <w:jc w:val="center"/>
        </w:trPr>
        <w:tc>
          <w:tcPr>
            <w:tcW w:w="696" w:type="dxa"/>
            <w:shd w:val="clear" w:color="auto" w:fill="auto"/>
            <w:noWrap w:val="0"/>
            <w:vAlign w:val="center"/>
          </w:tcPr>
          <w:p>
            <w:pPr>
              <w:spacing w:line="240" w:lineRule="auto"/>
              <w:jc w:val="center"/>
              <w:rPr>
                <w:rFonts w:ascii="Times New Roman" w:hAnsi="Times New Roman"/>
                <w:sz w:val="24"/>
                <w:szCs w:val="24"/>
              </w:rPr>
            </w:pPr>
            <w:r>
              <w:rPr>
                <w:rFonts w:hint="eastAsia" w:ascii="Times New Roman" w:hAnsi="Times New Roman"/>
                <w:sz w:val="24"/>
                <w:szCs w:val="24"/>
              </w:rPr>
              <w:t>4</w:t>
            </w:r>
          </w:p>
        </w:tc>
        <w:tc>
          <w:tcPr>
            <w:tcW w:w="1519" w:type="dxa"/>
            <w:shd w:val="clear" w:color="auto" w:fill="auto"/>
            <w:noWrap w:val="0"/>
            <w:vAlign w:val="center"/>
          </w:tcPr>
          <w:p>
            <w:pPr>
              <w:spacing w:line="240" w:lineRule="auto"/>
              <w:jc w:val="center"/>
              <w:rPr>
                <w:rFonts w:hint="eastAsia" w:ascii="Times New Roman" w:hAnsi="Times New Roman" w:eastAsia="宋体"/>
                <w:sz w:val="24"/>
                <w:szCs w:val="24"/>
                <w:lang w:eastAsia="zh-CN"/>
              </w:rPr>
            </w:pPr>
            <w:r>
              <w:rPr>
                <w:rFonts w:hint="eastAsia"/>
                <w:sz w:val="24"/>
                <w:szCs w:val="24"/>
                <w:lang w:eastAsia="zh-CN"/>
              </w:rPr>
              <w:t>沼气净化单元、锅炉房</w:t>
            </w:r>
          </w:p>
        </w:tc>
        <w:tc>
          <w:tcPr>
            <w:tcW w:w="1843" w:type="dxa"/>
            <w:shd w:val="clear" w:color="auto" w:fill="auto"/>
            <w:noWrap w:val="0"/>
            <w:vAlign w:val="center"/>
          </w:tcPr>
          <w:p>
            <w:pPr>
              <w:spacing w:line="240" w:lineRule="auto"/>
              <w:jc w:val="center"/>
              <w:rPr>
                <w:rFonts w:hint="eastAsia" w:ascii="Times New Roman" w:hAnsi="Times New Roman" w:eastAsia="宋体"/>
                <w:sz w:val="24"/>
                <w:szCs w:val="24"/>
                <w:lang w:eastAsia="zh-CN"/>
              </w:rPr>
            </w:pPr>
            <w:r>
              <w:rPr>
                <w:rFonts w:hint="eastAsia"/>
                <w:sz w:val="24"/>
                <w:szCs w:val="24"/>
                <w:lang w:eastAsia="zh-CN"/>
              </w:rPr>
              <w:t>物料泄露</w:t>
            </w:r>
            <w:r>
              <w:rPr>
                <w:rFonts w:hint="eastAsia" w:ascii="Times New Roman" w:hAnsi="Times New Roman"/>
                <w:sz w:val="24"/>
                <w:szCs w:val="24"/>
              </w:rPr>
              <w:t>、火灾、爆炸</w:t>
            </w:r>
          </w:p>
        </w:tc>
        <w:tc>
          <w:tcPr>
            <w:tcW w:w="2552" w:type="dxa"/>
            <w:shd w:val="clear" w:color="auto" w:fill="auto"/>
            <w:noWrap w:val="0"/>
            <w:vAlign w:val="center"/>
          </w:tcPr>
          <w:p>
            <w:pPr>
              <w:spacing w:line="240" w:lineRule="auto"/>
              <w:jc w:val="center"/>
              <w:rPr>
                <w:rFonts w:hint="default" w:ascii="Times New Roman" w:hAnsi="Times New Roman" w:eastAsia="宋体"/>
                <w:sz w:val="24"/>
                <w:szCs w:val="24"/>
                <w:lang w:val="en-US" w:eastAsia="zh-CN"/>
              </w:rPr>
            </w:pPr>
            <w:r>
              <w:rPr>
                <w:rFonts w:hint="eastAsia"/>
                <w:sz w:val="24"/>
                <w:szCs w:val="24"/>
                <w:lang w:eastAsia="zh-CN"/>
              </w:rPr>
              <w:t>沼气、脱硫剂等</w:t>
            </w:r>
          </w:p>
        </w:tc>
        <w:tc>
          <w:tcPr>
            <w:tcW w:w="1895" w:type="dxa"/>
            <w:shd w:val="clear" w:color="auto" w:fill="auto"/>
            <w:noWrap w:val="0"/>
            <w:vAlign w:val="center"/>
          </w:tcPr>
          <w:p>
            <w:pPr>
              <w:spacing w:line="240" w:lineRule="auto"/>
              <w:jc w:val="center"/>
              <w:rPr>
                <w:rFonts w:hint="eastAsia" w:ascii="Times New Roman" w:hAnsi="Times New Roman" w:eastAsia="宋体"/>
                <w:sz w:val="24"/>
                <w:szCs w:val="24"/>
                <w:lang w:eastAsia="zh-CN"/>
              </w:rPr>
            </w:pPr>
            <w:r>
              <w:rPr>
                <w:rFonts w:hint="eastAsia"/>
                <w:sz w:val="24"/>
                <w:szCs w:val="24"/>
                <w:lang w:eastAsia="zh-CN"/>
              </w:rPr>
              <w:t>废气、</w:t>
            </w:r>
            <w:r>
              <w:rPr>
                <w:rFonts w:hint="eastAsia" w:ascii="Times New Roman" w:hAnsi="Times New Roman"/>
                <w:sz w:val="24"/>
                <w:szCs w:val="24"/>
              </w:rPr>
              <w:t>事故污水、消防废水等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002" w:hRule="atLeast"/>
          <w:jc w:val="center"/>
        </w:trPr>
        <w:tc>
          <w:tcPr>
            <w:tcW w:w="696" w:type="dxa"/>
            <w:shd w:val="clear" w:color="auto" w:fill="auto"/>
            <w:noWrap w:val="0"/>
            <w:vAlign w:val="center"/>
          </w:tcPr>
          <w:p>
            <w:pPr>
              <w:spacing w:line="240" w:lineRule="auto"/>
              <w:jc w:val="center"/>
              <w:rPr>
                <w:rFonts w:hint="eastAsia" w:ascii="Times New Roman" w:hAnsi="Times New Roman" w:eastAsia="宋体"/>
                <w:sz w:val="24"/>
                <w:szCs w:val="24"/>
                <w:lang w:val="en-US" w:eastAsia="zh-CN"/>
              </w:rPr>
            </w:pPr>
            <w:r>
              <w:rPr>
                <w:rFonts w:hint="eastAsia"/>
                <w:sz w:val="24"/>
                <w:szCs w:val="24"/>
                <w:lang w:val="en-US" w:eastAsia="zh-CN"/>
              </w:rPr>
              <w:t>5</w:t>
            </w:r>
          </w:p>
        </w:tc>
        <w:tc>
          <w:tcPr>
            <w:tcW w:w="1519" w:type="dxa"/>
            <w:shd w:val="clear" w:color="auto" w:fill="auto"/>
            <w:noWrap w:val="0"/>
            <w:vAlign w:val="center"/>
          </w:tcPr>
          <w:p>
            <w:pPr>
              <w:spacing w:line="240" w:lineRule="auto"/>
              <w:jc w:val="center"/>
              <w:rPr>
                <w:rFonts w:hint="eastAsia"/>
                <w:sz w:val="24"/>
                <w:szCs w:val="24"/>
                <w:lang w:eastAsia="zh-CN"/>
              </w:rPr>
            </w:pPr>
            <w:r>
              <w:rPr>
                <w:rFonts w:hint="eastAsia"/>
                <w:sz w:val="24"/>
                <w:szCs w:val="24"/>
                <w:lang w:eastAsia="zh-CN"/>
              </w:rPr>
              <w:t>板框压滤间、泥棚</w:t>
            </w:r>
          </w:p>
        </w:tc>
        <w:tc>
          <w:tcPr>
            <w:tcW w:w="1843" w:type="dxa"/>
            <w:shd w:val="clear" w:color="auto" w:fill="auto"/>
            <w:noWrap w:val="0"/>
            <w:vAlign w:val="center"/>
          </w:tcPr>
          <w:p>
            <w:pPr>
              <w:spacing w:line="240" w:lineRule="auto"/>
              <w:jc w:val="center"/>
              <w:rPr>
                <w:rFonts w:hint="eastAsia"/>
                <w:sz w:val="24"/>
                <w:szCs w:val="24"/>
                <w:lang w:eastAsia="zh-CN"/>
              </w:rPr>
            </w:pPr>
            <w:r>
              <w:rPr>
                <w:rFonts w:hint="eastAsia"/>
                <w:sz w:val="24"/>
                <w:szCs w:val="24"/>
                <w:lang w:eastAsia="zh-CN"/>
              </w:rPr>
              <w:t>物料泄露</w:t>
            </w:r>
          </w:p>
        </w:tc>
        <w:tc>
          <w:tcPr>
            <w:tcW w:w="2552" w:type="dxa"/>
            <w:shd w:val="clear" w:color="auto" w:fill="auto"/>
            <w:noWrap w:val="0"/>
            <w:vAlign w:val="center"/>
          </w:tcPr>
          <w:p>
            <w:pPr>
              <w:spacing w:line="240" w:lineRule="auto"/>
              <w:jc w:val="center"/>
              <w:rPr>
                <w:rFonts w:hint="eastAsia"/>
                <w:sz w:val="24"/>
                <w:szCs w:val="24"/>
                <w:lang w:eastAsia="zh-CN"/>
              </w:rPr>
            </w:pPr>
            <w:r>
              <w:rPr>
                <w:rFonts w:hint="eastAsia"/>
                <w:sz w:val="24"/>
                <w:szCs w:val="24"/>
                <w:lang w:eastAsia="zh-CN"/>
              </w:rPr>
              <w:t>沼渣、沼液</w:t>
            </w:r>
          </w:p>
        </w:tc>
        <w:tc>
          <w:tcPr>
            <w:tcW w:w="1895" w:type="dxa"/>
            <w:shd w:val="clear" w:color="auto" w:fill="auto"/>
            <w:noWrap w:val="0"/>
            <w:vAlign w:val="center"/>
          </w:tcPr>
          <w:p>
            <w:pPr>
              <w:spacing w:line="240" w:lineRule="auto"/>
              <w:jc w:val="center"/>
              <w:rPr>
                <w:rFonts w:hint="eastAsia"/>
                <w:sz w:val="24"/>
                <w:szCs w:val="24"/>
                <w:lang w:eastAsia="zh-CN"/>
              </w:rPr>
            </w:pPr>
            <w:r>
              <w:rPr>
                <w:rFonts w:hint="eastAsia"/>
                <w:sz w:val="24"/>
                <w:szCs w:val="24"/>
                <w:lang w:eastAsia="zh-CN"/>
              </w:rPr>
              <w:t>废气、</w:t>
            </w:r>
            <w:r>
              <w:rPr>
                <w:rFonts w:hint="eastAsia" w:ascii="Times New Roman" w:hAnsi="Times New Roman"/>
                <w:sz w:val="24"/>
                <w:szCs w:val="24"/>
              </w:rPr>
              <w:t>事故污水等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000" w:hRule="atLeast"/>
          <w:jc w:val="center"/>
        </w:trPr>
        <w:tc>
          <w:tcPr>
            <w:tcW w:w="696" w:type="dxa"/>
            <w:shd w:val="clear" w:color="auto" w:fill="auto"/>
            <w:noWrap w:val="0"/>
            <w:vAlign w:val="center"/>
          </w:tcPr>
          <w:p>
            <w:pPr>
              <w:spacing w:line="240" w:lineRule="auto"/>
              <w:jc w:val="center"/>
              <w:rPr>
                <w:rFonts w:ascii="Times New Roman" w:hAnsi="Times New Roman"/>
                <w:sz w:val="24"/>
                <w:szCs w:val="24"/>
              </w:rPr>
            </w:pPr>
            <w:r>
              <w:rPr>
                <w:rFonts w:hint="eastAsia" w:ascii="Times New Roman" w:hAnsi="Times New Roman"/>
                <w:sz w:val="24"/>
                <w:szCs w:val="24"/>
              </w:rPr>
              <w:t>5</w:t>
            </w:r>
          </w:p>
        </w:tc>
        <w:tc>
          <w:tcPr>
            <w:tcW w:w="1519" w:type="dxa"/>
            <w:shd w:val="clear" w:color="auto" w:fill="auto"/>
            <w:noWrap w:val="0"/>
            <w:vAlign w:val="center"/>
          </w:tcPr>
          <w:p>
            <w:pPr>
              <w:spacing w:line="240" w:lineRule="auto"/>
              <w:jc w:val="center"/>
              <w:rPr>
                <w:rFonts w:hint="eastAsia" w:ascii="Times New Roman" w:hAnsi="Times New Roman" w:eastAsia="宋体"/>
                <w:sz w:val="24"/>
                <w:szCs w:val="24"/>
                <w:lang w:eastAsia="zh-CN"/>
              </w:rPr>
            </w:pPr>
            <w:r>
              <w:rPr>
                <w:rFonts w:hint="eastAsia"/>
                <w:sz w:val="24"/>
                <w:szCs w:val="24"/>
                <w:lang w:eastAsia="zh-CN"/>
              </w:rPr>
              <w:t>废气处理设施</w:t>
            </w:r>
          </w:p>
        </w:tc>
        <w:tc>
          <w:tcPr>
            <w:tcW w:w="1843" w:type="dxa"/>
            <w:shd w:val="clear" w:color="auto" w:fill="auto"/>
            <w:noWrap w:val="0"/>
            <w:vAlign w:val="center"/>
          </w:tcPr>
          <w:p>
            <w:pPr>
              <w:spacing w:line="240" w:lineRule="auto"/>
              <w:jc w:val="center"/>
              <w:rPr>
                <w:rFonts w:hint="eastAsia" w:ascii="Times New Roman" w:hAnsi="Times New Roman" w:eastAsia="宋体"/>
                <w:sz w:val="24"/>
                <w:szCs w:val="24"/>
                <w:lang w:eastAsia="zh-CN"/>
              </w:rPr>
            </w:pPr>
            <w:r>
              <w:rPr>
                <w:rFonts w:hint="eastAsia"/>
                <w:sz w:val="24"/>
                <w:szCs w:val="24"/>
                <w:lang w:eastAsia="zh-CN"/>
              </w:rPr>
              <w:t>废气事故排放</w:t>
            </w:r>
          </w:p>
        </w:tc>
        <w:tc>
          <w:tcPr>
            <w:tcW w:w="2552" w:type="dxa"/>
            <w:shd w:val="clear" w:color="auto" w:fill="auto"/>
            <w:noWrap w:val="0"/>
            <w:vAlign w:val="center"/>
          </w:tcPr>
          <w:p>
            <w:pPr>
              <w:spacing w:line="240" w:lineRule="auto"/>
              <w:jc w:val="center"/>
              <w:rPr>
                <w:rFonts w:hint="eastAsia" w:ascii="Times New Roman" w:hAnsi="Times New Roman" w:eastAsia="宋体"/>
                <w:sz w:val="24"/>
                <w:szCs w:val="24"/>
                <w:lang w:eastAsia="zh-CN"/>
              </w:rPr>
            </w:pPr>
            <w:r>
              <w:rPr>
                <w:rFonts w:hint="eastAsia"/>
                <w:sz w:val="24"/>
                <w:szCs w:val="24"/>
                <w:lang w:eastAsia="zh-CN"/>
              </w:rPr>
              <w:t>恶臭气体等</w:t>
            </w:r>
          </w:p>
        </w:tc>
        <w:tc>
          <w:tcPr>
            <w:tcW w:w="1895" w:type="dxa"/>
            <w:shd w:val="clear" w:color="auto" w:fill="auto"/>
            <w:noWrap w:val="0"/>
            <w:vAlign w:val="center"/>
          </w:tcPr>
          <w:p>
            <w:pPr>
              <w:spacing w:line="240" w:lineRule="auto"/>
              <w:jc w:val="center"/>
              <w:rPr>
                <w:rFonts w:hint="eastAsia" w:ascii="Times New Roman" w:hAnsi="Times New Roman" w:eastAsia="宋体"/>
                <w:sz w:val="24"/>
                <w:szCs w:val="24"/>
                <w:lang w:eastAsia="zh-CN"/>
              </w:rPr>
            </w:pPr>
            <w:r>
              <w:rPr>
                <w:rFonts w:hint="eastAsia"/>
                <w:sz w:val="24"/>
                <w:szCs w:val="24"/>
                <w:lang w:eastAsia="zh-CN"/>
              </w:rPr>
              <w:t>废气等污染物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116" w:hRule="atLeast"/>
          <w:jc w:val="center"/>
        </w:trPr>
        <w:tc>
          <w:tcPr>
            <w:tcW w:w="696" w:type="dxa"/>
            <w:shd w:val="clear" w:color="auto" w:fill="auto"/>
            <w:noWrap w:val="0"/>
            <w:vAlign w:val="center"/>
          </w:tcPr>
          <w:p>
            <w:pPr>
              <w:spacing w:line="240" w:lineRule="auto"/>
              <w:jc w:val="center"/>
              <w:rPr>
                <w:rFonts w:hint="eastAsia" w:ascii="Times New Roman" w:hAnsi="Times New Roman"/>
                <w:sz w:val="24"/>
                <w:szCs w:val="24"/>
              </w:rPr>
            </w:pPr>
            <w:r>
              <w:rPr>
                <w:rFonts w:hint="eastAsia" w:ascii="Times New Roman" w:hAnsi="Times New Roman"/>
                <w:sz w:val="24"/>
                <w:szCs w:val="24"/>
              </w:rPr>
              <w:t>6</w:t>
            </w:r>
          </w:p>
        </w:tc>
        <w:tc>
          <w:tcPr>
            <w:tcW w:w="1519" w:type="dxa"/>
            <w:shd w:val="clear" w:color="auto" w:fill="auto"/>
            <w:noWrap w:val="0"/>
            <w:vAlign w:val="center"/>
          </w:tcPr>
          <w:p>
            <w:pPr>
              <w:spacing w:line="240" w:lineRule="auto"/>
              <w:jc w:val="center"/>
              <w:rPr>
                <w:rFonts w:hint="eastAsia" w:ascii="Times New Roman" w:hAnsi="Times New Roman" w:eastAsia="宋体"/>
                <w:sz w:val="24"/>
                <w:szCs w:val="24"/>
                <w:lang w:eastAsia="zh-CN"/>
              </w:rPr>
            </w:pPr>
            <w:r>
              <w:rPr>
                <w:rFonts w:hint="eastAsia" w:ascii="Times New Roman" w:hAnsi="Times New Roman"/>
                <w:sz w:val="24"/>
                <w:szCs w:val="24"/>
              </w:rPr>
              <w:t>危险废物</w:t>
            </w:r>
            <w:r>
              <w:rPr>
                <w:rFonts w:hint="eastAsia"/>
                <w:sz w:val="24"/>
                <w:szCs w:val="24"/>
                <w:lang w:eastAsia="zh-CN"/>
              </w:rPr>
              <w:t>仓库</w:t>
            </w:r>
          </w:p>
        </w:tc>
        <w:tc>
          <w:tcPr>
            <w:tcW w:w="1843" w:type="dxa"/>
            <w:shd w:val="clear" w:color="auto" w:fill="auto"/>
            <w:noWrap w:val="0"/>
            <w:vAlign w:val="center"/>
          </w:tcPr>
          <w:p>
            <w:pPr>
              <w:spacing w:line="240" w:lineRule="auto"/>
              <w:jc w:val="center"/>
              <w:rPr>
                <w:rFonts w:hint="eastAsia" w:ascii="Times New Roman" w:hAnsi="Times New Roman"/>
                <w:sz w:val="24"/>
                <w:szCs w:val="24"/>
              </w:rPr>
            </w:pPr>
            <w:r>
              <w:rPr>
                <w:rFonts w:hint="eastAsia"/>
                <w:sz w:val="24"/>
                <w:szCs w:val="24"/>
                <w:lang w:eastAsia="zh-CN"/>
              </w:rPr>
              <w:t>危险物质泄露</w:t>
            </w:r>
            <w:r>
              <w:rPr>
                <w:rFonts w:hint="eastAsia" w:ascii="Times New Roman" w:hAnsi="Times New Roman"/>
                <w:sz w:val="24"/>
                <w:szCs w:val="24"/>
              </w:rPr>
              <w:t>、火灾</w:t>
            </w:r>
          </w:p>
        </w:tc>
        <w:tc>
          <w:tcPr>
            <w:tcW w:w="2552" w:type="dxa"/>
            <w:shd w:val="clear" w:color="auto" w:fill="auto"/>
            <w:noWrap w:val="0"/>
            <w:vAlign w:val="center"/>
          </w:tcPr>
          <w:p>
            <w:pPr>
              <w:spacing w:line="240" w:lineRule="auto"/>
              <w:jc w:val="center"/>
              <w:rPr>
                <w:rFonts w:hint="eastAsia" w:ascii="Times New Roman" w:hAnsi="Times New Roman"/>
                <w:sz w:val="24"/>
                <w:szCs w:val="24"/>
              </w:rPr>
            </w:pPr>
            <w:r>
              <w:rPr>
                <w:rFonts w:hint="eastAsia" w:ascii="Times New Roman" w:hAnsi="Times New Roman"/>
                <w:sz w:val="24"/>
                <w:szCs w:val="24"/>
              </w:rPr>
              <w:t>废矿物油</w:t>
            </w:r>
            <w:r>
              <w:rPr>
                <w:rFonts w:hint="eastAsia" w:ascii="Times New Roman" w:hAnsi="Times New Roman"/>
                <w:sz w:val="24"/>
                <w:szCs w:val="24"/>
                <w:lang w:eastAsia="zh-CN"/>
              </w:rPr>
              <w:t>、</w:t>
            </w:r>
            <w:r>
              <w:rPr>
                <w:rFonts w:hint="eastAsia" w:ascii="Times New Roman" w:hAnsi="Times New Roman"/>
                <w:sz w:val="24"/>
                <w:szCs w:val="24"/>
              </w:rPr>
              <w:t>试验废液</w:t>
            </w:r>
            <w:r>
              <w:rPr>
                <w:rFonts w:hint="eastAsia" w:ascii="Times New Roman" w:hAnsi="Times New Roman"/>
                <w:sz w:val="24"/>
                <w:szCs w:val="24"/>
                <w:lang w:eastAsia="zh-CN"/>
              </w:rPr>
              <w:t>、</w:t>
            </w:r>
            <w:r>
              <w:rPr>
                <w:rFonts w:hint="eastAsia" w:ascii="Times New Roman" w:hAnsi="Times New Roman"/>
                <w:sz w:val="24"/>
                <w:szCs w:val="24"/>
              </w:rPr>
              <w:t>废离子交换树脂等</w:t>
            </w:r>
          </w:p>
        </w:tc>
        <w:tc>
          <w:tcPr>
            <w:tcW w:w="1895" w:type="dxa"/>
            <w:shd w:val="clear" w:color="auto" w:fill="auto"/>
            <w:noWrap w:val="0"/>
            <w:vAlign w:val="center"/>
          </w:tcPr>
          <w:p>
            <w:pPr>
              <w:spacing w:line="240" w:lineRule="auto"/>
              <w:jc w:val="center"/>
              <w:rPr>
                <w:rFonts w:ascii="Times New Roman" w:hAnsi="Times New Roman"/>
                <w:sz w:val="24"/>
                <w:szCs w:val="24"/>
              </w:rPr>
            </w:pPr>
            <w:r>
              <w:rPr>
                <w:rFonts w:hint="eastAsia" w:ascii="Times New Roman" w:hAnsi="Times New Roman"/>
                <w:sz w:val="24"/>
                <w:szCs w:val="24"/>
              </w:rPr>
              <w:t>事故污水、消防废水等污染物</w:t>
            </w:r>
          </w:p>
        </w:tc>
      </w:tr>
    </w:tbl>
    <w:p>
      <w:pPr>
        <w:autoSpaceDE w:val="0"/>
        <w:autoSpaceDN w:val="0"/>
        <w:adjustRightInd w:val="0"/>
        <w:spacing w:before="120" w:beforeLines="50" w:line="360" w:lineRule="auto"/>
        <w:ind w:firstLine="552" w:firstLineChars="200"/>
        <w:jc w:val="left"/>
        <w:rPr>
          <w:rFonts w:hint="eastAsia"/>
          <w:szCs w:val="28"/>
        </w:rPr>
        <w:sectPr>
          <w:pgSz w:w="11906" w:h="16838"/>
          <w:pgMar w:top="1418" w:right="1418" w:bottom="1418" w:left="1418" w:header="851" w:footer="959" w:gutter="0"/>
          <w:pgBorders>
            <w:top w:val="none" w:sz="0" w:space="0"/>
            <w:left w:val="none" w:sz="0" w:space="0"/>
            <w:bottom w:val="none" w:sz="0" w:space="0"/>
            <w:right w:val="none" w:sz="0" w:space="0"/>
          </w:pgBorders>
          <w:pgNumType w:fmt="decimal"/>
          <w:cols w:space="720" w:num="1"/>
          <w:docGrid w:linePitch="381" w:charSpace="0"/>
        </w:sectPr>
      </w:pPr>
    </w:p>
    <w:p>
      <w:pPr>
        <w:autoSpaceDE w:val="0"/>
        <w:autoSpaceDN w:val="0"/>
        <w:adjustRightInd w:val="0"/>
        <w:spacing w:before="120" w:beforeLines="50" w:line="360" w:lineRule="auto"/>
        <w:ind w:firstLine="552" w:firstLineChars="200"/>
        <w:jc w:val="center"/>
        <w:rPr>
          <w:rFonts w:hint="eastAsia"/>
          <w:szCs w:val="28"/>
        </w:rPr>
        <w:sectPr>
          <w:pgSz w:w="16783" w:h="11850" w:orient="landscape"/>
          <w:pgMar w:top="1418" w:right="1418" w:bottom="1418" w:left="1418" w:header="851" w:footer="959" w:gutter="0"/>
          <w:pgBorders>
            <w:top w:val="none" w:sz="0" w:space="0"/>
            <w:left w:val="none" w:sz="0" w:space="0"/>
            <w:bottom w:val="none" w:sz="0" w:space="0"/>
            <w:right w:val="none" w:sz="0" w:space="0"/>
          </w:pgBorders>
          <w:pgNumType w:fmt="decimal"/>
          <w:cols w:space="720" w:num="1"/>
          <w:docGrid w:linePitch="381" w:charSpace="0"/>
        </w:sectPr>
      </w:pPr>
      <w:r>
        <w:drawing>
          <wp:inline distT="0" distB="0" distL="114300" distR="114300">
            <wp:extent cx="7686675" cy="5723255"/>
            <wp:effectExtent l="0" t="0" r="9525" b="10795"/>
            <wp:docPr id="3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
                    <pic:cNvPicPr>
                      <a:picLocks noChangeAspect="1"/>
                    </pic:cNvPicPr>
                  </pic:nvPicPr>
                  <pic:blipFill>
                    <a:blip r:embed="rId29"/>
                    <a:stretch>
                      <a:fillRect/>
                    </a:stretch>
                  </pic:blipFill>
                  <pic:spPr>
                    <a:xfrm>
                      <a:off x="0" y="0"/>
                      <a:ext cx="7686675" cy="5723255"/>
                    </a:xfrm>
                    <a:prstGeom prst="rect">
                      <a:avLst/>
                    </a:prstGeom>
                    <a:noFill/>
                    <a:ln>
                      <a:noFill/>
                    </a:ln>
                  </pic:spPr>
                </pic:pic>
              </a:graphicData>
            </a:graphic>
          </wp:inline>
        </w:drawing>
      </w:r>
    </w:p>
    <w:p>
      <w:pPr>
        <w:pStyle w:val="3"/>
        <w:rPr>
          <w:rFonts w:hint="eastAsia"/>
          <w:lang w:eastAsia="zh-CN"/>
        </w:rPr>
      </w:pPr>
      <w:bookmarkStart w:id="166" w:name="_Toc27934"/>
      <w:r>
        <w:t>3.</w:t>
      </w:r>
      <w:r>
        <w:rPr>
          <w:rFonts w:hint="eastAsia"/>
          <w:lang w:val="en-US" w:eastAsia="zh-CN"/>
        </w:rPr>
        <w:t>4最大可信事故</w:t>
      </w:r>
      <w:bookmarkEnd w:id="166"/>
    </w:p>
    <w:p>
      <w:pPr>
        <w:autoSpaceDE w:val="0"/>
        <w:autoSpaceDN w:val="0"/>
        <w:adjustRightInd w:val="0"/>
        <w:spacing w:before="120" w:beforeLines="50" w:line="360" w:lineRule="auto"/>
        <w:ind w:firstLine="552" w:firstLineChars="200"/>
        <w:jc w:val="left"/>
        <w:rPr>
          <w:rFonts w:hint="eastAsia"/>
          <w:szCs w:val="28"/>
        </w:rPr>
      </w:pPr>
      <w:r>
        <w:rPr>
          <w:rFonts w:hint="eastAsia"/>
          <w:szCs w:val="28"/>
          <w:lang w:eastAsia="zh-CN"/>
        </w:rPr>
        <w:t>物料的装卸、贮存、生产过程中都有发生泄漏的可能。另外，在装卸、贮存、生产过程中也有发生泄漏、进而发生火灾、爆炸的可能，造成人员伤亡、财产损失和环境污染事故</w:t>
      </w:r>
      <w:r>
        <w:rPr>
          <w:rFonts w:hint="eastAsia"/>
          <w:szCs w:val="28"/>
        </w:rPr>
        <w:t>，其后果是直接对周围环境和人体健康产生较大危害</w:t>
      </w:r>
      <w:r>
        <w:rPr>
          <w:rFonts w:hint="eastAsia"/>
          <w:szCs w:val="28"/>
          <w:lang w:eastAsia="zh-CN"/>
        </w:rPr>
        <w:t>；根据对项目使用原料、产生污染物的分析，项目主要危险物质为厌氧消化过程中产生的沼气。沼气燃爆特性为易燃，毒性为 LC50：50000 ppm/2 小时（小鼠吸入），危害性质判定结果为易燃性，生产过程中存在燃爆、泄漏等风险隐患，火场排放辛辣刺激烟雾，有窒息性。因此</w:t>
      </w:r>
      <w:r>
        <w:rPr>
          <w:rFonts w:hint="eastAsia"/>
          <w:szCs w:val="28"/>
        </w:rPr>
        <w:t>将</w:t>
      </w:r>
      <w:r>
        <w:rPr>
          <w:rFonts w:hint="eastAsia"/>
          <w:szCs w:val="28"/>
          <w:lang w:eastAsia="zh-CN"/>
        </w:rPr>
        <w:t>沼气储罐燃爆</w:t>
      </w:r>
      <w:r>
        <w:rPr>
          <w:rFonts w:hint="eastAsia"/>
          <w:szCs w:val="28"/>
        </w:rPr>
        <w:t>泄漏事故作为最大可信事故。</w:t>
      </w:r>
    </w:p>
    <w:p>
      <w:pPr>
        <w:autoSpaceDE w:val="0"/>
        <w:autoSpaceDN w:val="0"/>
        <w:adjustRightInd w:val="0"/>
        <w:spacing w:before="120" w:beforeLines="50" w:line="360" w:lineRule="auto"/>
        <w:ind w:firstLine="554" w:firstLineChars="200"/>
        <w:jc w:val="left"/>
        <w:rPr>
          <w:rFonts w:hint="eastAsia" w:eastAsia="宋体"/>
          <w:b/>
          <w:bCs/>
          <w:szCs w:val="28"/>
          <w:lang w:eastAsia="zh-CN"/>
        </w:rPr>
      </w:pPr>
      <w:r>
        <w:rPr>
          <w:rFonts w:hint="eastAsia"/>
          <w:b/>
          <w:bCs/>
          <w:szCs w:val="28"/>
          <w:lang w:eastAsia="zh-CN"/>
        </w:rPr>
        <w:t>（一）沼气泄露</w:t>
      </w:r>
    </w:p>
    <w:p>
      <w:pPr>
        <w:autoSpaceDE w:val="0"/>
        <w:autoSpaceDN w:val="0"/>
        <w:adjustRightInd w:val="0"/>
        <w:spacing w:before="120" w:beforeLines="50" w:line="360" w:lineRule="auto"/>
        <w:ind w:firstLine="621" w:firstLineChars="225"/>
        <w:jc w:val="left"/>
        <w:rPr>
          <w:szCs w:val="28"/>
        </w:rPr>
      </w:pPr>
      <w:r>
        <w:rPr>
          <w:rFonts w:hint="eastAsia"/>
          <w:szCs w:val="28"/>
          <w:lang w:eastAsia="zh-CN"/>
        </w:rPr>
        <w:t>沼气在输送、储存和使用</w:t>
      </w:r>
      <w:r>
        <w:rPr>
          <w:szCs w:val="28"/>
        </w:rPr>
        <w:t>等各个生产环节中，均可能发生泄露等风险事故，</w:t>
      </w:r>
      <w:r>
        <w:rPr>
          <w:rFonts w:hint="eastAsia"/>
          <w:szCs w:val="28"/>
          <w:lang w:eastAsia="zh-CN"/>
        </w:rPr>
        <w:t>进而可能会引起火灾爆炸事故，火灾爆炸或泄漏事故中的次生危险包括物质燃烧产物及不完全燃烧形成的 CO烟雾或其它中间产物往往具有毒物特性，形成与毒物泄漏同样后果的次生环境污染事故，或泄露进入外环境。</w:t>
      </w:r>
    </w:p>
    <w:p>
      <w:pPr>
        <w:pStyle w:val="169"/>
        <w:ind w:firstLine="562"/>
        <w:rPr>
          <w:rFonts w:hint="eastAsia" w:eastAsia="宋体" w:cs="Times New Roman"/>
          <w:b/>
          <w:sz w:val="28"/>
          <w:szCs w:val="28"/>
        </w:rPr>
      </w:pPr>
      <w:r>
        <w:rPr>
          <w:rFonts w:hint="eastAsia" w:eastAsia="宋体" w:cs="Times New Roman"/>
          <w:b/>
          <w:sz w:val="28"/>
          <w:szCs w:val="28"/>
        </w:rPr>
        <w:t>（1）</w:t>
      </w:r>
      <w:r>
        <w:rPr>
          <w:rFonts w:hint="eastAsia" w:eastAsia="宋体" w:cs="Times New Roman"/>
          <w:b/>
          <w:sz w:val="28"/>
          <w:szCs w:val="28"/>
          <w:lang w:eastAsia="zh-CN"/>
        </w:rPr>
        <w:t>事故</w:t>
      </w:r>
      <w:r>
        <w:rPr>
          <w:rFonts w:hint="eastAsia" w:eastAsia="宋体" w:cs="Times New Roman"/>
          <w:b/>
          <w:sz w:val="28"/>
          <w:szCs w:val="28"/>
        </w:rPr>
        <w:t>概率</w:t>
      </w:r>
    </w:p>
    <w:p>
      <w:pPr>
        <w:pStyle w:val="169"/>
        <w:ind w:firstLine="560"/>
        <w:rPr>
          <w:rFonts w:hint="eastAsia" w:eastAsia="宋体" w:cs="Times New Roman"/>
          <w:b/>
          <w:sz w:val="28"/>
          <w:szCs w:val="28"/>
        </w:rPr>
      </w:pPr>
      <w:r>
        <w:rPr>
          <w:rFonts w:hint="eastAsia" w:eastAsia="宋体" w:cs="Times New Roman"/>
          <w:sz w:val="28"/>
          <w:szCs w:val="28"/>
        </w:rPr>
        <w:t>事故概率调查 据有关资料，化工企业主要类型及发生泄漏概率如下表</w:t>
      </w:r>
      <w:r>
        <w:rPr>
          <w:rFonts w:hint="eastAsia" w:eastAsia="宋体" w:cs="Times New Roman"/>
          <w:b/>
          <w:sz w:val="28"/>
          <w:szCs w:val="28"/>
        </w:rPr>
        <w:t>。</w:t>
      </w:r>
    </w:p>
    <w:p>
      <w:pPr>
        <w:pStyle w:val="169"/>
        <w:spacing w:before="156" w:beforeLines="50" w:line="240" w:lineRule="auto"/>
        <w:ind w:firstLine="0" w:firstLineChars="0"/>
        <w:jc w:val="center"/>
        <w:rPr>
          <w:rFonts w:hint="eastAsia" w:eastAsia="宋体" w:cs="Times New Roman"/>
          <w:b/>
          <w:szCs w:val="24"/>
        </w:rPr>
      </w:pPr>
      <w:r>
        <w:rPr>
          <w:rFonts w:hint="eastAsia" w:eastAsia="宋体" w:cs="Times New Roman"/>
          <w:b/>
          <w:szCs w:val="24"/>
        </w:rPr>
        <w:t>表3-</w:t>
      </w:r>
      <w:r>
        <w:rPr>
          <w:rFonts w:hint="eastAsia" w:eastAsia="宋体" w:cs="Times New Roman"/>
          <w:b/>
          <w:szCs w:val="24"/>
          <w:lang w:val="en-US" w:eastAsia="zh-CN"/>
        </w:rPr>
        <w:t>5</w:t>
      </w:r>
      <w:r>
        <w:rPr>
          <w:rFonts w:hint="eastAsia" w:eastAsia="宋体" w:cs="Times New Roman"/>
          <w:b/>
          <w:szCs w:val="24"/>
        </w:rPr>
        <w:t xml:space="preserve"> </w:t>
      </w:r>
      <w:r>
        <w:rPr>
          <w:rFonts w:ascii="宋体" w:hAnsi="宋体" w:eastAsia="宋体" w:cs="宋体"/>
          <w:b/>
          <w:bCs/>
          <w:sz w:val="21"/>
          <w:szCs w:val="21"/>
        </w:rPr>
        <w:t>化工企业主要事故发生概率统计表</w:t>
      </w:r>
    </w:p>
    <w:tbl>
      <w:tblPr>
        <w:tblStyle w:val="42"/>
        <w:tblW w:w="8793" w:type="dxa"/>
        <w:tblInd w:w="220" w:type="dxa"/>
        <w:tblLayout w:type="fixed"/>
        <w:tblCellMar>
          <w:top w:w="0" w:type="dxa"/>
          <w:left w:w="0" w:type="dxa"/>
          <w:bottom w:w="0" w:type="dxa"/>
          <w:right w:w="0" w:type="dxa"/>
        </w:tblCellMar>
      </w:tblPr>
      <w:tblGrid>
        <w:gridCol w:w="3428"/>
        <w:gridCol w:w="2434"/>
        <w:gridCol w:w="2931"/>
      </w:tblGrid>
      <w:tr>
        <w:tblPrEx>
          <w:tblLayout w:type="fixed"/>
          <w:tblCellMar>
            <w:top w:w="0" w:type="dxa"/>
            <w:left w:w="0" w:type="dxa"/>
            <w:bottom w:w="0" w:type="dxa"/>
            <w:right w:w="0" w:type="dxa"/>
          </w:tblCellMar>
        </w:tblPrEx>
        <w:trPr>
          <w:trHeight w:val="295" w:hRule="exact"/>
        </w:trPr>
        <w:tc>
          <w:tcPr>
            <w:tcW w:w="3428" w:type="dxa"/>
            <w:tcBorders>
              <w:top w:val="single" w:color="000000" w:sz="4" w:space="0"/>
              <w:left w:val="single" w:color="000000" w:sz="4" w:space="0"/>
              <w:bottom w:val="single" w:color="000000" w:sz="4" w:space="0"/>
              <w:right w:val="single" w:color="000000" w:sz="4" w:space="0"/>
            </w:tcBorders>
          </w:tcPr>
          <w:p>
            <w:pPr>
              <w:adjustRightInd w:val="0"/>
              <w:snapToGrid w:val="0"/>
              <w:spacing w:line="360" w:lineRule="auto"/>
              <w:jc w:val="center"/>
              <w:rPr>
                <w:rFonts w:ascii="Times New Roman" w:hAnsi="Times New Roman"/>
                <w:b/>
                <w:bCs/>
                <w:sz w:val="24"/>
                <w:szCs w:val="24"/>
              </w:rPr>
            </w:pPr>
            <w:r>
              <w:rPr>
                <w:rFonts w:ascii="Times New Roman" w:hAnsi="Times New Roman"/>
                <w:b/>
                <w:bCs/>
                <w:sz w:val="24"/>
                <w:szCs w:val="24"/>
              </w:rPr>
              <w:t>事故名称</w:t>
            </w:r>
          </w:p>
        </w:tc>
        <w:tc>
          <w:tcPr>
            <w:tcW w:w="2434" w:type="dxa"/>
            <w:tcBorders>
              <w:top w:val="single" w:color="000000" w:sz="4" w:space="0"/>
              <w:left w:val="single" w:color="000000" w:sz="4" w:space="0"/>
              <w:bottom w:val="single" w:color="000000" w:sz="4" w:space="0"/>
              <w:right w:val="single" w:color="000000" w:sz="4" w:space="0"/>
            </w:tcBorders>
          </w:tcPr>
          <w:p>
            <w:pPr>
              <w:adjustRightInd w:val="0"/>
              <w:snapToGrid w:val="0"/>
              <w:spacing w:line="360" w:lineRule="auto"/>
              <w:jc w:val="center"/>
              <w:rPr>
                <w:rFonts w:ascii="Times New Roman" w:hAnsi="Times New Roman"/>
                <w:b/>
                <w:bCs/>
                <w:sz w:val="24"/>
                <w:szCs w:val="24"/>
              </w:rPr>
            </w:pPr>
            <w:r>
              <w:rPr>
                <w:rFonts w:ascii="Times New Roman" w:hAnsi="Times New Roman"/>
                <w:b/>
                <w:bCs/>
                <w:sz w:val="24"/>
                <w:szCs w:val="24"/>
              </w:rPr>
              <w:t>发生概率（次/年）</w:t>
            </w:r>
          </w:p>
        </w:tc>
        <w:tc>
          <w:tcPr>
            <w:tcW w:w="2931" w:type="dxa"/>
            <w:tcBorders>
              <w:top w:val="single" w:color="000000" w:sz="4" w:space="0"/>
              <w:left w:val="single" w:color="000000" w:sz="4" w:space="0"/>
              <w:bottom w:val="single" w:color="000000" w:sz="4" w:space="0"/>
              <w:right w:val="single" w:color="000000" w:sz="4" w:space="0"/>
            </w:tcBorders>
          </w:tcPr>
          <w:p>
            <w:pPr>
              <w:adjustRightInd w:val="0"/>
              <w:snapToGrid w:val="0"/>
              <w:spacing w:line="360" w:lineRule="auto"/>
              <w:jc w:val="center"/>
              <w:rPr>
                <w:rFonts w:ascii="Times New Roman" w:hAnsi="Times New Roman"/>
                <w:b/>
                <w:bCs/>
                <w:sz w:val="24"/>
                <w:szCs w:val="24"/>
              </w:rPr>
            </w:pPr>
            <w:r>
              <w:rPr>
                <w:rFonts w:ascii="Times New Roman" w:hAnsi="Times New Roman"/>
                <w:b/>
                <w:bCs/>
                <w:sz w:val="24"/>
                <w:szCs w:val="24"/>
              </w:rPr>
              <w:t>备注</w:t>
            </w:r>
          </w:p>
        </w:tc>
      </w:tr>
      <w:tr>
        <w:tblPrEx>
          <w:tblLayout w:type="fixed"/>
          <w:tblCellMar>
            <w:top w:w="0" w:type="dxa"/>
            <w:left w:w="0" w:type="dxa"/>
            <w:bottom w:w="0" w:type="dxa"/>
            <w:right w:w="0" w:type="dxa"/>
          </w:tblCellMar>
        </w:tblPrEx>
        <w:trPr>
          <w:trHeight w:val="293" w:hRule="exact"/>
        </w:trPr>
        <w:tc>
          <w:tcPr>
            <w:tcW w:w="3428" w:type="dxa"/>
            <w:tcBorders>
              <w:top w:val="single" w:color="000000" w:sz="4" w:space="0"/>
              <w:left w:val="single" w:color="000000" w:sz="4" w:space="0"/>
              <w:bottom w:val="single" w:color="000000" w:sz="4" w:space="0"/>
              <w:right w:val="single" w:color="000000" w:sz="4" w:space="0"/>
            </w:tcBorders>
          </w:tcPr>
          <w:p>
            <w:pPr>
              <w:adjustRightInd w:val="0"/>
              <w:snapToGrid w:val="0"/>
              <w:jc w:val="center"/>
              <w:rPr>
                <w:rFonts w:ascii="Times New Roman" w:hAnsi="Times New Roman"/>
                <w:sz w:val="24"/>
                <w:szCs w:val="24"/>
              </w:rPr>
            </w:pPr>
            <w:r>
              <w:rPr>
                <w:rFonts w:ascii="Times New Roman" w:hAnsi="Times New Roman"/>
                <w:sz w:val="24"/>
                <w:szCs w:val="24"/>
              </w:rPr>
              <w:t>管道、输送泵、槽车等损坏泄漏</w:t>
            </w:r>
          </w:p>
        </w:tc>
        <w:tc>
          <w:tcPr>
            <w:tcW w:w="2434" w:type="dxa"/>
            <w:tcBorders>
              <w:top w:val="single" w:color="000000" w:sz="4" w:space="0"/>
              <w:left w:val="single" w:color="000000" w:sz="4" w:space="0"/>
              <w:bottom w:val="single" w:color="000000" w:sz="4" w:space="0"/>
              <w:right w:val="single" w:color="000000" w:sz="4" w:space="0"/>
            </w:tcBorders>
          </w:tcPr>
          <w:p>
            <w:pPr>
              <w:adjustRightInd w:val="0"/>
              <w:snapToGrid w:val="0"/>
              <w:jc w:val="center"/>
              <w:rPr>
                <w:rFonts w:ascii="Times New Roman" w:hAnsi="Times New Roman"/>
                <w:sz w:val="24"/>
                <w:szCs w:val="24"/>
              </w:rPr>
            </w:pPr>
            <w:r>
              <w:rPr>
                <w:rFonts w:ascii="Times New Roman" w:hAnsi="Times New Roman"/>
                <w:sz w:val="24"/>
                <w:szCs w:val="24"/>
              </w:rPr>
              <w:t>10-1</w:t>
            </w:r>
          </w:p>
        </w:tc>
        <w:tc>
          <w:tcPr>
            <w:tcW w:w="2931" w:type="dxa"/>
            <w:tcBorders>
              <w:top w:val="single" w:color="000000" w:sz="4" w:space="0"/>
              <w:left w:val="single" w:color="000000" w:sz="4" w:space="0"/>
              <w:bottom w:val="single" w:color="000000" w:sz="4" w:space="0"/>
              <w:right w:val="single" w:color="000000" w:sz="4" w:space="0"/>
            </w:tcBorders>
          </w:tcPr>
          <w:p>
            <w:pPr>
              <w:adjustRightInd w:val="0"/>
              <w:snapToGrid w:val="0"/>
              <w:jc w:val="center"/>
              <w:rPr>
                <w:rFonts w:ascii="Times New Roman" w:hAnsi="Times New Roman"/>
                <w:sz w:val="24"/>
                <w:szCs w:val="24"/>
              </w:rPr>
            </w:pPr>
            <w:r>
              <w:rPr>
                <w:rFonts w:ascii="Times New Roman" w:hAnsi="Times New Roman"/>
                <w:sz w:val="24"/>
                <w:szCs w:val="24"/>
              </w:rPr>
              <w:t>可能发生</w:t>
            </w:r>
          </w:p>
        </w:tc>
      </w:tr>
      <w:tr>
        <w:tblPrEx>
          <w:tblLayout w:type="fixed"/>
          <w:tblCellMar>
            <w:top w:w="0" w:type="dxa"/>
            <w:left w:w="0" w:type="dxa"/>
            <w:bottom w:w="0" w:type="dxa"/>
            <w:right w:w="0" w:type="dxa"/>
          </w:tblCellMar>
        </w:tblPrEx>
        <w:trPr>
          <w:trHeight w:val="295" w:hRule="exact"/>
        </w:trPr>
        <w:tc>
          <w:tcPr>
            <w:tcW w:w="3428" w:type="dxa"/>
            <w:tcBorders>
              <w:top w:val="single" w:color="000000" w:sz="4" w:space="0"/>
              <w:left w:val="single" w:color="000000" w:sz="4" w:space="0"/>
              <w:bottom w:val="single" w:color="000000" w:sz="4" w:space="0"/>
              <w:right w:val="single" w:color="000000" w:sz="4" w:space="0"/>
            </w:tcBorders>
          </w:tcPr>
          <w:p>
            <w:pPr>
              <w:adjustRightInd w:val="0"/>
              <w:snapToGrid w:val="0"/>
              <w:jc w:val="center"/>
              <w:rPr>
                <w:rFonts w:ascii="Times New Roman" w:hAnsi="Times New Roman"/>
                <w:sz w:val="24"/>
                <w:szCs w:val="24"/>
              </w:rPr>
            </w:pPr>
            <w:r>
              <w:rPr>
                <w:rFonts w:ascii="Times New Roman" w:hAnsi="Times New Roman"/>
                <w:sz w:val="24"/>
                <w:szCs w:val="24"/>
              </w:rPr>
              <w:t>管道、贮槽、反应釜等破损泄漏</w:t>
            </w:r>
          </w:p>
        </w:tc>
        <w:tc>
          <w:tcPr>
            <w:tcW w:w="2434" w:type="dxa"/>
            <w:tcBorders>
              <w:top w:val="single" w:color="000000" w:sz="4" w:space="0"/>
              <w:left w:val="single" w:color="000000" w:sz="4" w:space="0"/>
              <w:bottom w:val="single" w:color="000000" w:sz="4" w:space="0"/>
              <w:right w:val="single" w:color="000000" w:sz="4" w:space="0"/>
            </w:tcBorders>
          </w:tcPr>
          <w:p>
            <w:pPr>
              <w:adjustRightInd w:val="0"/>
              <w:snapToGrid w:val="0"/>
              <w:jc w:val="center"/>
              <w:rPr>
                <w:rFonts w:ascii="Times New Roman" w:hAnsi="Times New Roman"/>
                <w:sz w:val="24"/>
                <w:szCs w:val="24"/>
              </w:rPr>
            </w:pPr>
            <w:r>
              <w:rPr>
                <w:rFonts w:ascii="Times New Roman" w:hAnsi="Times New Roman"/>
                <w:sz w:val="24"/>
                <w:szCs w:val="24"/>
              </w:rPr>
              <w:t>10-2</w:t>
            </w:r>
          </w:p>
        </w:tc>
        <w:tc>
          <w:tcPr>
            <w:tcW w:w="2931" w:type="dxa"/>
            <w:tcBorders>
              <w:top w:val="single" w:color="000000" w:sz="4" w:space="0"/>
              <w:left w:val="single" w:color="000000" w:sz="4" w:space="0"/>
              <w:bottom w:val="single" w:color="000000" w:sz="4" w:space="0"/>
              <w:right w:val="single" w:color="000000" w:sz="4" w:space="0"/>
            </w:tcBorders>
          </w:tcPr>
          <w:p>
            <w:pPr>
              <w:adjustRightInd w:val="0"/>
              <w:snapToGrid w:val="0"/>
              <w:jc w:val="center"/>
              <w:rPr>
                <w:rFonts w:ascii="Times New Roman" w:hAnsi="Times New Roman"/>
                <w:sz w:val="24"/>
                <w:szCs w:val="24"/>
              </w:rPr>
            </w:pPr>
            <w:r>
              <w:rPr>
                <w:rFonts w:ascii="Times New Roman" w:hAnsi="Times New Roman"/>
                <w:sz w:val="24"/>
                <w:szCs w:val="24"/>
              </w:rPr>
              <w:t>偶尔发生</w:t>
            </w:r>
          </w:p>
        </w:tc>
      </w:tr>
      <w:tr>
        <w:tblPrEx>
          <w:tblLayout w:type="fixed"/>
          <w:tblCellMar>
            <w:top w:w="0" w:type="dxa"/>
            <w:left w:w="0" w:type="dxa"/>
            <w:bottom w:w="0" w:type="dxa"/>
            <w:right w:w="0" w:type="dxa"/>
          </w:tblCellMar>
        </w:tblPrEx>
        <w:trPr>
          <w:trHeight w:val="293" w:hRule="exact"/>
        </w:trPr>
        <w:tc>
          <w:tcPr>
            <w:tcW w:w="3428" w:type="dxa"/>
            <w:tcBorders>
              <w:top w:val="single" w:color="000000" w:sz="4" w:space="0"/>
              <w:left w:val="single" w:color="000000" w:sz="4" w:space="0"/>
              <w:bottom w:val="single" w:color="000000" w:sz="4" w:space="0"/>
              <w:right w:val="single" w:color="000000" w:sz="4" w:space="0"/>
            </w:tcBorders>
          </w:tcPr>
          <w:p>
            <w:pPr>
              <w:adjustRightInd w:val="0"/>
              <w:snapToGrid w:val="0"/>
              <w:jc w:val="center"/>
              <w:rPr>
                <w:rFonts w:ascii="Times New Roman" w:hAnsi="Times New Roman"/>
                <w:sz w:val="24"/>
                <w:szCs w:val="24"/>
              </w:rPr>
            </w:pPr>
            <w:r>
              <w:rPr>
                <w:rFonts w:ascii="Times New Roman" w:hAnsi="Times New Roman"/>
                <w:sz w:val="24"/>
                <w:szCs w:val="24"/>
              </w:rPr>
              <w:t>管线、闸门、贮槽等严重泄漏</w:t>
            </w:r>
          </w:p>
        </w:tc>
        <w:tc>
          <w:tcPr>
            <w:tcW w:w="2434" w:type="dxa"/>
            <w:tcBorders>
              <w:top w:val="single" w:color="000000" w:sz="4" w:space="0"/>
              <w:left w:val="single" w:color="000000" w:sz="4" w:space="0"/>
              <w:bottom w:val="single" w:color="000000" w:sz="4" w:space="0"/>
              <w:right w:val="single" w:color="000000" w:sz="4" w:space="0"/>
            </w:tcBorders>
          </w:tcPr>
          <w:p>
            <w:pPr>
              <w:adjustRightInd w:val="0"/>
              <w:snapToGrid w:val="0"/>
              <w:jc w:val="center"/>
              <w:rPr>
                <w:rFonts w:ascii="Times New Roman" w:hAnsi="Times New Roman"/>
                <w:sz w:val="24"/>
                <w:szCs w:val="24"/>
              </w:rPr>
            </w:pPr>
            <w:r>
              <w:rPr>
                <w:rFonts w:ascii="Times New Roman" w:hAnsi="Times New Roman"/>
                <w:sz w:val="24"/>
                <w:szCs w:val="24"/>
              </w:rPr>
              <w:t>10-3</w:t>
            </w:r>
          </w:p>
        </w:tc>
        <w:tc>
          <w:tcPr>
            <w:tcW w:w="2931" w:type="dxa"/>
            <w:tcBorders>
              <w:top w:val="single" w:color="000000" w:sz="4" w:space="0"/>
              <w:left w:val="single" w:color="000000" w:sz="4" w:space="0"/>
              <w:bottom w:val="single" w:color="000000" w:sz="4" w:space="0"/>
              <w:right w:val="single" w:color="000000" w:sz="4" w:space="0"/>
            </w:tcBorders>
          </w:tcPr>
          <w:p>
            <w:pPr>
              <w:adjustRightInd w:val="0"/>
              <w:snapToGrid w:val="0"/>
              <w:jc w:val="center"/>
              <w:rPr>
                <w:rFonts w:ascii="Times New Roman" w:hAnsi="Times New Roman"/>
                <w:sz w:val="24"/>
                <w:szCs w:val="24"/>
              </w:rPr>
            </w:pPr>
            <w:r>
              <w:rPr>
                <w:rFonts w:ascii="Times New Roman" w:hAnsi="Times New Roman"/>
                <w:sz w:val="24"/>
                <w:szCs w:val="24"/>
              </w:rPr>
              <w:t>偶尔发生</w:t>
            </w:r>
          </w:p>
        </w:tc>
      </w:tr>
      <w:tr>
        <w:tblPrEx>
          <w:tblLayout w:type="fixed"/>
          <w:tblCellMar>
            <w:top w:w="0" w:type="dxa"/>
            <w:left w:w="0" w:type="dxa"/>
            <w:bottom w:w="0" w:type="dxa"/>
            <w:right w:w="0" w:type="dxa"/>
          </w:tblCellMar>
        </w:tblPrEx>
        <w:trPr>
          <w:trHeight w:val="295" w:hRule="exact"/>
        </w:trPr>
        <w:tc>
          <w:tcPr>
            <w:tcW w:w="3428" w:type="dxa"/>
            <w:tcBorders>
              <w:top w:val="single" w:color="000000" w:sz="4" w:space="0"/>
              <w:left w:val="single" w:color="000000" w:sz="4" w:space="0"/>
              <w:bottom w:val="single" w:color="000000" w:sz="4" w:space="0"/>
              <w:right w:val="single" w:color="000000" w:sz="4" w:space="0"/>
            </w:tcBorders>
          </w:tcPr>
          <w:p>
            <w:pPr>
              <w:adjustRightInd w:val="0"/>
              <w:snapToGrid w:val="0"/>
              <w:jc w:val="center"/>
              <w:rPr>
                <w:rFonts w:ascii="Times New Roman" w:hAnsi="Times New Roman"/>
                <w:sz w:val="24"/>
                <w:szCs w:val="24"/>
              </w:rPr>
            </w:pPr>
            <w:r>
              <w:rPr>
                <w:rFonts w:ascii="Times New Roman" w:hAnsi="Times New Roman"/>
                <w:sz w:val="24"/>
                <w:szCs w:val="24"/>
              </w:rPr>
              <w:t>贮槽等出现重大爆炸、爆裂</w:t>
            </w:r>
          </w:p>
        </w:tc>
        <w:tc>
          <w:tcPr>
            <w:tcW w:w="2434" w:type="dxa"/>
            <w:tcBorders>
              <w:top w:val="single" w:color="000000" w:sz="4" w:space="0"/>
              <w:left w:val="single" w:color="000000" w:sz="4" w:space="0"/>
              <w:bottom w:val="single" w:color="000000" w:sz="4" w:space="0"/>
              <w:right w:val="single" w:color="000000" w:sz="4" w:space="0"/>
            </w:tcBorders>
          </w:tcPr>
          <w:p>
            <w:pPr>
              <w:adjustRightInd w:val="0"/>
              <w:snapToGrid w:val="0"/>
              <w:jc w:val="center"/>
              <w:rPr>
                <w:rFonts w:ascii="Times New Roman" w:hAnsi="Times New Roman"/>
                <w:sz w:val="24"/>
                <w:szCs w:val="24"/>
              </w:rPr>
            </w:pPr>
            <w:r>
              <w:rPr>
                <w:rFonts w:ascii="Times New Roman" w:hAnsi="Times New Roman"/>
                <w:sz w:val="24"/>
                <w:szCs w:val="24"/>
              </w:rPr>
              <w:t>10-4</w:t>
            </w:r>
          </w:p>
        </w:tc>
        <w:tc>
          <w:tcPr>
            <w:tcW w:w="2931" w:type="dxa"/>
            <w:tcBorders>
              <w:top w:val="single" w:color="000000" w:sz="4" w:space="0"/>
              <w:left w:val="single" w:color="000000" w:sz="4" w:space="0"/>
              <w:bottom w:val="single" w:color="000000" w:sz="4" w:space="0"/>
              <w:right w:val="single" w:color="000000" w:sz="4" w:space="0"/>
            </w:tcBorders>
          </w:tcPr>
          <w:p>
            <w:pPr>
              <w:adjustRightInd w:val="0"/>
              <w:snapToGrid w:val="0"/>
              <w:jc w:val="center"/>
              <w:rPr>
                <w:rFonts w:ascii="Times New Roman" w:hAnsi="Times New Roman"/>
                <w:sz w:val="24"/>
                <w:szCs w:val="24"/>
              </w:rPr>
            </w:pPr>
            <w:r>
              <w:rPr>
                <w:rFonts w:ascii="Times New Roman" w:hAnsi="Times New Roman"/>
                <w:sz w:val="24"/>
                <w:szCs w:val="24"/>
              </w:rPr>
              <w:t>极少发生</w:t>
            </w:r>
          </w:p>
        </w:tc>
      </w:tr>
      <w:tr>
        <w:tblPrEx>
          <w:tblLayout w:type="fixed"/>
          <w:tblCellMar>
            <w:top w:w="0" w:type="dxa"/>
            <w:left w:w="0" w:type="dxa"/>
            <w:bottom w:w="0" w:type="dxa"/>
            <w:right w:w="0" w:type="dxa"/>
          </w:tblCellMar>
        </w:tblPrEx>
        <w:trPr>
          <w:trHeight w:val="293" w:hRule="exact"/>
        </w:trPr>
        <w:tc>
          <w:tcPr>
            <w:tcW w:w="3428" w:type="dxa"/>
            <w:tcBorders>
              <w:top w:val="single" w:color="000000" w:sz="4" w:space="0"/>
              <w:left w:val="single" w:color="000000" w:sz="4" w:space="0"/>
              <w:bottom w:val="single" w:color="000000" w:sz="4" w:space="0"/>
              <w:right w:val="single" w:color="000000" w:sz="4" w:space="0"/>
            </w:tcBorders>
          </w:tcPr>
          <w:p>
            <w:pPr>
              <w:adjustRightInd w:val="0"/>
              <w:snapToGrid w:val="0"/>
              <w:jc w:val="center"/>
              <w:rPr>
                <w:rFonts w:ascii="Times New Roman" w:hAnsi="Times New Roman"/>
                <w:sz w:val="24"/>
                <w:szCs w:val="24"/>
              </w:rPr>
            </w:pPr>
            <w:r>
              <w:rPr>
                <w:rFonts w:ascii="Times New Roman" w:hAnsi="Times New Roman"/>
                <w:sz w:val="24"/>
                <w:szCs w:val="24"/>
              </w:rPr>
              <w:t>重大自然灾害事故</w:t>
            </w:r>
          </w:p>
        </w:tc>
        <w:tc>
          <w:tcPr>
            <w:tcW w:w="2434" w:type="dxa"/>
            <w:tcBorders>
              <w:top w:val="single" w:color="000000" w:sz="4" w:space="0"/>
              <w:left w:val="single" w:color="000000" w:sz="4" w:space="0"/>
              <w:bottom w:val="single" w:color="000000" w:sz="4" w:space="0"/>
              <w:right w:val="single" w:color="000000" w:sz="4" w:space="0"/>
            </w:tcBorders>
          </w:tcPr>
          <w:p>
            <w:pPr>
              <w:adjustRightInd w:val="0"/>
              <w:snapToGrid w:val="0"/>
              <w:jc w:val="center"/>
              <w:rPr>
                <w:rFonts w:ascii="Times New Roman" w:hAnsi="Times New Roman"/>
                <w:sz w:val="24"/>
                <w:szCs w:val="24"/>
              </w:rPr>
            </w:pPr>
            <w:r>
              <w:rPr>
                <w:rFonts w:ascii="Times New Roman" w:hAnsi="Times New Roman"/>
                <w:sz w:val="24"/>
                <w:szCs w:val="24"/>
              </w:rPr>
              <w:t>10-5~10-6</w:t>
            </w:r>
          </w:p>
        </w:tc>
        <w:tc>
          <w:tcPr>
            <w:tcW w:w="2931" w:type="dxa"/>
            <w:tcBorders>
              <w:top w:val="single" w:color="000000" w:sz="4" w:space="0"/>
              <w:left w:val="single" w:color="000000" w:sz="4" w:space="0"/>
              <w:bottom w:val="single" w:color="000000" w:sz="4" w:space="0"/>
              <w:right w:val="single" w:color="000000" w:sz="4" w:space="0"/>
            </w:tcBorders>
          </w:tcPr>
          <w:p>
            <w:pPr>
              <w:adjustRightInd w:val="0"/>
              <w:snapToGrid w:val="0"/>
              <w:jc w:val="center"/>
              <w:rPr>
                <w:rFonts w:ascii="Times New Roman" w:hAnsi="Times New Roman"/>
                <w:sz w:val="24"/>
                <w:szCs w:val="24"/>
              </w:rPr>
            </w:pPr>
            <w:r>
              <w:rPr>
                <w:rFonts w:ascii="Times New Roman" w:hAnsi="Times New Roman"/>
                <w:sz w:val="24"/>
                <w:szCs w:val="24"/>
              </w:rPr>
              <w:t>很难发生</w:t>
            </w:r>
          </w:p>
        </w:tc>
      </w:tr>
    </w:tbl>
    <w:p>
      <w:pPr>
        <w:pStyle w:val="169"/>
        <w:spacing w:before="156" w:beforeLines="50" w:line="240" w:lineRule="auto"/>
        <w:ind w:firstLine="0" w:firstLineChars="0"/>
        <w:jc w:val="center"/>
        <w:rPr>
          <w:rFonts w:hint="eastAsia" w:eastAsia="宋体" w:cs="Times New Roman"/>
          <w:b/>
          <w:szCs w:val="24"/>
        </w:rPr>
      </w:pPr>
    </w:p>
    <w:p>
      <w:pPr>
        <w:pStyle w:val="169"/>
        <w:ind w:firstLine="480"/>
        <w:jc w:val="left"/>
        <w:rPr>
          <w:rFonts w:hint="eastAsia" w:ascii="Times New Roman" w:hAnsi="Times New Roman" w:eastAsia="宋体" w:cs="Times New Roman"/>
          <w:spacing w:val="-2"/>
          <w:sz w:val="28"/>
          <w:szCs w:val="28"/>
          <w:lang w:val="en-US" w:eastAsia="zh-CN" w:bidi="ar-SA"/>
        </w:rPr>
      </w:pPr>
      <w:r>
        <w:rPr>
          <w:rFonts w:hint="eastAsia" w:ascii="Times New Roman" w:hAnsi="Times New Roman" w:eastAsia="宋体" w:cs="Times New Roman"/>
          <w:spacing w:val="-2"/>
          <w:sz w:val="28"/>
          <w:szCs w:val="28"/>
          <w:lang w:val="en-US" w:eastAsia="zh-CN" w:bidi="ar-SA"/>
        </w:rPr>
        <w:t>由上表</w:t>
      </w:r>
      <w:r>
        <w:rPr>
          <w:rFonts w:hint="eastAsia" w:eastAsia="宋体" w:cs="Times New Roman"/>
          <w:spacing w:val="-2"/>
          <w:sz w:val="28"/>
          <w:szCs w:val="28"/>
          <w:lang w:val="en-US" w:eastAsia="zh-CN" w:bidi="ar-SA"/>
        </w:rPr>
        <w:t>可知道</w:t>
      </w:r>
      <w:r>
        <w:rPr>
          <w:rFonts w:hint="eastAsia" w:ascii="Times New Roman" w:hAnsi="Times New Roman" w:eastAsia="宋体" w:cs="Times New Roman"/>
          <w:spacing w:val="-2"/>
          <w:sz w:val="28"/>
          <w:szCs w:val="28"/>
          <w:lang w:val="en-US" w:eastAsia="zh-CN" w:bidi="ar-SA"/>
        </w:rPr>
        <w:t>，管线、闸门、贮槽等发生重大事故的概率为 10</w:t>
      </w:r>
      <w:r>
        <w:rPr>
          <w:rFonts w:hint="eastAsia" w:ascii="Times New Roman" w:hAnsi="Times New Roman" w:eastAsia="宋体" w:cs="Times New Roman"/>
          <w:spacing w:val="-2"/>
          <w:sz w:val="28"/>
          <w:szCs w:val="28"/>
          <w:vertAlign w:val="superscript"/>
          <w:lang w:val="en-US" w:eastAsia="zh-CN" w:bidi="ar-SA"/>
        </w:rPr>
        <w:t>-3</w:t>
      </w:r>
      <w:r>
        <w:rPr>
          <w:rFonts w:hint="eastAsia" w:ascii="Times New Roman" w:hAnsi="Times New Roman" w:eastAsia="宋体" w:cs="Times New Roman"/>
          <w:spacing w:val="-2"/>
          <w:sz w:val="28"/>
          <w:szCs w:val="28"/>
          <w:lang w:val="en-US" w:eastAsia="zh-CN" w:bidi="ar-SA"/>
        </w:rPr>
        <w:t>及以下。据有关资料统计，国内储罐物料泄漏事故概率约 0.1～1×10</w:t>
      </w:r>
      <w:r>
        <w:rPr>
          <w:rFonts w:hint="eastAsia" w:ascii="Times New Roman" w:hAnsi="Times New Roman" w:eastAsia="宋体" w:cs="Times New Roman"/>
          <w:spacing w:val="-2"/>
          <w:sz w:val="28"/>
          <w:szCs w:val="28"/>
          <w:vertAlign w:val="superscript"/>
          <w:lang w:val="en-US" w:eastAsia="zh-CN" w:bidi="ar-SA"/>
        </w:rPr>
        <w:t>-4</w:t>
      </w:r>
      <w:r>
        <w:rPr>
          <w:rFonts w:hint="eastAsia" w:ascii="Times New Roman" w:hAnsi="Times New Roman" w:eastAsia="宋体" w:cs="Times New Roman"/>
          <w:spacing w:val="-2"/>
          <w:sz w:val="28"/>
          <w:szCs w:val="28"/>
          <w:lang w:val="en-US" w:eastAsia="zh-CN" w:bidi="ar-SA"/>
        </w:rPr>
        <w:t>。</w:t>
      </w:r>
      <w:r>
        <w:rPr>
          <w:rFonts w:hint="eastAsia" w:eastAsia="宋体" w:cs="Times New Roman"/>
          <w:spacing w:val="-2"/>
          <w:sz w:val="28"/>
          <w:szCs w:val="28"/>
          <w:lang w:val="en-US" w:eastAsia="zh-CN" w:bidi="ar-SA"/>
        </w:rPr>
        <w:t>公司</w:t>
      </w:r>
      <w:r>
        <w:rPr>
          <w:rFonts w:hint="eastAsia" w:ascii="Times New Roman" w:hAnsi="Times New Roman" w:eastAsia="宋体" w:cs="Times New Roman"/>
          <w:spacing w:val="-2"/>
          <w:sz w:val="28"/>
          <w:szCs w:val="28"/>
          <w:lang w:val="en-US" w:eastAsia="zh-CN" w:bidi="ar-SA"/>
        </w:rPr>
        <w:t>最大可信事故概率由于风险事故发生的不可预见性、引发事故的因素较多、污染物排放的差异，对风险事故概率及事故危害的量化难度较大。</w:t>
      </w:r>
      <w:r>
        <w:rPr>
          <w:rFonts w:hint="eastAsia" w:eastAsia="宋体" w:cs="Times New Roman"/>
          <w:spacing w:val="-2"/>
          <w:sz w:val="28"/>
          <w:szCs w:val="28"/>
          <w:lang w:val="en-US" w:eastAsia="zh-CN" w:bidi="ar-SA"/>
        </w:rPr>
        <w:t>公司</w:t>
      </w:r>
      <w:r>
        <w:rPr>
          <w:rFonts w:hint="eastAsia" w:ascii="Times New Roman" w:hAnsi="Times New Roman" w:eastAsia="宋体" w:cs="Times New Roman"/>
          <w:spacing w:val="-2"/>
          <w:sz w:val="28"/>
          <w:szCs w:val="28"/>
          <w:lang w:val="en-US" w:eastAsia="zh-CN" w:bidi="ar-SA"/>
        </w:rPr>
        <w:t>装置工艺较为成熟，同时在生产中采取严格的安全防护措施，极大的降低了甲烷泄漏事故的发生概率，故项目沼气储罐泄漏引起的燃爆事故概率低于 1×10</w:t>
      </w:r>
      <w:r>
        <w:rPr>
          <w:rFonts w:hint="eastAsia" w:ascii="Times New Roman" w:hAnsi="Times New Roman" w:eastAsia="宋体" w:cs="Times New Roman"/>
          <w:spacing w:val="-2"/>
          <w:sz w:val="28"/>
          <w:szCs w:val="28"/>
          <w:vertAlign w:val="superscript"/>
          <w:lang w:val="en-US" w:eastAsia="zh-CN" w:bidi="ar-SA"/>
        </w:rPr>
        <w:t>-5</w:t>
      </w:r>
      <w:r>
        <w:rPr>
          <w:rFonts w:hint="eastAsia" w:ascii="Times New Roman" w:hAnsi="Times New Roman" w:eastAsia="宋体" w:cs="Times New Roman"/>
          <w:spacing w:val="-2"/>
          <w:sz w:val="28"/>
          <w:szCs w:val="28"/>
          <w:lang w:val="en-US" w:eastAsia="zh-CN" w:bidi="ar-SA"/>
        </w:rPr>
        <w:t>/年、 阀门断裂泄漏事故的概率为低于 1×10</w:t>
      </w:r>
      <w:r>
        <w:rPr>
          <w:rFonts w:hint="eastAsia" w:ascii="Times New Roman" w:hAnsi="Times New Roman" w:eastAsia="宋体" w:cs="Times New Roman"/>
          <w:spacing w:val="-2"/>
          <w:sz w:val="28"/>
          <w:szCs w:val="28"/>
          <w:vertAlign w:val="superscript"/>
          <w:lang w:val="en-US" w:eastAsia="zh-CN" w:bidi="ar-SA"/>
        </w:rPr>
        <w:t>-5</w:t>
      </w:r>
      <w:r>
        <w:rPr>
          <w:rFonts w:hint="eastAsia" w:ascii="Times New Roman" w:hAnsi="Times New Roman" w:eastAsia="宋体" w:cs="Times New Roman"/>
          <w:spacing w:val="-2"/>
          <w:sz w:val="28"/>
          <w:szCs w:val="28"/>
          <w:lang w:val="en-US" w:eastAsia="zh-CN" w:bidi="ar-SA"/>
        </w:rPr>
        <w:t>/年。沼气储罐及阀门等泄漏事故概率极低</w:t>
      </w:r>
      <w:r>
        <w:rPr>
          <w:rFonts w:hint="eastAsia" w:eastAsia="宋体" w:cs="Times New Roman"/>
          <w:spacing w:val="-2"/>
          <w:sz w:val="28"/>
          <w:szCs w:val="28"/>
          <w:lang w:val="en-US" w:eastAsia="zh-CN" w:bidi="ar-SA"/>
        </w:rPr>
        <w:t>。</w:t>
      </w:r>
    </w:p>
    <w:p>
      <w:pPr>
        <w:pStyle w:val="169"/>
        <w:ind w:firstLine="562"/>
        <w:jc w:val="left"/>
        <w:rPr>
          <w:rFonts w:hint="eastAsia" w:eastAsia="宋体" w:cs="Times New Roman"/>
          <w:b/>
          <w:color w:val="auto"/>
          <w:sz w:val="28"/>
          <w:szCs w:val="28"/>
        </w:rPr>
      </w:pPr>
      <w:r>
        <w:rPr>
          <w:rFonts w:hint="eastAsia" w:eastAsia="宋体" w:cs="Times New Roman"/>
          <w:b/>
          <w:color w:val="auto"/>
          <w:sz w:val="28"/>
          <w:szCs w:val="28"/>
        </w:rPr>
        <w:t>（2）事故源强预测</w:t>
      </w:r>
    </w:p>
    <w:p>
      <w:pPr>
        <w:spacing w:line="360" w:lineRule="auto"/>
        <w:ind w:firstLine="552" w:firstLineChars="200"/>
        <w:rPr>
          <w:rFonts w:hint="eastAsia"/>
          <w:snapToGrid w:val="0"/>
          <w:color w:val="auto"/>
          <w:sz w:val="28"/>
          <w:szCs w:val="28"/>
        </w:rPr>
      </w:pPr>
      <w:r>
        <w:rPr>
          <w:rFonts w:hint="eastAsia"/>
          <w:snapToGrid w:val="0"/>
          <w:color w:val="auto"/>
          <w:sz w:val="28"/>
          <w:szCs w:val="28"/>
        </w:rPr>
        <w:t>在正常生产过程中，因阀门或管线破裂，发生沼气泄漏事故。气体泄漏公式计算，公式如下：</w:t>
      </w:r>
    </w:p>
    <w:p>
      <w:pPr>
        <w:spacing w:line="360" w:lineRule="auto"/>
        <w:ind w:firstLine="552" w:firstLineChars="200"/>
        <w:rPr>
          <w:rFonts w:hint="eastAsia"/>
          <w:color w:val="auto"/>
          <w:sz w:val="28"/>
          <w:szCs w:val="28"/>
        </w:rPr>
      </w:pPr>
      <w:r>
        <w:rPr>
          <w:color w:val="auto"/>
          <w:sz w:val="28"/>
          <w:szCs w:val="28"/>
        </w:rPr>
        <w:object>
          <v:shape id="_x0000_i1025" o:spt="75" type="#_x0000_t75" style="height:50.95pt;width:245.5pt;" o:ole="t" filled="f" stroked="f" coordsize="21600,21600">
            <v:path/>
            <v:fill on="f" focussize="0,0"/>
            <v:stroke on="f"/>
            <v:imagedata r:id="rId31" o:title=""/>
            <o:lock v:ext="edit" aspectratio="t"/>
            <w10:wrap type="none"/>
            <w10:anchorlock/>
          </v:shape>
          <o:OLEObject Type="Embed" ProgID="Visio.Drawing.11" ShapeID="_x0000_i1025" DrawAspect="Content" ObjectID="_1468075725" r:id="rId30">
            <o:LockedField>false</o:LockedField>
          </o:OLEObject>
        </w:object>
      </w:r>
    </w:p>
    <w:p>
      <w:pPr>
        <w:spacing w:line="360" w:lineRule="auto"/>
        <w:ind w:firstLine="552" w:firstLineChars="200"/>
        <w:rPr>
          <w:rFonts w:hint="eastAsia"/>
          <w:color w:val="auto"/>
          <w:sz w:val="28"/>
          <w:szCs w:val="28"/>
        </w:rPr>
      </w:pPr>
      <w:bookmarkStart w:id="167" w:name="OLE_LINK89"/>
      <w:r>
        <w:rPr>
          <w:rFonts w:hint="eastAsia"/>
          <w:color w:val="auto"/>
          <w:sz w:val="28"/>
          <w:szCs w:val="28"/>
        </w:rPr>
        <w:t>式中： P—容器内介质压力（Pa），12800Pa；</w:t>
      </w:r>
    </w:p>
    <w:p>
      <w:pPr>
        <w:spacing w:line="360" w:lineRule="auto"/>
        <w:ind w:firstLine="552" w:firstLineChars="200"/>
        <w:rPr>
          <w:rFonts w:hint="eastAsia"/>
          <w:color w:val="auto"/>
          <w:sz w:val="28"/>
          <w:szCs w:val="28"/>
        </w:rPr>
      </w:pPr>
      <w:r>
        <w:rPr>
          <w:rFonts w:hint="eastAsia"/>
          <w:color w:val="auto"/>
          <w:sz w:val="28"/>
          <w:szCs w:val="28"/>
        </w:rPr>
        <w:t xml:space="preserve">       C</w:t>
      </w:r>
      <w:r>
        <w:rPr>
          <w:rFonts w:hint="eastAsia"/>
          <w:color w:val="auto"/>
          <w:sz w:val="28"/>
          <w:szCs w:val="28"/>
          <w:vertAlign w:val="subscript"/>
        </w:rPr>
        <w:t>d</w:t>
      </w:r>
      <w:r>
        <w:rPr>
          <w:rFonts w:hint="eastAsia"/>
          <w:color w:val="auto"/>
          <w:sz w:val="28"/>
          <w:szCs w:val="28"/>
        </w:rPr>
        <w:t>—气体泄漏系数，裂口形状三角形时取0.95；</w:t>
      </w:r>
    </w:p>
    <w:p>
      <w:pPr>
        <w:spacing w:line="360" w:lineRule="auto"/>
        <w:ind w:firstLine="552" w:firstLineChars="200"/>
        <w:rPr>
          <w:rFonts w:hint="eastAsia"/>
          <w:color w:val="auto"/>
          <w:sz w:val="28"/>
          <w:szCs w:val="28"/>
        </w:rPr>
      </w:pPr>
      <w:r>
        <w:rPr>
          <w:rFonts w:hint="eastAsia"/>
          <w:color w:val="auto"/>
          <w:sz w:val="28"/>
          <w:szCs w:val="28"/>
        </w:rPr>
        <w:t xml:space="preserve">       A—裂口面积（m</w:t>
      </w:r>
      <w:r>
        <w:rPr>
          <w:rFonts w:hint="eastAsia"/>
          <w:color w:val="auto"/>
          <w:sz w:val="28"/>
          <w:szCs w:val="28"/>
          <w:vertAlign w:val="superscript"/>
        </w:rPr>
        <w:t>2</w:t>
      </w:r>
      <w:r>
        <w:rPr>
          <w:rFonts w:hint="eastAsia"/>
          <w:color w:val="auto"/>
          <w:sz w:val="28"/>
          <w:szCs w:val="28"/>
        </w:rPr>
        <w:t>），管道直径50mm，取管道面积的20%即0.0004m</w:t>
      </w:r>
      <w:r>
        <w:rPr>
          <w:rFonts w:hint="eastAsia"/>
          <w:color w:val="auto"/>
          <w:sz w:val="28"/>
          <w:szCs w:val="28"/>
          <w:vertAlign w:val="superscript"/>
        </w:rPr>
        <w:t>2</w:t>
      </w:r>
      <w:r>
        <w:rPr>
          <w:rFonts w:hint="eastAsia"/>
          <w:color w:val="auto"/>
          <w:sz w:val="28"/>
          <w:szCs w:val="28"/>
        </w:rPr>
        <w:t>；</w:t>
      </w:r>
    </w:p>
    <w:bookmarkEnd w:id="167"/>
    <w:p>
      <w:pPr>
        <w:spacing w:line="360" w:lineRule="auto"/>
        <w:ind w:firstLine="552" w:firstLineChars="200"/>
        <w:rPr>
          <w:rFonts w:hint="eastAsia"/>
          <w:color w:val="auto"/>
          <w:sz w:val="28"/>
          <w:szCs w:val="28"/>
        </w:rPr>
      </w:pPr>
      <w:r>
        <w:rPr>
          <w:rFonts w:hint="eastAsia"/>
          <w:color w:val="auto"/>
          <w:sz w:val="28"/>
          <w:szCs w:val="28"/>
        </w:rPr>
        <w:t xml:space="preserve">       M—分子量，沼气的分子量参考天然气分子量为0.017；</w:t>
      </w:r>
    </w:p>
    <w:p>
      <w:pPr>
        <w:spacing w:line="360" w:lineRule="auto"/>
        <w:ind w:firstLine="552" w:firstLineChars="200"/>
        <w:rPr>
          <w:rFonts w:hint="eastAsia"/>
          <w:color w:val="auto"/>
          <w:sz w:val="28"/>
          <w:szCs w:val="28"/>
        </w:rPr>
      </w:pPr>
      <w:r>
        <w:rPr>
          <w:rFonts w:hint="eastAsia"/>
          <w:color w:val="auto"/>
          <w:sz w:val="28"/>
          <w:szCs w:val="28"/>
        </w:rPr>
        <w:t xml:space="preserve">       R—气体常数</w:t>
      </w:r>
      <w:bookmarkStart w:id="168" w:name="OLE_LINK60"/>
      <w:r>
        <w:rPr>
          <w:rFonts w:hint="eastAsia"/>
          <w:color w:val="auto"/>
          <w:sz w:val="28"/>
          <w:szCs w:val="28"/>
        </w:rPr>
        <w:t>（</w:t>
      </w:r>
      <w:bookmarkStart w:id="169" w:name="OLE_LINK69"/>
      <w:r>
        <w:rPr>
          <w:rFonts w:hint="eastAsia"/>
          <w:color w:val="auto"/>
          <w:sz w:val="28"/>
          <w:szCs w:val="28"/>
        </w:rPr>
        <w:t>J/</w:t>
      </w:r>
      <w:r>
        <w:rPr>
          <w:color w:val="auto"/>
          <w:sz w:val="28"/>
          <w:szCs w:val="28"/>
        </w:rPr>
        <w:t>mol•</w:t>
      </w:r>
      <w:r>
        <w:rPr>
          <w:rFonts w:hint="eastAsia"/>
          <w:color w:val="auto"/>
          <w:sz w:val="28"/>
          <w:szCs w:val="28"/>
        </w:rPr>
        <w:t>K</w:t>
      </w:r>
      <w:bookmarkEnd w:id="169"/>
      <w:r>
        <w:rPr>
          <w:rFonts w:hint="eastAsia"/>
          <w:color w:val="auto"/>
          <w:sz w:val="28"/>
          <w:szCs w:val="28"/>
        </w:rPr>
        <w:t>）</w:t>
      </w:r>
      <w:bookmarkEnd w:id="168"/>
      <w:r>
        <w:rPr>
          <w:rFonts w:hint="eastAsia"/>
          <w:color w:val="auto"/>
          <w:sz w:val="28"/>
          <w:szCs w:val="28"/>
        </w:rPr>
        <w:t>，为8.31441 J/</w:t>
      </w:r>
      <w:r>
        <w:rPr>
          <w:color w:val="auto"/>
          <w:sz w:val="28"/>
          <w:szCs w:val="28"/>
        </w:rPr>
        <w:t>mol•</w:t>
      </w:r>
      <w:r>
        <w:rPr>
          <w:rFonts w:hint="eastAsia"/>
          <w:color w:val="auto"/>
          <w:sz w:val="28"/>
          <w:szCs w:val="28"/>
        </w:rPr>
        <w:t>K；</w:t>
      </w:r>
    </w:p>
    <w:p>
      <w:pPr>
        <w:spacing w:line="360" w:lineRule="auto"/>
        <w:ind w:firstLine="552" w:firstLineChars="200"/>
        <w:rPr>
          <w:rFonts w:hint="eastAsia"/>
          <w:color w:val="auto"/>
          <w:sz w:val="28"/>
          <w:szCs w:val="28"/>
        </w:rPr>
      </w:pPr>
      <w:r>
        <w:rPr>
          <w:rFonts w:hint="eastAsia"/>
          <w:color w:val="auto"/>
          <w:sz w:val="28"/>
          <w:szCs w:val="28"/>
        </w:rPr>
        <w:t xml:space="preserve">       TG—气体温度（K），为308K；</w:t>
      </w:r>
    </w:p>
    <w:p>
      <w:pPr>
        <w:spacing w:line="360" w:lineRule="auto"/>
        <w:ind w:firstLine="552" w:firstLineChars="200"/>
        <w:rPr>
          <w:rFonts w:hint="eastAsia"/>
          <w:color w:val="auto"/>
          <w:sz w:val="28"/>
          <w:szCs w:val="28"/>
        </w:rPr>
      </w:pPr>
      <w:r>
        <w:rPr>
          <w:rFonts w:hint="eastAsia"/>
          <w:color w:val="auto"/>
          <w:sz w:val="28"/>
          <w:szCs w:val="28"/>
        </w:rPr>
        <w:t xml:space="preserve">       k—气体绝热指数（热容比），参考天然气值1.2；</w:t>
      </w:r>
    </w:p>
    <w:p>
      <w:pPr>
        <w:spacing w:line="360" w:lineRule="auto"/>
        <w:ind w:firstLine="552" w:firstLineChars="200"/>
        <w:rPr>
          <w:rFonts w:hint="eastAsia"/>
          <w:color w:val="auto"/>
          <w:sz w:val="28"/>
          <w:szCs w:val="28"/>
        </w:rPr>
      </w:pPr>
      <w:r>
        <w:rPr>
          <w:rFonts w:hint="eastAsia"/>
          <w:color w:val="auto"/>
          <w:sz w:val="28"/>
          <w:szCs w:val="28"/>
        </w:rPr>
        <w:t xml:space="preserve">       Y—流出系数，对于临界流Y=1.0，对于次临界流Y=0.857。</w:t>
      </w:r>
    </w:p>
    <w:p>
      <w:pPr>
        <w:spacing w:line="360" w:lineRule="auto"/>
        <w:ind w:firstLine="552" w:firstLineChars="200"/>
        <w:rPr>
          <w:rFonts w:hint="eastAsia"/>
          <w:b/>
          <w:bCs/>
          <w:szCs w:val="28"/>
          <w:lang w:eastAsia="zh-CN"/>
        </w:rPr>
      </w:pPr>
      <w:r>
        <w:rPr>
          <w:rFonts w:hint="eastAsia"/>
          <w:color w:val="auto"/>
          <w:sz w:val="28"/>
          <w:szCs w:val="28"/>
        </w:rPr>
        <w:t>经计算，可得沼气的泄漏流量为0.62kg/s。</w:t>
      </w:r>
    </w:p>
    <w:p>
      <w:pPr>
        <w:autoSpaceDE w:val="0"/>
        <w:autoSpaceDN w:val="0"/>
        <w:adjustRightInd w:val="0"/>
        <w:spacing w:before="120" w:beforeLines="50" w:line="360" w:lineRule="auto"/>
        <w:ind w:firstLine="554" w:firstLineChars="200"/>
        <w:jc w:val="left"/>
        <w:rPr>
          <w:rFonts w:hint="eastAsia" w:eastAsia="宋体"/>
          <w:b/>
          <w:bCs/>
          <w:szCs w:val="28"/>
          <w:lang w:eastAsia="zh-CN"/>
        </w:rPr>
      </w:pPr>
      <w:r>
        <w:rPr>
          <w:rFonts w:hint="eastAsia"/>
          <w:b/>
          <w:bCs/>
          <w:szCs w:val="28"/>
          <w:lang w:eastAsia="zh-CN"/>
        </w:rPr>
        <w:t>（三）事故废水排放</w:t>
      </w:r>
    </w:p>
    <w:p>
      <w:pPr>
        <w:pStyle w:val="17"/>
        <w:ind w:firstLine="663" w:firstLineChars="237"/>
        <w:rPr>
          <w:rFonts w:hint="eastAsia"/>
        </w:rPr>
      </w:pPr>
      <w:r>
        <w:rPr>
          <w:rFonts w:hint="eastAsia"/>
          <w:lang w:eastAsia="zh-CN"/>
        </w:rPr>
        <w:t>最大事故废水水量</w:t>
      </w:r>
      <w:r>
        <w:rPr>
          <w:rFonts w:hint="eastAsia"/>
        </w:rPr>
        <w:t>根据《化工建设项目环境保护设计规范》（GB50483-2009）和《事故状态下水体污染的预防与控制技术的要求》（Q/SY1190-2009）中的相应规定设置。</w:t>
      </w:r>
      <w:r>
        <w:rPr>
          <w:rFonts w:hint="eastAsia"/>
          <w:lang w:eastAsia="zh-CN"/>
        </w:rPr>
        <w:t>最大事故废水量（</w:t>
      </w:r>
      <w:r>
        <w:rPr>
          <w:rFonts w:hint="eastAsia"/>
        </w:rPr>
        <w:t>事故应急池容量</w:t>
      </w:r>
      <w:r>
        <w:rPr>
          <w:rFonts w:hint="eastAsia"/>
          <w:lang w:eastAsia="zh-CN"/>
        </w:rPr>
        <w:t>）</w:t>
      </w:r>
      <w:r>
        <w:rPr>
          <w:rFonts w:hint="eastAsia"/>
        </w:rPr>
        <w:t>按下式计算：</w:t>
      </w:r>
    </w:p>
    <w:p>
      <w:pPr>
        <w:spacing w:line="360" w:lineRule="auto"/>
        <w:ind w:firstLine="552" w:firstLineChars="200"/>
        <w:jc w:val="both"/>
        <w:rPr>
          <w:rFonts w:hint="eastAsia"/>
          <w:color w:val="auto"/>
          <w:sz w:val="28"/>
          <w:szCs w:val="28"/>
        </w:rPr>
      </w:pPr>
      <w:r>
        <w:rPr>
          <w:rFonts w:hint="eastAsia"/>
          <w:color w:val="auto"/>
          <w:sz w:val="28"/>
          <w:szCs w:val="28"/>
        </w:rPr>
        <w:t>V</w:t>
      </w:r>
      <w:r>
        <w:rPr>
          <w:rFonts w:hint="eastAsia"/>
          <w:color w:val="auto"/>
          <w:sz w:val="28"/>
          <w:szCs w:val="28"/>
          <w:lang w:eastAsia="zh-CN"/>
        </w:rPr>
        <w:t>最大事故废水</w:t>
      </w:r>
      <w:r>
        <w:rPr>
          <w:rFonts w:hint="eastAsia"/>
          <w:color w:val="auto"/>
          <w:sz w:val="28"/>
          <w:szCs w:val="28"/>
          <w:lang w:val="en-US" w:eastAsia="zh-CN"/>
        </w:rPr>
        <w:t>/</w:t>
      </w:r>
      <w:r>
        <w:rPr>
          <w:rFonts w:hint="eastAsia"/>
          <w:color w:val="auto"/>
          <w:sz w:val="28"/>
          <w:szCs w:val="28"/>
        </w:rPr>
        <w:t>事故池=（V1+V2-V3）max+V4+V5</w:t>
      </w:r>
    </w:p>
    <w:p>
      <w:pPr>
        <w:spacing w:line="360" w:lineRule="auto"/>
        <w:ind w:firstLine="552" w:firstLineChars="200"/>
        <w:jc w:val="both"/>
        <w:rPr>
          <w:rFonts w:hint="eastAsia"/>
          <w:color w:val="auto"/>
          <w:sz w:val="28"/>
          <w:szCs w:val="28"/>
        </w:rPr>
      </w:pPr>
      <w:r>
        <w:rPr>
          <w:rFonts w:hint="eastAsia"/>
          <w:color w:val="auto"/>
          <w:sz w:val="28"/>
          <w:szCs w:val="28"/>
        </w:rPr>
        <w:t>V2=∑Q消·t消</w:t>
      </w:r>
    </w:p>
    <w:p>
      <w:pPr>
        <w:spacing w:line="360" w:lineRule="auto"/>
        <w:ind w:firstLine="552" w:firstLineChars="200"/>
        <w:jc w:val="both"/>
        <w:rPr>
          <w:rFonts w:hint="eastAsia" w:eastAsia="宋体"/>
          <w:color w:val="auto"/>
          <w:sz w:val="28"/>
          <w:szCs w:val="28"/>
          <w:lang w:eastAsia="zh-CN"/>
        </w:rPr>
      </w:pPr>
      <w:r>
        <w:rPr>
          <w:rFonts w:hint="eastAsia"/>
          <w:color w:val="auto"/>
          <w:sz w:val="28"/>
          <w:szCs w:val="28"/>
        </w:rPr>
        <w:t>V5=10q·fq=qn/n</w:t>
      </w:r>
    </w:p>
    <w:p>
      <w:pPr>
        <w:spacing w:line="360" w:lineRule="auto"/>
        <w:ind w:firstLine="552" w:firstLineChars="200"/>
        <w:jc w:val="both"/>
        <w:rPr>
          <w:rFonts w:hint="eastAsia"/>
          <w:color w:val="auto"/>
          <w:sz w:val="28"/>
          <w:szCs w:val="28"/>
        </w:rPr>
      </w:pPr>
      <w:r>
        <w:rPr>
          <w:rFonts w:hint="eastAsia"/>
          <w:color w:val="auto"/>
          <w:sz w:val="28"/>
          <w:szCs w:val="28"/>
        </w:rPr>
        <w:t>式中：（V1+V2-V3）max是指对收集系统范围内不同罐组或装置分别计算V1+V2-V3，取其中最大值；</w:t>
      </w:r>
    </w:p>
    <w:p>
      <w:pPr>
        <w:spacing w:line="360" w:lineRule="auto"/>
        <w:ind w:firstLine="552" w:firstLineChars="200"/>
        <w:rPr>
          <w:rFonts w:hint="eastAsia" w:eastAsia="宋体"/>
          <w:color w:val="auto"/>
          <w:sz w:val="28"/>
          <w:szCs w:val="28"/>
          <w:lang w:eastAsia="zh-CN"/>
        </w:rPr>
      </w:pPr>
      <w:r>
        <w:rPr>
          <w:rFonts w:hint="eastAsia"/>
          <w:color w:val="auto"/>
          <w:sz w:val="28"/>
          <w:szCs w:val="28"/>
        </w:rPr>
        <w:t>V1——收集系统范围内发生事故的一个罐组或一套装置的物料量；</w:t>
      </w:r>
    </w:p>
    <w:p>
      <w:pPr>
        <w:spacing w:line="360" w:lineRule="auto"/>
        <w:ind w:firstLine="552" w:firstLineChars="200"/>
        <w:rPr>
          <w:rFonts w:hint="eastAsia"/>
          <w:color w:val="auto"/>
          <w:sz w:val="28"/>
          <w:szCs w:val="28"/>
        </w:rPr>
      </w:pPr>
      <w:r>
        <w:rPr>
          <w:rFonts w:hint="eastAsia"/>
          <w:color w:val="auto"/>
          <w:sz w:val="28"/>
          <w:szCs w:val="28"/>
        </w:rPr>
        <w:t>V2——发生事故的储罐或装置的消防水量，m</w:t>
      </w:r>
      <w:r>
        <w:rPr>
          <w:rFonts w:hint="eastAsia"/>
          <w:color w:val="auto"/>
          <w:sz w:val="28"/>
          <w:szCs w:val="28"/>
          <w:vertAlign w:val="superscript"/>
        </w:rPr>
        <w:t>3</w:t>
      </w:r>
      <w:r>
        <w:rPr>
          <w:rFonts w:hint="eastAsia"/>
          <w:color w:val="auto"/>
          <w:sz w:val="28"/>
          <w:szCs w:val="28"/>
        </w:rPr>
        <w:t>；Q消——发生事故的储罐或装置的同时使用的消防设施给水流量，m</w:t>
      </w:r>
      <w:r>
        <w:rPr>
          <w:rFonts w:hint="eastAsia"/>
          <w:color w:val="auto"/>
          <w:sz w:val="28"/>
          <w:szCs w:val="28"/>
          <w:vertAlign w:val="superscript"/>
        </w:rPr>
        <w:t>3</w:t>
      </w:r>
      <w:r>
        <w:rPr>
          <w:rFonts w:hint="eastAsia"/>
          <w:color w:val="auto"/>
          <w:sz w:val="28"/>
          <w:szCs w:val="28"/>
        </w:rPr>
        <w:t>/h；t消——消防设施对应的设计消防历时，h；</w:t>
      </w:r>
    </w:p>
    <w:p>
      <w:pPr>
        <w:spacing w:line="360" w:lineRule="auto"/>
        <w:ind w:firstLine="552" w:firstLineChars="200"/>
        <w:rPr>
          <w:rFonts w:hint="eastAsia"/>
          <w:color w:val="auto"/>
          <w:sz w:val="28"/>
          <w:szCs w:val="28"/>
        </w:rPr>
      </w:pPr>
      <w:r>
        <w:rPr>
          <w:rFonts w:hint="eastAsia"/>
          <w:color w:val="auto"/>
          <w:sz w:val="28"/>
          <w:szCs w:val="28"/>
        </w:rPr>
        <w:t>V3——发生事故时可以转输到其他储存或处理设施的物料量，m</w:t>
      </w:r>
      <w:r>
        <w:rPr>
          <w:rFonts w:hint="eastAsia"/>
          <w:color w:val="auto"/>
          <w:sz w:val="28"/>
          <w:szCs w:val="28"/>
          <w:vertAlign w:val="superscript"/>
        </w:rPr>
        <w:t>3</w:t>
      </w:r>
      <w:r>
        <w:rPr>
          <w:rFonts w:hint="eastAsia"/>
          <w:color w:val="auto"/>
          <w:sz w:val="28"/>
          <w:szCs w:val="28"/>
        </w:rPr>
        <w:t>；</w:t>
      </w:r>
    </w:p>
    <w:p>
      <w:pPr>
        <w:spacing w:line="360" w:lineRule="auto"/>
        <w:ind w:firstLine="552" w:firstLineChars="200"/>
        <w:rPr>
          <w:rFonts w:hint="eastAsia" w:eastAsia="宋体"/>
          <w:color w:val="auto"/>
          <w:sz w:val="28"/>
          <w:szCs w:val="28"/>
          <w:lang w:eastAsia="zh-CN"/>
        </w:rPr>
      </w:pPr>
      <w:r>
        <w:rPr>
          <w:rFonts w:hint="eastAsia"/>
          <w:color w:val="auto"/>
          <w:sz w:val="28"/>
          <w:szCs w:val="28"/>
        </w:rPr>
        <w:t>V4——发生事故时仍必须进入该收集系统的生产废水量，m</w:t>
      </w:r>
      <w:r>
        <w:rPr>
          <w:rFonts w:hint="eastAsia"/>
          <w:color w:val="auto"/>
          <w:sz w:val="28"/>
          <w:szCs w:val="28"/>
          <w:vertAlign w:val="superscript"/>
        </w:rPr>
        <w:t>3</w:t>
      </w:r>
      <w:r>
        <w:rPr>
          <w:rFonts w:hint="eastAsia"/>
          <w:color w:val="auto"/>
          <w:sz w:val="28"/>
          <w:szCs w:val="28"/>
        </w:rPr>
        <w:t>；</w:t>
      </w:r>
    </w:p>
    <w:p>
      <w:pPr>
        <w:spacing w:line="360" w:lineRule="auto"/>
        <w:ind w:firstLine="552" w:firstLineChars="200"/>
        <w:rPr>
          <w:rFonts w:hint="eastAsia"/>
          <w:color w:val="auto"/>
          <w:sz w:val="28"/>
          <w:szCs w:val="28"/>
        </w:rPr>
      </w:pPr>
      <w:r>
        <w:rPr>
          <w:rFonts w:hint="eastAsia"/>
          <w:color w:val="auto"/>
          <w:sz w:val="28"/>
          <w:szCs w:val="28"/>
        </w:rPr>
        <w:t>V5——发生事故时可能进入该收集系统的降雨量，m</w:t>
      </w:r>
      <w:r>
        <w:rPr>
          <w:rFonts w:hint="eastAsia"/>
          <w:color w:val="auto"/>
          <w:sz w:val="28"/>
          <w:szCs w:val="28"/>
          <w:vertAlign w:val="superscript"/>
        </w:rPr>
        <w:t>3</w:t>
      </w:r>
      <w:r>
        <w:rPr>
          <w:rFonts w:hint="eastAsia"/>
          <w:color w:val="auto"/>
          <w:sz w:val="28"/>
          <w:szCs w:val="28"/>
        </w:rPr>
        <w:t>；q——降雨强度，mm；按平均日降雨量；qn——年平均降雨量，mm；n——年平均降雨日数，天；f——必须进入事故废水收集系统的雨水汇水面积，ha。</w:t>
      </w:r>
    </w:p>
    <w:p>
      <w:pPr>
        <w:spacing w:line="360" w:lineRule="auto"/>
        <w:ind w:firstLine="552" w:firstLineChars="200"/>
        <w:rPr>
          <w:rFonts w:hint="eastAsia" w:eastAsia="宋体"/>
          <w:color w:val="auto"/>
          <w:sz w:val="28"/>
          <w:szCs w:val="28"/>
          <w:lang w:eastAsia="zh-CN"/>
        </w:rPr>
      </w:pPr>
      <w:r>
        <w:rPr>
          <w:rFonts w:hint="eastAsia"/>
          <w:color w:val="auto"/>
          <w:sz w:val="28"/>
          <w:szCs w:val="28"/>
        </w:rPr>
        <w:t>V1：本项目最大的一个容器设备（装置）或储罐的物料储存量为420m</w:t>
      </w:r>
      <w:r>
        <w:rPr>
          <w:rFonts w:hint="eastAsia"/>
          <w:color w:val="auto"/>
          <w:sz w:val="28"/>
          <w:szCs w:val="28"/>
          <w:vertAlign w:val="superscript"/>
        </w:rPr>
        <w:t>3</w:t>
      </w:r>
      <w:r>
        <w:rPr>
          <w:rFonts w:hint="eastAsia"/>
          <w:color w:val="auto"/>
          <w:sz w:val="28"/>
          <w:szCs w:val="28"/>
        </w:rPr>
        <w:t>。</w:t>
      </w:r>
    </w:p>
    <w:p>
      <w:pPr>
        <w:spacing w:line="360" w:lineRule="auto"/>
        <w:ind w:firstLine="552" w:firstLineChars="200"/>
        <w:rPr>
          <w:rFonts w:hint="eastAsia"/>
          <w:color w:val="auto"/>
          <w:sz w:val="28"/>
          <w:szCs w:val="28"/>
        </w:rPr>
      </w:pPr>
      <w:r>
        <w:rPr>
          <w:rFonts w:hint="eastAsia"/>
          <w:color w:val="auto"/>
          <w:sz w:val="28"/>
          <w:szCs w:val="28"/>
        </w:rPr>
        <w:t>V2：根据《建筑设计防火规范》（GB50016-2014）要求，考虑到本项目厂房建筑占地面积为1650m</w:t>
      </w:r>
      <w:r>
        <w:rPr>
          <w:rFonts w:hint="eastAsia"/>
          <w:color w:val="auto"/>
          <w:sz w:val="28"/>
          <w:szCs w:val="28"/>
          <w:vertAlign w:val="superscript"/>
        </w:rPr>
        <w:t>2</w:t>
      </w:r>
      <w:r>
        <w:rPr>
          <w:rFonts w:hint="eastAsia"/>
          <w:color w:val="auto"/>
          <w:sz w:val="28"/>
          <w:szCs w:val="28"/>
        </w:rPr>
        <w:t>＞300m</w:t>
      </w:r>
      <w:r>
        <w:rPr>
          <w:rFonts w:hint="eastAsia"/>
          <w:color w:val="auto"/>
          <w:sz w:val="28"/>
          <w:szCs w:val="28"/>
          <w:vertAlign w:val="superscript"/>
        </w:rPr>
        <w:t>2</w:t>
      </w:r>
      <w:r>
        <w:rPr>
          <w:rFonts w:hint="eastAsia"/>
          <w:color w:val="auto"/>
          <w:sz w:val="28"/>
          <w:szCs w:val="28"/>
        </w:rPr>
        <w:t>，需设置室外和室内消防栓系统。根据《消防给水及消防栓系统技术规范》（GB50974-2014）要求，厂房火灾延续时间2.0h，室外消防栓设计流量15L/s，室内消防栓设计流量10L/s。则本项目消防用水25L/s，延续2.0h，最大一次火灾发生时，室内、室外消防水量180m</w:t>
      </w:r>
      <w:r>
        <w:rPr>
          <w:rFonts w:hint="eastAsia"/>
          <w:color w:val="auto"/>
          <w:sz w:val="28"/>
          <w:szCs w:val="28"/>
          <w:vertAlign w:val="superscript"/>
        </w:rPr>
        <w:t>3</w:t>
      </w:r>
      <w:r>
        <w:rPr>
          <w:rFonts w:hint="eastAsia"/>
          <w:color w:val="auto"/>
          <w:sz w:val="28"/>
          <w:szCs w:val="28"/>
        </w:rPr>
        <w:t>；</w:t>
      </w:r>
    </w:p>
    <w:p>
      <w:pPr>
        <w:spacing w:line="360" w:lineRule="auto"/>
        <w:ind w:firstLine="552" w:firstLineChars="200"/>
        <w:rPr>
          <w:rFonts w:hint="eastAsia"/>
          <w:color w:val="auto"/>
          <w:sz w:val="28"/>
          <w:szCs w:val="28"/>
        </w:rPr>
      </w:pPr>
      <w:r>
        <w:rPr>
          <w:rFonts w:hint="eastAsia"/>
          <w:color w:val="auto"/>
          <w:sz w:val="28"/>
          <w:szCs w:val="28"/>
        </w:rPr>
        <w:t>V3：发生事故时可以转输到其他储存或处理设施的物料量，则发生事故时可以转输到其他储存或处理设施的物料量V3=0m³（按最坏情况考虑）；</w:t>
      </w:r>
    </w:p>
    <w:p>
      <w:pPr>
        <w:spacing w:line="360" w:lineRule="auto"/>
        <w:ind w:firstLine="552" w:firstLineChars="200"/>
        <w:rPr>
          <w:rFonts w:hint="eastAsia"/>
          <w:color w:val="auto"/>
          <w:sz w:val="28"/>
          <w:szCs w:val="28"/>
        </w:rPr>
      </w:pPr>
      <w:r>
        <w:rPr>
          <w:rFonts w:hint="eastAsia"/>
          <w:color w:val="auto"/>
          <w:sz w:val="28"/>
          <w:szCs w:val="28"/>
        </w:rPr>
        <w:t>V4：发生事故时仍必须进入废水系统的生产废水量，本项目考虑极端不利情况，假设废水系统在发生火灾事故前已满载，则需将生产废水排入事故应急池暂存，生产废水产生量为286.5m³/d，则排入事故应急池的最大生产废水量为286.5m³，故：V4=286.5m³；</w:t>
      </w:r>
    </w:p>
    <w:p>
      <w:pPr>
        <w:spacing w:line="360" w:lineRule="auto"/>
        <w:ind w:firstLine="552" w:firstLineChars="200"/>
        <w:rPr>
          <w:rFonts w:hint="eastAsia"/>
          <w:color w:val="auto"/>
          <w:sz w:val="28"/>
          <w:szCs w:val="28"/>
        </w:rPr>
      </w:pPr>
      <w:r>
        <w:rPr>
          <w:rFonts w:hint="eastAsia"/>
          <w:color w:val="auto"/>
          <w:sz w:val="28"/>
          <w:szCs w:val="28"/>
        </w:rPr>
        <w:t>V5：V5=10q·f。其中，q：降雨强度，mm，按平均日降雨量，中山市年平均降雨量为1899.2mm，年平均降雨日约160天，则日均降雨量为11.87mm；f：必须进入事故废水收集系统的雨水汇水面积，ha，本项目消防废水通过雨水管道进入事故应急池，共1套雨水管网，可能进入事故应急池的汇水面积约为5.3ha，根据《室外排水设计规范》（GB50014-2006）屋面、混凝土径流系数取值为0.85~0.95，收集事故后24小时内的雨水，本项目根据实际情况取值为0.85。V5=10q·f·0.85=10×11.87×5.3×0.85=534.744m³；</w:t>
      </w:r>
    </w:p>
    <w:p>
      <w:pPr>
        <w:spacing w:line="360" w:lineRule="auto"/>
        <w:ind w:firstLine="552" w:firstLineChars="200"/>
        <w:rPr>
          <w:rFonts w:hint="eastAsia"/>
          <w:color w:val="auto"/>
          <w:sz w:val="28"/>
          <w:szCs w:val="28"/>
        </w:rPr>
      </w:pPr>
      <w:r>
        <w:rPr>
          <w:rFonts w:hint="eastAsia"/>
          <w:color w:val="auto"/>
          <w:sz w:val="28"/>
          <w:szCs w:val="28"/>
        </w:rPr>
        <w:t>V</w:t>
      </w:r>
      <w:r>
        <w:rPr>
          <w:rFonts w:hint="eastAsia"/>
          <w:color w:val="auto"/>
          <w:sz w:val="28"/>
          <w:szCs w:val="28"/>
          <w:lang w:eastAsia="zh-CN"/>
        </w:rPr>
        <w:t>最大废水</w:t>
      </w:r>
      <w:r>
        <w:rPr>
          <w:rFonts w:hint="eastAsia"/>
          <w:color w:val="auto"/>
          <w:sz w:val="28"/>
          <w:szCs w:val="28"/>
          <w:lang w:val="en-US" w:eastAsia="zh-CN"/>
        </w:rPr>
        <w:t>/</w:t>
      </w:r>
      <w:r>
        <w:rPr>
          <w:rFonts w:hint="eastAsia"/>
          <w:color w:val="auto"/>
          <w:sz w:val="28"/>
          <w:szCs w:val="28"/>
        </w:rPr>
        <w:t>事故池=（V1+V2-V3）max+V4+V5=（420+180-0）+286.5+534.744=1421.244m</w:t>
      </w:r>
      <w:r>
        <w:rPr>
          <w:rFonts w:hint="eastAsia"/>
          <w:color w:val="auto"/>
          <w:sz w:val="28"/>
          <w:szCs w:val="28"/>
          <w:vertAlign w:val="superscript"/>
        </w:rPr>
        <w:t>3</w:t>
      </w:r>
      <w:r>
        <w:rPr>
          <w:rFonts w:hint="eastAsia"/>
          <w:color w:val="auto"/>
          <w:sz w:val="28"/>
          <w:szCs w:val="28"/>
        </w:rPr>
        <w:t>。</w:t>
      </w:r>
    </w:p>
    <w:p>
      <w:pPr>
        <w:spacing w:line="360" w:lineRule="auto"/>
        <w:ind w:firstLine="552" w:firstLineChars="200"/>
        <w:rPr>
          <w:rFonts w:hint="eastAsia"/>
          <w:color w:val="auto"/>
          <w:sz w:val="28"/>
          <w:szCs w:val="28"/>
        </w:rPr>
      </w:pPr>
      <w:r>
        <w:rPr>
          <w:rFonts w:hint="eastAsia"/>
          <w:color w:val="auto"/>
          <w:sz w:val="28"/>
          <w:szCs w:val="28"/>
        </w:rPr>
        <w:t>因此，</w:t>
      </w:r>
      <w:r>
        <w:rPr>
          <w:rFonts w:hint="eastAsia"/>
          <w:color w:val="auto"/>
          <w:sz w:val="28"/>
          <w:szCs w:val="28"/>
          <w:lang w:eastAsia="zh-CN"/>
        </w:rPr>
        <w:t>公司</w:t>
      </w:r>
      <w:r>
        <w:rPr>
          <w:rFonts w:hint="eastAsia"/>
          <w:color w:val="auto"/>
          <w:sz w:val="28"/>
          <w:szCs w:val="28"/>
        </w:rPr>
        <w:t>发生火灾时，可能产生的最大事故废水量为1421.244m</w:t>
      </w:r>
      <w:r>
        <w:rPr>
          <w:rFonts w:hint="eastAsia"/>
          <w:color w:val="auto"/>
          <w:sz w:val="28"/>
          <w:szCs w:val="28"/>
          <w:vertAlign w:val="superscript"/>
        </w:rPr>
        <w:t>3</w:t>
      </w:r>
      <w:r>
        <w:rPr>
          <w:rFonts w:hint="eastAsia"/>
          <w:color w:val="auto"/>
          <w:sz w:val="28"/>
          <w:szCs w:val="28"/>
        </w:rPr>
        <w:t>。现有工程已修建有效容积为1479m</w:t>
      </w:r>
      <w:r>
        <w:rPr>
          <w:rFonts w:hint="eastAsia"/>
          <w:color w:val="auto"/>
          <w:sz w:val="28"/>
          <w:szCs w:val="28"/>
          <w:vertAlign w:val="superscript"/>
        </w:rPr>
        <w:t>3</w:t>
      </w:r>
      <w:r>
        <w:rPr>
          <w:rFonts w:hint="eastAsia"/>
          <w:color w:val="auto"/>
          <w:sz w:val="28"/>
          <w:szCs w:val="28"/>
        </w:rPr>
        <w:t>的事故应急池，可满足消防废水和事故废水的收集需求。</w:t>
      </w:r>
    </w:p>
    <w:p>
      <w:pPr>
        <w:spacing w:line="360" w:lineRule="auto"/>
        <w:jc w:val="center"/>
        <w:rPr>
          <w:rFonts w:hint="eastAsia" w:ascii="黑体" w:hAnsi="宋体" w:eastAsia="黑体"/>
          <w:color w:val="000000"/>
          <w:sz w:val="24"/>
        </w:rPr>
      </w:pPr>
    </w:p>
    <w:p>
      <w:pPr>
        <w:autoSpaceDE w:val="0"/>
        <w:autoSpaceDN w:val="0"/>
        <w:adjustRightInd w:val="0"/>
        <w:spacing w:before="120" w:beforeLines="50" w:line="360" w:lineRule="auto"/>
        <w:jc w:val="left"/>
        <w:rPr>
          <w:rFonts w:hint="eastAsia"/>
          <w:szCs w:val="28"/>
          <w:lang w:eastAsia="zh-CN"/>
        </w:rPr>
      </w:pPr>
    </w:p>
    <w:p>
      <w:pPr>
        <w:autoSpaceDE w:val="0"/>
        <w:autoSpaceDN w:val="0"/>
        <w:adjustRightInd w:val="0"/>
        <w:spacing w:before="120" w:beforeLines="50" w:line="360" w:lineRule="auto"/>
        <w:ind w:firstLine="621" w:firstLineChars="225"/>
        <w:jc w:val="left"/>
        <w:rPr>
          <w:rFonts w:hint="eastAsia"/>
          <w:szCs w:val="28"/>
          <w:lang w:eastAsia="zh-CN"/>
        </w:rPr>
      </w:pPr>
    </w:p>
    <w:p>
      <w:pPr>
        <w:autoSpaceDE w:val="0"/>
        <w:autoSpaceDN w:val="0"/>
        <w:adjustRightInd w:val="0"/>
        <w:spacing w:before="120" w:beforeLines="50" w:line="360" w:lineRule="auto"/>
        <w:jc w:val="left"/>
        <w:rPr>
          <w:spacing w:val="0"/>
          <w:sz w:val="21"/>
          <w:szCs w:val="21"/>
        </w:rPr>
        <w:sectPr>
          <w:footerReference r:id="rId13" w:type="default"/>
          <w:pgSz w:w="11906" w:h="16838"/>
          <w:pgMar w:top="1418" w:right="1418" w:bottom="1418" w:left="1418" w:header="851" w:footer="959" w:gutter="0"/>
          <w:pgBorders>
            <w:top w:val="none" w:sz="0" w:space="0"/>
            <w:left w:val="none" w:sz="0" w:space="0"/>
            <w:bottom w:val="none" w:sz="0" w:space="0"/>
            <w:right w:val="none" w:sz="0" w:space="0"/>
          </w:pgBorders>
          <w:pgNumType w:fmt="decimal"/>
          <w:cols w:space="720" w:num="1"/>
          <w:docGrid w:linePitch="381" w:charSpace="0"/>
        </w:sectPr>
      </w:pPr>
    </w:p>
    <w:p>
      <w:pPr>
        <w:pStyle w:val="2"/>
        <w:jc w:val="center"/>
      </w:pPr>
      <w:bookmarkStart w:id="170" w:name="_Toc23426"/>
      <w:bookmarkStart w:id="171" w:name="_Toc28155"/>
      <w:bookmarkStart w:id="172" w:name="_Toc7616"/>
      <w:bookmarkStart w:id="173" w:name="_Toc15820"/>
      <w:r>
        <w:t>4应急能力评估</w:t>
      </w:r>
      <w:bookmarkEnd w:id="170"/>
      <w:bookmarkEnd w:id="171"/>
      <w:bookmarkEnd w:id="172"/>
      <w:bookmarkEnd w:id="173"/>
    </w:p>
    <w:p>
      <w:pPr>
        <w:pStyle w:val="17"/>
        <w:ind w:firstLine="560" w:firstLineChars="200"/>
        <w:rPr>
          <w:rFonts w:ascii="Times New Roman" w:hAnsi="Times New Roman"/>
        </w:rPr>
      </w:pPr>
      <w:r>
        <w:rPr>
          <w:rFonts w:ascii="Times New Roman" w:hAnsi="Times New Roman"/>
        </w:rPr>
        <w:t>影响</w:t>
      </w:r>
      <w:r>
        <w:rPr>
          <w:rFonts w:hint="eastAsia" w:ascii="Times New Roman" w:hAnsi="Times New Roman"/>
          <w:lang w:eastAsia="zh-CN"/>
        </w:rPr>
        <w:t>公司</w:t>
      </w:r>
      <w:r>
        <w:rPr>
          <w:rFonts w:ascii="Times New Roman" w:hAnsi="Times New Roman"/>
        </w:rPr>
        <w:t>应急能力的因素主要包括组织管理、制度建设、保障系统、人力资源四个部分构成。具体细分为人力资源、通报和通信联络设备、个人防护设备、</w:t>
      </w:r>
      <w:r>
        <w:rPr>
          <w:rFonts w:hint="eastAsia" w:ascii="Times New Roman" w:hAnsi="Times New Roman"/>
          <w:lang w:eastAsia="zh-CN"/>
        </w:rPr>
        <w:t>应急</w:t>
      </w:r>
      <w:r>
        <w:rPr>
          <w:rFonts w:ascii="Times New Roman" w:hAnsi="Times New Roman"/>
        </w:rPr>
        <w:t>设备和供应、事故控制和防污染设备及供应、医疗保障及设施、设备及供应、医疗保障及设施设备和供应、交通系统、保安和进出管制设备、社会服务机构设施和设备等评估指标。</w:t>
      </w:r>
    </w:p>
    <w:p>
      <w:pPr>
        <w:pStyle w:val="3"/>
      </w:pPr>
      <w:bookmarkStart w:id="174" w:name="_Toc22081"/>
      <w:bookmarkStart w:id="175" w:name="_Toc30108"/>
      <w:bookmarkStart w:id="176" w:name="_Toc377019928"/>
      <w:bookmarkStart w:id="177" w:name="_Toc22208"/>
      <w:bookmarkStart w:id="178" w:name="_Toc12586"/>
      <w:r>
        <w:t>4.1消防设施</w:t>
      </w:r>
      <w:bookmarkEnd w:id="174"/>
      <w:bookmarkEnd w:id="175"/>
      <w:bookmarkEnd w:id="176"/>
      <w:bookmarkEnd w:id="177"/>
      <w:bookmarkEnd w:id="178"/>
    </w:p>
    <w:p>
      <w:pPr>
        <w:spacing w:line="360" w:lineRule="auto"/>
        <w:ind w:firstLine="552" w:firstLineChars="200"/>
        <w:rPr>
          <w:szCs w:val="28"/>
        </w:rPr>
      </w:pPr>
      <w:r>
        <w:rPr>
          <w:rFonts w:hint="eastAsia"/>
          <w:szCs w:val="28"/>
          <w:lang w:eastAsia="zh-CN"/>
        </w:rPr>
        <w:t>公司</w:t>
      </w:r>
      <w:r>
        <w:rPr>
          <w:rFonts w:hint="eastAsia"/>
          <w:szCs w:val="28"/>
        </w:rPr>
        <w:t>消防系统分为水灭火系统与移动灭火系统。</w:t>
      </w:r>
      <w:r>
        <w:rPr>
          <w:szCs w:val="28"/>
        </w:rPr>
        <w:t>消防设施主要为</w:t>
      </w:r>
      <w:r>
        <w:rPr>
          <w:rFonts w:hint="eastAsia"/>
          <w:szCs w:val="28"/>
        </w:rPr>
        <w:t>消防水带、直流水枪、灭火器</w:t>
      </w:r>
      <w:r>
        <w:rPr>
          <w:rFonts w:hint="eastAsia"/>
          <w:szCs w:val="28"/>
          <w:lang w:eastAsia="zh-CN"/>
        </w:rPr>
        <w:t>等</w:t>
      </w:r>
      <w:r>
        <w:rPr>
          <w:szCs w:val="28"/>
        </w:rPr>
        <w:t>，均放置于显眼易于取用的地方，厂内灭火器的配置符合《建筑灭火器配置设计规范》(GB50140-2005)，能满足厂区消防安全的需要。</w:t>
      </w:r>
    </w:p>
    <w:p>
      <w:pPr>
        <w:spacing w:line="360" w:lineRule="auto"/>
        <w:ind w:firstLine="516" w:firstLineChars="187"/>
      </w:pPr>
      <w:r>
        <w:t>本公司所配备的消防器材，见表4-1所示。</w:t>
      </w:r>
    </w:p>
    <w:p>
      <w:pPr>
        <w:ind w:firstLine="3033" w:firstLineChars="1280"/>
        <w:rPr>
          <w:b/>
          <w:sz w:val="24"/>
        </w:rPr>
      </w:pPr>
      <w:r>
        <w:rPr>
          <w:b/>
          <w:sz w:val="24"/>
        </w:rPr>
        <w:t>表4-1     消防器材一览表</w:t>
      </w:r>
    </w:p>
    <w:tbl>
      <w:tblPr>
        <w:tblStyle w:val="42"/>
        <w:tblW w:w="9145"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448"/>
        <w:gridCol w:w="1707"/>
        <w:gridCol w:w="2091"/>
        <w:gridCol w:w="289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20" w:hRule="atLeast"/>
          <w:jc w:val="center"/>
        </w:trPr>
        <w:tc>
          <w:tcPr>
            <w:tcW w:w="2448" w:type="dxa"/>
            <w:shd w:val="clear" w:color="auto" w:fill="auto"/>
            <w:vAlign w:val="center"/>
          </w:tcPr>
          <w:p>
            <w:pPr>
              <w:adjustRightInd w:val="0"/>
              <w:spacing w:line="320" w:lineRule="exact"/>
              <w:jc w:val="center"/>
              <w:rPr>
                <w:rFonts w:eastAsiaTheme="minorEastAsia"/>
                <w:b/>
                <w:sz w:val="24"/>
                <w:szCs w:val="24"/>
              </w:rPr>
            </w:pPr>
            <w:r>
              <w:rPr>
                <w:rFonts w:hAnsiTheme="minorEastAsia" w:eastAsiaTheme="minorEastAsia"/>
                <w:b/>
                <w:sz w:val="24"/>
                <w:szCs w:val="24"/>
              </w:rPr>
              <w:t>设备名称</w:t>
            </w:r>
          </w:p>
        </w:tc>
        <w:tc>
          <w:tcPr>
            <w:tcW w:w="1707" w:type="dxa"/>
            <w:shd w:val="clear" w:color="auto" w:fill="auto"/>
            <w:vAlign w:val="center"/>
          </w:tcPr>
          <w:p>
            <w:pPr>
              <w:adjustRightInd w:val="0"/>
              <w:spacing w:line="320" w:lineRule="exact"/>
              <w:jc w:val="center"/>
              <w:rPr>
                <w:rFonts w:eastAsiaTheme="minorEastAsia"/>
                <w:b/>
                <w:sz w:val="24"/>
                <w:szCs w:val="24"/>
              </w:rPr>
            </w:pPr>
            <w:r>
              <w:rPr>
                <w:rFonts w:hAnsiTheme="minorEastAsia" w:eastAsiaTheme="minorEastAsia"/>
                <w:b/>
                <w:sz w:val="24"/>
                <w:szCs w:val="24"/>
              </w:rPr>
              <w:t>数量</w:t>
            </w:r>
          </w:p>
        </w:tc>
        <w:tc>
          <w:tcPr>
            <w:tcW w:w="2091" w:type="dxa"/>
            <w:vAlign w:val="center"/>
          </w:tcPr>
          <w:p>
            <w:pPr>
              <w:adjustRightInd w:val="0"/>
              <w:spacing w:line="320" w:lineRule="exact"/>
              <w:jc w:val="center"/>
              <w:rPr>
                <w:rFonts w:eastAsiaTheme="minorEastAsia"/>
                <w:b/>
                <w:sz w:val="24"/>
                <w:szCs w:val="24"/>
              </w:rPr>
            </w:pPr>
            <w:r>
              <w:rPr>
                <w:rFonts w:hAnsiTheme="minorEastAsia" w:eastAsiaTheme="minorEastAsia"/>
                <w:b/>
                <w:sz w:val="24"/>
                <w:szCs w:val="24"/>
              </w:rPr>
              <w:t>规格等</w:t>
            </w:r>
          </w:p>
        </w:tc>
        <w:tc>
          <w:tcPr>
            <w:tcW w:w="2899" w:type="dxa"/>
            <w:shd w:val="clear" w:color="auto" w:fill="auto"/>
            <w:vAlign w:val="center"/>
          </w:tcPr>
          <w:p>
            <w:pPr>
              <w:adjustRightInd w:val="0"/>
              <w:spacing w:line="320" w:lineRule="exact"/>
              <w:jc w:val="center"/>
              <w:rPr>
                <w:rFonts w:eastAsiaTheme="minorEastAsia"/>
                <w:b/>
                <w:sz w:val="24"/>
                <w:szCs w:val="24"/>
              </w:rPr>
            </w:pPr>
            <w:r>
              <w:rPr>
                <w:rFonts w:hAnsiTheme="minorEastAsia" w:eastAsiaTheme="minorEastAsia"/>
                <w:b/>
                <w:sz w:val="24"/>
                <w:szCs w:val="24"/>
              </w:rPr>
              <w:t>具体位置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20" w:hRule="atLeast"/>
          <w:jc w:val="center"/>
        </w:trPr>
        <w:tc>
          <w:tcPr>
            <w:tcW w:w="2448" w:type="dxa"/>
            <w:shd w:val="clear" w:color="auto" w:fill="auto"/>
            <w:vAlign w:val="center"/>
          </w:tcPr>
          <w:p>
            <w:pPr>
              <w:adjustRightInd w:val="0"/>
              <w:snapToGrid w:val="0"/>
              <w:jc w:val="center"/>
              <w:rPr>
                <w:rFonts w:ascii="Times New Roman" w:hAnsi="Times New Roman"/>
                <w:sz w:val="24"/>
                <w:szCs w:val="24"/>
              </w:rPr>
            </w:pPr>
            <w:r>
              <w:rPr>
                <w:rFonts w:ascii="Times New Roman" w:hAnsi="Times New Roman"/>
                <w:sz w:val="24"/>
                <w:szCs w:val="24"/>
              </w:rPr>
              <w:t>消防水带</w:t>
            </w:r>
          </w:p>
        </w:tc>
        <w:tc>
          <w:tcPr>
            <w:tcW w:w="1707" w:type="dxa"/>
            <w:shd w:val="clear" w:color="auto" w:fill="auto"/>
            <w:vAlign w:val="center"/>
          </w:tcPr>
          <w:p>
            <w:pPr>
              <w:adjustRightInd w:val="0"/>
              <w:snapToGrid w:val="0"/>
              <w:jc w:val="center"/>
              <w:rPr>
                <w:rFonts w:hint="default" w:ascii="Times New Roman" w:hAnsi="Times New Roman"/>
                <w:sz w:val="24"/>
                <w:szCs w:val="24"/>
                <w:lang w:val="en-US" w:eastAsia="zh-CN"/>
              </w:rPr>
            </w:pPr>
            <w:r>
              <w:rPr>
                <w:rFonts w:hint="eastAsia" w:ascii="Times New Roman" w:hAnsi="Times New Roman"/>
                <w:sz w:val="24"/>
                <w:szCs w:val="24"/>
              </w:rPr>
              <w:t>50条</w:t>
            </w:r>
          </w:p>
        </w:tc>
        <w:tc>
          <w:tcPr>
            <w:tcW w:w="2091" w:type="dxa"/>
            <w:vAlign w:val="center"/>
          </w:tcPr>
          <w:p>
            <w:pPr>
              <w:adjustRightInd w:val="0"/>
              <w:snapToGrid w:val="0"/>
              <w:jc w:val="center"/>
              <w:rPr>
                <w:rFonts w:hint="eastAsia" w:ascii="Times New Roman" w:hAnsi="Times New Roman"/>
                <w:sz w:val="24"/>
                <w:szCs w:val="24"/>
                <w:lang w:val="en-US" w:eastAsia="zh-CN"/>
              </w:rPr>
            </w:pPr>
            <w:r>
              <w:rPr>
                <w:rFonts w:hint="eastAsia" w:ascii="Times New Roman" w:hAnsi="Times New Roman"/>
                <w:sz w:val="24"/>
                <w:szCs w:val="24"/>
                <w:lang w:val="en-US" w:eastAsia="zh-CN"/>
              </w:rPr>
              <w:t>/</w:t>
            </w:r>
          </w:p>
        </w:tc>
        <w:tc>
          <w:tcPr>
            <w:tcW w:w="2899" w:type="dxa"/>
            <w:shd w:val="clear" w:color="auto" w:fill="auto"/>
            <w:vAlign w:val="center"/>
          </w:tcPr>
          <w:p>
            <w:pPr>
              <w:adjustRightInd w:val="0"/>
              <w:snapToGrid w:val="0"/>
              <w:jc w:val="center"/>
              <w:rPr>
                <w:rFonts w:hint="eastAsia" w:ascii="Times New Roman" w:hAnsi="Times New Roman"/>
                <w:sz w:val="24"/>
                <w:szCs w:val="24"/>
                <w:lang w:eastAsia="zh-CN"/>
              </w:rPr>
            </w:pPr>
            <w:r>
              <w:rPr>
                <w:rFonts w:hint="eastAsia" w:ascii="Times New Roman" w:hAnsi="Times New Roman"/>
                <w:sz w:val="24"/>
                <w:szCs w:val="24"/>
              </w:rPr>
              <w:t>综合楼、前处理、厌氧罐区、脱硫车间、锅炉房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20" w:hRule="atLeast"/>
          <w:jc w:val="center"/>
        </w:trPr>
        <w:tc>
          <w:tcPr>
            <w:tcW w:w="2448" w:type="dxa"/>
            <w:shd w:val="clear" w:color="auto" w:fill="auto"/>
            <w:vAlign w:val="center"/>
          </w:tcPr>
          <w:p>
            <w:pPr>
              <w:adjustRightInd w:val="0"/>
              <w:snapToGrid w:val="0"/>
              <w:jc w:val="center"/>
              <w:rPr>
                <w:rFonts w:ascii="Times New Roman" w:hAnsi="Times New Roman"/>
                <w:sz w:val="24"/>
                <w:szCs w:val="24"/>
              </w:rPr>
            </w:pPr>
            <w:r>
              <w:rPr>
                <w:rFonts w:ascii="Times New Roman" w:hAnsi="Times New Roman"/>
                <w:sz w:val="24"/>
                <w:szCs w:val="24"/>
              </w:rPr>
              <w:t>直流水枪</w:t>
            </w:r>
          </w:p>
        </w:tc>
        <w:tc>
          <w:tcPr>
            <w:tcW w:w="1707" w:type="dxa"/>
            <w:shd w:val="clear" w:color="auto" w:fill="auto"/>
            <w:vAlign w:val="center"/>
          </w:tcPr>
          <w:p>
            <w:pPr>
              <w:adjustRightInd w:val="0"/>
              <w:snapToGrid w:val="0"/>
              <w:jc w:val="center"/>
              <w:rPr>
                <w:rFonts w:hint="default" w:ascii="Times New Roman" w:hAnsi="Times New Roman"/>
                <w:sz w:val="24"/>
                <w:szCs w:val="24"/>
                <w:lang w:val="en-US" w:eastAsia="zh-CN"/>
              </w:rPr>
            </w:pPr>
            <w:r>
              <w:rPr>
                <w:rFonts w:hint="eastAsia" w:ascii="Times New Roman" w:hAnsi="Times New Roman"/>
                <w:sz w:val="24"/>
                <w:szCs w:val="24"/>
              </w:rPr>
              <w:t>50个</w:t>
            </w:r>
          </w:p>
        </w:tc>
        <w:tc>
          <w:tcPr>
            <w:tcW w:w="2091" w:type="dxa"/>
            <w:vAlign w:val="center"/>
          </w:tcPr>
          <w:p>
            <w:pPr>
              <w:adjustRightInd w:val="0"/>
              <w:snapToGrid w:val="0"/>
              <w:jc w:val="center"/>
              <w:rPr>
                <w:rFonts w:hint="eastAsia" w:ascii="Times New Roman" w:hAnsi="Times New Roman"/>
                <w:sz w:val="24"/>
                <w:szCs w:val="24"/>
                <w:lang w:val="en-US" w:eastAsia="zh-CN"/>
              </w:rPr>
            </w:pPr>
            <w:r>
              <w:rPr>
                <w:rFonts w:hint="eastAsia" w:ascii="Times New Roman" w:hAnsi="Times New Roman"/>
                <w:sz w:val="24"/>
                <w:szCs w:val="24"/>
                <w:lang w:val="en-US" w:eastAsia="zh-CN"/>
              </w:rPr>
              <w:t>/</w:t>
            </w:r>
          </w:p>
        </w:tc>
        <w:tc>
          <w:tcPr>
            <w:tcW w:w="2899" w:type="dxa"/>
            <w:shd w:val="clear" w:color="auto" w:fill="auto"/>
            <w:vAlign w:val="center"/>
          </w:tcPr>
          <w:p>
            <w:pPr>
              <w:adjustRightInd w:val="0"/>
              <w:snapToGrid w:val="0"/>
              <w:jc w:val="center"/>
              <w:rPr>
                <w:rFonts w:ascii="Times New Roman" w:hAnsi="Times New Roman"/>
                <w:sz w:val="24"/>
                <w:szCs w:val="24"/>
              </w:rPr>
            </w:pPr>
            <w:r>
              <w:rPr>
                <w:rFonts w:hint="eastAsia" w:ascii="Times New Roman" w:hAnsi="Times New Roman"/>
                <w:sz w:val="24"/>
                <w:szCs w:val="24"/>
              </w:rPr>
              <w:t>综合楼、前处理、厌氧罐区、脱硫车间、锅炉房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20" w:hRule="atLeast"/>
          <w:jc w:val="center"/>
        </w:trPr>
        <w:tc>
          <w:tcPr>
            <w:tcW w:w="2448" w:type="dxa"/>
            <w:shd w:val="clear" w:color="auto" w:fill="auto"/>
            <w:vAlign w:val="center"/>
          </w:tcPr>
          <w:p>
            <w:pPr>
              <w:adjustRightInd w:val="0"/>
              <w:snapToGrid w:val="0"/>
              <w:jc w:val="center"/>
              <w:rPr>
                <w:rFonts w:ascii="Times New Roman" w:hAnsi="Times New Roman"/>
                <w:sz w:val="24"/>
                <w:szCs w:val="24"/>
              </w:rPr>
            </w:pPr>
            <w:r>
              <w:rPr>
                <w:rFonts w:ascii="Times New Roman" w:hAnsi="Times New Roman"/>
                <w:sz w:val="24"/>
                <w:szCs w:val="24"/>
              </w:rPr>
              <w:t>消防栓</w:t>
            </w:r>
          </w:p>
        </w:tc>
        <w:tc>
          <w:tcPr>
            <w:tcW w:w="1707" w:type="dxa"/>
            <w:shd w:val="clear" w:color="auto" w:fill="auto"/>
            <w:vAlign w:val="center"/>
          </w:tcPr>
          <w:p>
            <w:pPr>
              <w:adjustRightInd w:val="0"/>
              <w:snapToGrid w:val="0"/>
              <w:jc w:val="center"/>
              <w:rPr>
                <w:rFonts w:hint="default" w:ascii="Times New Roman" w:hAnsi="Times New Roman"/>
                <w:sz w:val="24"/>
                <w:szCs w:val="24"/>
                <w:lang w:val="en-US" w:eastAsia="zh-CN"/>
              </w:rPr>
            </w:pPr>
            <w:r>
              <w:rPr>
                <w:rFonts w:hint="eastAsia" w:ascii="Times New Roman" w:hAnsi="Times New Roman"/>
                <w:sz w:val="24"/>
                <w:szCs w:val="24"/>
              </w:rPr>
              <w:t>50个</w:t>
            </w:r>
          </w:p>
        </w:tc>
        <w:tc>
          <w:tcPr>
            <w:tcW w:w="2091" w:type="dxa"/>
            <w:vAlign w:val="center"/>
          </w:tcPr>
          <w:p>
            <w:pPr>
              <w:adjustRightInd w:val="0"/>
              <w:snapToGrid w:val="0"/>
              <w:jc w:val="center"/>
              <w:rPr>
                <w:rFonts w:hint="eastAsia" w:ascii="Times New Roman" w:hAnsi="Times New Roman"/>
                <w:sz w:val="24"/>
                <w:szCs w:val="24"/>
                <w:lang w:val="en-US" w:eastAsia="zh-CN"/>
              </w:rPr>
            </w:pPr>
            <w:r>
              <w:rPr>
                <w:rFonts w:hint="eastAsia" w:ascii="Times New Roman" w:hAnsi="Times New Roman"/>
                <w:sz w:val="24"/>
                <w:szCs w:val="24"/>
                <w:lang w:val="en-US" w:eastAsia="zh-CN"/>
              </w:rPr>
              <w:t>/</w:t>
            </w:r>
          </w:p>
        </w:tc>
        <w:tc>
          <w:tcPr>
            <w:tcW w:w="2899" w:type="dxa"/>
            <w:shd w:val="clear" w:color="auto" w:fill="auto"/>
            <w:vAlign w:val="center"/>
          </w:tcPr>
          <w:p>
            <w:pPr>
              <w:adjustRightInd w:val="0"/>
              <w:snapToGrid w:val="0"/>
              <w:jc w:val="center"/>
              <w:rPr>
                <w:rFonts w:ascii="Times New Roman" w:hAnsi="Times New Roman"/>
                <w:sz w:val="24"/>
                <w:szCs w:val="24"/>
              </w:rPr>
            </w:pPr>
            <w:r>
              <w:rPr>
                <w:rFonts w:hint="eastAsia" w:ascii="Times New Roman" w:hAnsi="Times New Roman"/>
                <w:sz w:val="24"/>
                <w:szCs w:val="24"/>
              </w:rPr>
              <w:t>综合楼、前处理、厌氧罐区、脱硫车间、锅炉房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20" w:hRule="atLeast"/>
          <w:jc w:val="center"/>
        </w:trPr>
        <w:tc>
          <w:tcPr>
            <w:tcW w:w="2448" w:type="dxa"/>
            <w:shd w:val="clear" w:color="auto" w:fill="auto"/>
            <w:vAlign w:val="center"/>
          </w:tcPr>
          <w:p>
            <w:pPr>
              <w:adjustRightInd w:val="0"/>
              <w:snapToGrid w:val="0"/>
              <w:jc w:val="center"/>
              <w:rPr>
                <w:rFonts w:ascii="Times New Roman" w:hAnsi="Times New Roman"/>
                <w:sz w:val="24"/>
                <w:szCs w:val="24"/>
              </w:rPr>
            </w:pPr>
            <w:r>
              <w:rPr>
                <w:rFonts w:ascii="Times New Roman" w:hAnsi="Times New Roman"/>
                <w:sz w:val="24"/>
                <w:szCs w:val="24"/>
              </w:rPr>
              <w:t>灭火器</w:t>
            </w:r>
          </w:p>
        </w:tc>
        <w:tc>
          <w:tcPr>
            <w:tcW w:w="1707" w:type="dxa"/>
            <w:shd w:val="clear" w:color="auto" w:fill="auto"/>
            <w:vAlign w:val="center"/>
          </w:tcPr>
          <w:p>
            <w:pPr>
              <w:adjustRightInd w:val="0"/>
              <w:snapToGrid w:val="0"/>
              <w:jc w:val="center"/>
              <w:rPr>
                <w:rFonts w:hint="default" w:ascii="Times New Roman" w:hAnsi="Times New Roman"/>
                <w:sz w:val="24"/>
                <w:szCs w:val="24"/>
                <w:lang w:val="en-US" w:eastAsia="zh-CN"/>
              </w:rPr>
            </w:pPr>
            <w:r>
              <w:rPr>
                <w:rFonts w:hint="eastAsia" w:ascii="Times New Roman" w:hAnsi="Times New Roman"/>
                <w:sz w:val="24"/>
                <w:szCs w:val="24"/>
              </w:rPr>
              <w:t>157个</w:t>
            </w:r>
          </w:p>
        </w:tc>
        <w:tc>
          <w:tcPr>
            <w:tcW w:w="2091" w:type="dxa"/>
            <w:vAlign w:val="center"/>
          </w:tcPr>
          <w:p>
            <w:pPr>
              <w:adjustRightInd w:val="0"/>
              <w:snapToGrid w:val="0"/>
              <w:jc w:val="center"/>
              <w:rPr>
                <w:rFonts w:hint="eastAsia" w:ascii="Times New Roman" w:hAnsi="Times New Roman"/>
                <w:sz w:val="24"/>
                <w:szCs w:val="24"/>
                <w:lang w:val="en-US" w:eastAsia="zh-CN"/>
              </w:rPr>
            </w:pPr>
            <w:r>
              <w:rPr>
                <w:rFonts w:hint="eastAsia" w:ascii="Times New Roman" w:hAnsi="Times New Roman"/>
                <w:sz w:val="24"/>
                <w:szCs w:val="24"/>
                <w:lang w:val="en-US" w:eastAsia="zh-CN"/>
              </w:rPr>
              <w:t>/</w:t>
            </w:r>
          </w:p>
        </w:tc>
        <w:tc>
          <w:tcPr>
            <w:tcW w:w="2899" w:type="dxa"/>
            <w:shd w:val="clear" w:color="auto" w:fill="auto"/>
            <w:vAlign w:val="center"/>
          </w:tcPr>
          <w:p>
            <w:pPr>
              <w:adjustRightInd w:val="0"/>
              <w:snapToGrid w:val="0"/>
              <w:jc w:val="center"/>
              <w:rPr>
                <w:rFonts w:ascii="Times New Roman" w:hAnsi="Times New Roman"/>
                <w:sz w:val="24"/>
                <w:szCs w:val="24"/>
              </w:rPr>
            </w:pPr>
            <w:r>
              <w:rPr>
                <w:rFonts w:hint="eastAsia" w:ascii="Times New Roman" w:hAnsi="Times New Roman"/>
                <w:sz w:val="24"/>
                <w:szCs w:val="24"/>
              </w:rPr>
              <w:t>综合楼、前处理、厌氧罐区、脱硫车间、锅炉房、高压电房、保安室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20" w:hRule="atLeast"/>
          <w:jc w:val="center"/>
        </w:trPr>
        <w:tc>
          <w:tcPr>
            <w:tcW w:w="2448" w:type="dxa"/>
            <w:shd w:val="clear" w:color="auto" w:fill="auto"/>
            <w:vAlign w:val="center"/>
          </w:tcPr>
          <w:p>
            <w:pPr>
              <w:adjustRightInd w:val="0"/>
              <w:snapToGrid w:val="0"/>
              <w:jc w:val="center"/>
              <w:rPr>
                <w:rFonts w:hint="eastAsia" w:ascii="Times New Roman" w:hAnsi="Times New Roman"/>
                <w:sz w:val="24"/>
                <w:szCs w:val="24"/>
                <w:lang w:eastAsia="zh-CN"/>
              </w:rPr>
            </w:pPr>
            <w:r>
              <w:rPr>
                <w:rFonts w:hint="eastAsia" w:ascii="Times New Roman" w:hAnsi="Times New Roman"/>
                <w:sz w:val="24"/>
                <w:szCs w:val="24"/>
                <w:lang w:eastAsia="zh-CN"/>
              </w:rPr>
              <w:t>消防沙</w:t>
            </w:r>
          </w:p>
        </w:tc>
        <w:tc>
          <w:tcPr>
            <w:tcW w:w="1707" w:type="dxa"/>
            <w:shd w:val="clear" w:color="auto" w:fill="auto"/>
            <w:vAlign w:val="center"/>
          </w:tcPr>
          <w:p>
            <w:pPr>
              <w:adjustRightInd w:val="0"/>
              <w:snapToGrid w:val="0"/>
              <w:jc w:val="center"/>
              <w:rPr>
                <w:rFonts w:hint="default" w:ascii="Times New Roman" w:hAnsi="Times New Roman"/>
                <w:sz w:val="24"/>
                <w:szCs w:val="24"/>
                <w:lang w:val="en-US" w:eastAsia="zh-CN"/>
              </w:rPr>
            </w:pPr>
            <w:r>
              <w:rPr>
                <w:rFonts w:hint="eastAsia" w:ascii="Times New Roman" w:hAnsi="Times New Roman"/>
                <w:sz w:val="24"/>
                <w:szCs w:val="24"/>
              </w:rPr>
              <w:t>——</w:t>
            </w:r>
          </w:p>
        </w:tc>
        <w:tc>
          <w:tcPr>
            <w:tcW w:w="2091" w:type="dxa"/>
            <w:vAlign w:val="center"/>
          </w:tcPr>
          <w:p>
            <w:pPr>
              <w:adjustRightInd w:val="0"/>
              <w:snapToGrid w:val="0"/>
              <w:jc w:val="center"/>
              <w:rPr>
                <w:rFonts w:hint="eastAsia" w:ascii="Times New Roman" w:hAnsi="Times New Roman"/>
                <w:sz w:val="24"/>
                <w:szCs w:val="24"/>
                <w:lang w:val="en-US" w:eastAsia="zh-CN"/>
              </w:rPr>
            </w:pPr>
            <w:r>
              <w:rPr>
                <w:rFonts w:hint="eastAsia" w:ascii="Times New Roman" w:hAnsi="Times New Roman"/>
                <w:sz w:val="24"/>
                <w:szCs w:val="24"/>
                <w:lang w:val="en-US" w:eastAsia="zh-CN"/>
              </w:rPr>
              <w:t>/</w:t>
            </w:r>
          </w:p>
        </w:tc>
        <w:tc>
          <w:tcPr>
            <w:tcW w:w="2899" w:type="dxa"/>
            <w:shd w:val="clear" w:color="auto" w:fill="auto"/>
            <w:vAlign w:val="center"/>
          </w:tcPr>
          <w:p>
            <w:pPr>
              <w:adjustRightInd w:val="0"/>
              <w:snapToGrid w:val="0"/>
              <w:jc w:val="center"/>
              <w:rPr>
                <w:rFonts w:hint="default" w:ascii="Times New Roman" w:hAnsi="Times New Roman"/>
                <w:sz w:val="24"/>
                <w:szCs w:val="24"/>
                <w:lang w:val="en-US" w:eastAsia="zh-CN"/>
              </w:rPr>
            </w:pPr>
            <w:r>
              <w:rPr>
                <w:rFonts w:hint="eastAsia" w:ascii="Times New Roman" w:hAnsi="Times New Roman"/>
                <w:sz w:val="24"/>
                <w:szCs w:val="24"/>
              </w:rPr>
              <w:t>脱硫车间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20" w:hRule="atLeast"/>
          <w:jc w:val="center"/>
        </w:trPr>
        <w:tc>
          <w:tcPr>
            <w:tcW w:w="2448" w:type="dxa"/>
            <w:shd w:val="clear" w:color="auto" w:fill="auto"/>
            <w:vAlign w:val="center"/>
          </w:tcPr>
          <w:p>
            <w:pPr>
              <w:adjustRightInd w:val="0"/>
              <w:snapToGrid w:val="0"/>
              <w:jc w:val="center"/>
              <w:rPr>
                <w:rFonts w:ascii="Times New Roman" w:hAnsi="Times New Roman"/>
                <w:sz w:val="24"/>
                <w:szCs w:val="24"/>
              </w:rPr>
            </w:pPr>
            <w:r>
              <w:rPr>
                <w:rFonts w:ascii="Times New Roman" w:hAnsi="Times New Roman"/>
                <w:sz w:val="24"/>
                <w:szCs w:val="24"/>
              </w:rPr>
              <w:t>消防水池</w:t>
            </w:r>
          </w:p>
        </w:tc>
        <w:tc>
          <w:tcPr>
            <w:tcW w:w="1707" w:type="dxa"/>
            <w:shd w:val="clear" w:color="auto" w:fill="auto"/>
            <w:vAlign w:val="center"/>
          </w:tcPr>
          <w:p>
            <w:pPr>
              <w:adjustRightInd w:val="0"/>
              <w:snapToGrid w:val="0"/>
              <w:jc w:val="center"/>
              <w:rPr>
                <w:rFonts w:hint="eastAsia" w:ascii="Times New Roman" w:hAnsi="Times New Roman"/>
                <w:sz w:val="24"/>
                <w:szCs w:val="24"/>
                <w:lang w:eastAsia="zh-CN"/>
              </w:rPr>
            </w:pPr>
            <w:r>
              <w:rPr>
                <w:rFonts w:hint="eastAsia" w:ascii="Times New Roman" w:hAnsi="Times New Roman"/>
                <w:sz w:val="24"/>
                <w:szCs w:val="24"/>
              </w:rPr>
              <w:t>1</w:t>
            </w:r>
          </w:p>
        </w:tc>
        <w:tc>
          <w:tcPr>
            <w:tcW w:w="2091" w:type="dxa"/>
            <w:vAlign w:val="center"/>
          </w:tcPr>
          <w:p>
            <w:pPr>
              <w:adjustRightInd w:val="0"/>
              <w:snapToGrid w:val="0"/>
              <w:jc w:val="center"/>
              <w:rPr>
                <w:rFonts w:ascii="Times New Roman" w:hAnsi="Times New Roman"/>
                <w:sz w:val="24"/>
                <w:szCs w:val="24"/>
              </w:rPr>
            </w:pPr>
            <w:r>
              <w:rPr>
                <w:rFonts w:ascii="Times New Roman" w:hAnsi="Times New Roman"/>
                <w:sz w:val="24"/>
                <w:szCs w:val="24"/>
              </w:rPr>
              <w:t>1</w:t>
            </w:r>
            <w:r>
              <w:rPr>
                <w:rFonts w:hint="eastAsia" w:ascii="Times New Roman" w:hAnsi="Times New Roman"/>
                <w:sz w:val="24"/>
                <w:szCs w:val="24"/>
                <w:lang w:val="en-US" w:eastAsia="zh-CN"/>
              </w:rPr>
              <w:t>72</w:t>
            </w:r>
            <w:r>
              <w:rPr>
                <w:rFonts w:ascii="Times New Roman" w:hAnsi="Times New Roman"/>
                <w:sz w:val="24"/>
                <w:szCs w:val="24"/>
              </w:rPr>
              <w:t>m</w:t>
            </w:r>
            <w:r>
              <w:rPr>
                <w:rFonts w:ascii="Times New Roman" w:hAnsi="Times New Roman"/>
                <w:sz w:val="24"/>
                <w:szCs w:val="24"/>
                <w:vertAlign w:val="superscript"/>
              </w:rPr>
              <w:t>3</w:t>
            </w:r>
          </w:p>
        </w:tc>
        <w:tc>
          <w:tcPr>
            <w:tcW w:w="2899" w:type="dxa"/>
            <w:shd w:val="clear" w:color="auto" w:fill="auto"/>
            <w:vAlign w:val="center"/>
          </w:tcPr>
          <w:p>
            <w:pPr>
              <w:adjustRightInd w:val="0"/>
              <w:snapToGrid w:val="0"/>
              <w:jc w:val="center"/>
              <w:rPr>
                <w:rFonts w:hint="eastAsia" w:ascii="Times New Roman" w:hAnsi="Times New Roman"/>
                <w:sz w:val="24"/>
                <w:szCs w:val="24"/>
                <w:lang w:eastAsia="zh-CN"/>
              </w:rPr>
            </w:pPr>
            <w:r>
              <w:rPr>
                <w:rFonts w:hint="eastAsia" w:ascii="Times New Roman" w:hAnsi="Times New Roman"/>
                <w:sz w:val="24"/>
                <w:szCs w:val="24"/>
              </w:rPr>
              <w:t>消防泵房</w:t>
            </w:r>
          </w:p>
        </w:tc>
      </w:tr>
    </w:tbl>
    <w:p>
      <w:pPr>
        <w:spacing w:line="360" w:lineRule="auto"/>
        <w:ind w:firstLine="552" w:firstLineChars="200"/>
        <w:rPr>
          <w:szCs w:val="28"/>
        </w:rPr>
      </w:pPr>
    </w:p>
    <w:p>
      <w:pPr>
        <w:spacing w:line="360" w:lineRule="auto"/>
        <w:rPr>
          <w:szCs w:val="28"/>
        </w:rPr>
      </w:pPr>
    </w:p>
    <w:p>
      <w:pPr>
        <w:pStyle w:val="3"/>
      </w:pPr>
      <w:bookmarkStart w:id="179" w:name="_Toc20539"/>
      <w:bookmarkStart w:id="180" w:name="_Toc1605"/>
      <w:bookmarkStart w:id="181" w:name="_Toc3986"/>
      <w:bookmarkStart w:id="182" w:name="_Toc25989"/>
      <w:bookmarkStart w:id="183" w:name="_Toc377019929"/>
      <w:r>
        <w:t>4.2应急物资</w:t>
      </w:r>
      <w:bookmarkEnd w:id="179"/>
      <w:bookmarkEnd w:id="180"/>
      <w:bookmarkEnd w:id="181"/>
      <w:bookmarkEnd w:id="182"/>
      <w:bookmarkEnd w:id="183"/>
    </w:p>
    <w:p>
      <w:pPr>
        <w:spacing w:line="360" w:lineRule="auto"/>
        <w:ind w:firstLine="552" w:firstLineChars="200"/>
      </w:pPr>
      <w:r>
        <w:t>本公司成立了以主要负责人为总指挥的应急组织机构，建立了应急救援人员队伍，配备了一定的应急物资。</w:t>
      </w:r>
    </w:p>
    <w:p>
      <w:pPr>
        <w:spacing w:line="360" w:lineRule="auto"/>
        <w:ind w:firstLine="552" w:firstLineChars="200"/>
      </w:pPr>
      <w:r>
        <w:t>本公司所配备的应急物资，见表4-2所示。</w:t>
      </w:r>
    </w:p>
    <w:p>
      <w:pPr>
        <w:ind w:firstLine="197" w:firstLineChars="83"/>
        <w:rPr>
          <w:b/>
          <w:sz w:val="24"/>
        </w:rPr>
      </w:pPr>
    </w:p>
    <w:p>
      <w:pPr>
        <w:jc w:val="center"/>
        <w:rPr>
          <w:b/>
          <w:szCs w:val="28"/>
        </w:rPr>
      </w:pPr>
      <w:r>
        <w:rPr>
          <w:b/>
          <w:szCs w:val="28"/>
        </w:rPr>
        <w:t>表4-2   应急物资一览表</w:t>
      </w:r>
    </w:p>
    <w:tbl>
      <w:tblPr>
        <w:tblStyle w:val="42"/>
        <w:tblW w:w="8797" w:type="dxa"/>
        <w:jc w:val="center"/>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824"/>
        <w:gridCol w:w="1509"/>
        <w:gridCol w:w="4251"/>
        <w:gridCol w:w="1036"/>
        <w:gridCol w:w="1177"/>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397" w:hRule="atLeast"/>
          <w:jc w:val="center"/>
        </w:trPr>
        <w:tc>
          <w:tcPr>
            <w:tcW w:w="824" w:type="dxa"/>
            <w:noWrap w:val="0"/>
            <w:vAlign w:val="center"/>
          </w:tcPr>
          <w:p>
            <w:pPr>
              <w:pStyle w:val="125"/>
              <w:spacing w:line="360" w:lineRule="exact"/>
              <w:ind w:firstLine="0" w:firstLineChars="0"/>
              <w:jc w:val="center"/>
              <w:rPr>
                <w:rFonts w:hint="eastAsia"/>
                <w:b/>
                <w:sz w:val="24"/>
                <w:szCs w:val="24"/>
              </w:rPr>
            </w:pPr>
            <w:bookmarkStart w:id="184" w:name="_Toc8427"/>
            <w:bookmarkStart w:id="185" w:name="_Toc30527"/>
            <w:bookmarkStart w:id="186" w:name="_Toc3969"/>
            <w:bookmarkStart w:id="187" w:name="_Toc424222984"/>
            <w:r>
              <w:rPr>
                <w:rFonts w:hint="eastAsia"/>
                <w:b/>
                <w:sz w:val="24"/>
                <w:szCs w:val="24"/>
              </w:rPr>
              <w:t>序号</w:t>
            </w:r>
          </w:p>
        </w:tc>
        <w:tc>
          <w:tcPr>
            <w:tcW w:w="1509" w:type="dxa"/>
            <w:noWrap w:val="0"/>
            <w:vAlign w:val="center"/>
          </w:tcPr>
          <w:p>
            <w:pPr>
              <w:pStyle w:val="125"/>
              <w:spacing w:line="360" w:lineRule="exact"/>
              <w:ind w:firstLine="0" w:firstLineChars="0"/>
              <w:jc w:val="center"/>
              <w:rPr>
                <w:rFonts w:hint="eastAsia"/>
                <w:b/>
                <w:sz w:val="24"/>
                <w:szCs w:val="24"/>
              </w:rPr>
            </w:pPr>
            <w:r>
              <w:rPr>
                <w:rFonts w:hint="eastAsia"/>
                <w:b/>
                <w:sz w:val="24"/>
                <w:szCs w:val="24"/>
              </w:rPr>
              <w:t>类别</w:t>
            </w:r>
          </w:p>
        </w:tc>
        <w:tc>
          <w:tcPr>
            <w:tcW w:w="4251" w:type="dxa"/>
            <w:noWrap w:val="0"/>
            <w:vAlign w:val="center"/>
          </w:tcPr>
          <w:p>
            <w:pPr>
              <w:pStyle w:val="125"/>
              <w:spacing w:line="360" w:lineRule="exact"/>
              <w:ind w:firstLine="0" w:firstLineChars="0"/>
              <w:jc w:val="center"/>
              <w:rPr>
                <w:rFonts w:hint="eastAsia"/>
                <w:b/>
                <w:sz w:val="24"/>
                <w:szCs w:val="24"/>
              </w:rPr>
            </w:pPr>
            <w:r>
              <w:rPr>
                <w:rFonts w:hint="eastAsia"/>
                <w:b/>
                <w:sz w:val="24"/>
                <w:szCs w:val="24"/>
              </w:rPr>
              <w:t>物资名称</w:t>
            </w:r>
          </w:p>
        </w:tc>
        <w:tc>
          <w:tcPr>
            <w:tcW w:w="1036" w:type="dxa"/>
            <w:noWrap w:val="0"/>
            <w:vAlign w:val="center"/>
          </w:tcPr>
          <w:p>
            <w:pPr>
              <w:pStyle w:val="125"/>
              <w:spacing w:line="360" w:lineRule="exact"/>
              <w:ind w:firstLine="0" w:firstLineChars="0"/>
              <w:jc w:val="center"/>
              <w:rPr>
                <w:rFonts w:hint="eastAsia"/>
                <w:b/>
                <w:sz w:val="24"/>
                <w:szCs w:val="24"/>
              </w:rPr>
            </w:pPr>
            <w:r>
              <w:rPr>
                <w:rFonts w:hint="eastAsia"/>
                <w:b/>
                <w:sz w:val="24"/>
                <w:szCs w:val="24"/>
              </w:rPr>
              <w:t>数量</w:t>
            </w:r>
          </w:p>
        </w:tc>
        <w:tc>
          <w:tcPr>
            <w:tcW w:w="1177" w:type="dxa"/>
            <w:noWrap w:val="0"/>
            <w:vAlign w:val="center"/>
          </w:tcPr>
          <w:p>
            <w:pPr>
              <w:pStyle w:val="125"/>
              <w:spacing w:line="360" w:lineRule="exact"/>
              <w:ind w:firstLine="0" w:firstLineChars="0"/>
              <w:jc w:val="center"/>
              <w:rPr>
                <w:rFonts w:hint="eastAsia"/>
                <w:b/>
                <w:sz w:val="24"/>
                <w:szCs w:val="24"/>
              </w:rPr>
            </w:pPr>
            <w:r>
              <w:rPr>
                <w:rFonts w:hint="eastAsia"/>
                <w:b/>
                <w:sz w:val="24"/>
                <w:szCs w:val="24"/>
              </w:rPr>
              <w:t>状况</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397" w:hRule="atLeast"/>
          <w:jc w:val="center"/>
        </w:trPr>
        <w:tc>
          <w:tcPr>
            <w:tcW w:w="824" w:type="dxa"/>
            <w:noWrap w:val="0"/>
            <w:vAlign w:val="center"/>
          </w:tcPr>
          <w:p>
            <w:pPr>
              <w:pStyle w:val="125"/>
              <w:spacing w:line="360" w:lineRule="exact"/>
              <w:ind w:firstLine="0" w:firstLineChars="0"/>
              <w:jc w:val="center"/>
              <w:rPr>
                <w:rFonts w:hint="eastAsia"/>
                <w:sz w:val="24"/>
                <w:szCs w:val="24"/>
              </w:rPr>
            </w:pPr>
            <w:r>
              <w:rPr>
                <w:rFonts w:hint="eastAsia"/>
                <w:sz w:val="24"/>
                <w:szCs w:val="24"/>
              </w:rPr>
              <w:t>1</w:t>
            </w:r>
          </w:p>
        </w:tc>
        <w:tc>
          <w:tcPr>
            <w:tcW w:w="1509" w:type="dxa"/>
            <w:noWrap w:val="0"/>
            <w:vAlign w:val="center"/>
          </w:tcPr>
          <w:p>
            <w:pPr>
              <w:pStyle w:val="125"/>
              <w:spacing w:line="360" w:lineRule="exact"/>
              <w:jc w:val="center"/>
              <w:rPr>
                <w:rFonts w:hint="eastAsia"/>
                <w:sz w:val="24"/>
                <w:szCs w:val="22"/>
              </w:rPr>
            </w:pPr>
            <w:r>
              <w:rPr>
                <w:rFonts w:hint="eastAsia"/>
                <w:sz w:val="24"/>
                <w:szCs w:val="22"/>
              </w:rPr>
              <w:t>通讯设备</w:t>
            </w:r>
          </w:p>
        </w:tc>
        <w:tc>
          <w:tcPr>
            <w:tcW w:w="4251" w:type="dxa"/>
            <w:noWrap w:val="0"/>
            <w:vAlign w:val="center"/>
          </w:tcPr>
          <w:p>
            <w:pPr>
              <w:pStyle w:val="125"/>
              <w:spacing w:line="360" w:lineRule="exact"/>
              <w:jc w:val="center"/>
              <w:rPr>
                <w:rFonts w:hint="eastAsia"/>
                <w:sz w:val="24"/>
                <w:szCs w:val="22"/>
              </w:rPr>
            </w:pPr>
            <w:r>
              <w:rPr>
                <w:rFonts w:hint="eastAsia"/>
                <w:sz w:val="24"/>
                <w:szCs w:val="22"/>
              </w:rPr>
              <w:t>有线电话、移动电话（手机）对讲机</w:t>
            </w:r>
          </w:p>
        </w:tc>
        <w:tc>
          <w:tcPr>
            <w:tcW w:w="1036" w:type="dxa"/>
            <w:noWrap w:val="0"/>
            <w:vAlign w:val="center"/>
          </w:tcPr>
          <w:p>
            <w:pPr>
              <w:pStyle w:val="125"/>
              <w:spacing w:line="360" w:lineRule="exact"/>
              <w:jc w:val="center"/>
              <w:rPr>
                <w:rFonts w:hint="eastAsia"/>
                <w:sz w:val="24"/>
                <w:szCs w:val="22"/>
              </w:rPr>
            </w:pPr>
            <w:r>
              <w:rPr>
                <w:rFonts w:hint="eastAsia"/>
                <w:sz w:val="24"/>
                <w:szCs w:val="22"/>
              </w:rPr>
              <w:t>16台</w:t>
            </w:r>
          </w:p>
        </w:tc>
        <w:tc>
          <w:tcPr>
            <w:tcW w:w="1177" w:type="dxa"/>
            <w:noWrap w:val="0"/>
            <w:vAlign w:val="top"/>
          </w:tcPr>
          <w:p>
            <w:pPr>
              <w:pStyle w:val="125"/>
              <w:spacing w:line="360" w:lineRule="exact"/>
              <w:jc w:val="center"/>
              <w:rPr>
                <w:rFonts w:hint="eastAsia"/>
                <w:sz w:val="24"/>
                <w:szCs w:val="22"/>
              </w:rPr>
            </w:pPr>
            <w:r>
              <w:rPr>
                <w:rFonts w:hint="eastAsia"/>
                <w:sz w:val="24"/>
                <w:szCs w:val="22"/>
              </w:rPr>
              <w:t>良好</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397" w:hRule="atLeast"/>
          <w:jc w:val="center"/>
        </w:trPr>
        <w:tc>
          <w:tcPr>
            <w:tcW w:w="824" w:type="dxa"/>
            <w:noWrap w:val="0"/>
            <w:vAlign w:val="center"/>
          </w:tcPr>
          <w:p>
            <w:pPr>
              <w:pStyle w:val="125"/>
              <w:spacing w:line="360" w:lineRule="exact"/>
              <w:ind w:firstLine="0" w:firstLineChars="0"/>
              <w:jc w:val="center"/>
              <w:rPr>
                <w:rFonts w:hint="eastAsia"/>
                <w:sz w:val="24"/>
                <w:szCs w:val="24"/>
              </w:rPr>
            </w:pPr>
            <w:r>
              <w:rPr>
                <w:rFonts w:hint="eastAsia"/>
                <w:sz w:val="24"/>
                <w:szCs w:val="24"/>
              </w:rPr>
              <w:t>2</w:t>
            </w:r>
          </w:p>
        </w:tc>
        <w:tc>
          <w:tcPr>
            <w:tcW w:w="1509" w:type="dxa"/>
            <w:noWrap w:val="0"/>
            <w:vAlign w:val="center"/>
          </w:tcPr>
          <w:p>
            <w:pPr>
              <w:pStyle w:val="125"/>
              <w:spacing w:line="360" w:lineRule="exact"/>
              <w:jc w:val="center"/>
              <w:rPr>
                <w:rFonts w:hint="eastAsia"/>
                <w:sz w:val="24"/>
                <w:szCs w:val="22"/>
              </w:rPr>
            </w:pPr>
            <w:r>
              <w:rPr>
                <w:rFonts w:hint="eastAsia"/>
                <w:sz w:val="24"/>
                <w:szCs w:val="22"/>
              </w:rPr>
              <w:t>照明装置</w:t>
            </w:r>
          </w:p>
        </w:tc>
        <w:tc>
          <w:tcPr>
            <w:tcW w:w="4251" w:type="dxa"/>
            <w:noWrap w:val="0"/>
            <w:vAlign w:val="center"/>
          </w:tcPr>
          <w:p>
            <w:pPr>
              <w:pStyle w:val="125"/>
              <w:spacing w:line="360" w:lineRule="exact"/>
              <w:jc w:val="center"/>
              <w:rPr>
                <w:rFonts w:hint="eastAsia"/>
                <w:sz w:val="24"/>
                <w:szCs w:val="22"/>
              </w:rPr>
            </w:pPr>
            <w:r>
              <w:rPr>
                <w:rFonts w:hint="eastAsia"/>
                <w:sz w:val="24"/>
                <w:szCs w:val="22"/>
              </w:rPr>
              <w:t>应急灯</w:t>
            </w:r>
          </w:p>
        </w:tc>
        <w:tc>
          <w:tcPr>
            <w:tcW w:w="1036" w:type="dxa"/>
            <w:noWrap w:val="0"/>
            <w:vAlign w:val="center"/>
          </w:tcPr>
          <w:p>
            <w:pPr>
              <w:pStyle w:val="125"/>
              <w:spacing w:line="360" w:lineRule="exact"/>
              <w:jc w:val="center"/>
              <w:rPr>
                <w:rFonts w:hint="eastAsia"/>
                <w:sz w:val="24"/>
                <w:szCs w:val="22"/>
              </w:rPr>
            </w:pPr>
            <w:r>
              <w:rPr>
                <w:rFonts w:hint="eastAsia"/>
                <w:sz w:val="24"/>
                <w:szCs w:val="22"/>
              </w:rPr>
              <w:t>76盏</w:t>
            </w:r>
          </w:p>
        </w:tc>
        <w:tc>
          <w:tcPr>
            <w:tcW w:w="1177" w:type="dxa"/>
            <w:noWrap w:val="0"/>
            <w:vAlign w:val="top"/>
          </w:tcPr>
          <w:p>
            <w:pPr>
              <w:pStyle w:val="125"/>
              <w:spacing w:line="360" w:lineRule="exact"/>
              <w:jc w:val="center"/>
              <w:rPr>
                <w:rFonts w:hint="eastAsia"/>
                <w:sz w:val="24"/>
                <w:szCs w:val="22"/>
              </w:rPr>
            </w:pPr>
            <w:r>
              <w:rPr>
                <w:rFonts w:hint="eastAsia"/>
                <w:sz w:val="24"/>
                <w:szCs w:val="22"/>
              </w:rPr>
              <w:t>良好</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397" w:hRule="atLeast"/>
          <w:jc w:val="center"/>
        </w:trPr>
        <w:tc>
          <w:tcPr>
            <w:tcW w:w="824" w:type="dxa"/>
            <w:vMerge w:val="restart"/>
            <w:noWrap w:val="0"/>
            <w:vAlign w:val="center"/>
          </w:tcPr>
          <w:p>
            <w:pPr>
              <w:pStyle w:val="125"/>
              <w:spacing w:line="360" w:lineRule="exact"/>
              <w:ind w:firstLine="0" w:firstLineChars="0"/>
              <w:jc w:val="center"/>
              <w:rPr>
                <w:rFonts w:hint="eastAsia"/>
                <w:sz w:val="24"/>
                <w:szCs w:val="24"/>
              </w:rPr>
            </w:pPr>
            <w:r>
              <w:rPr>
                <w:rFonts w:hint="eastAsia"/>
                <w:sz w:val="24"/>
                <w:szCs w:val="24"/>
              </w:rPr>
              <w:t>3</w:t>
            </w:r>
          </w:p>
        </w:tc>
        <w:tc>
          <w:tcPr>
            <w:tcW w:w="1509" w:type="dxa"/>
            <w:vMerge w:val="restart"/>
            <w:noWrap w:val="0"/>
            <w:vAlign w:val="center"/>
          </w:tcPr>
          <w:p>
            <w:pPr>
              <w:pStyle w:val="125"/>
              <w:spacing w:line="360" w:lineRule="exact"/>
              <w:jc w:val="center"/>
              <w:rPr>
                <w:rFonts w:hint="eastAsia"/>
                <w:sz w:val="24"/>
                <w:szCs w:val="22"/>
              </w:rPr>
            </w:pPr>
            <w:r>
              <w:rPr>
                <w:rFonts w:hint="eastAsia"/>
                <w:sz w:val="24"/>
                <w:szCs w:val="22"/>
              </w:rPr>
              <w:t>防护设备</w:t>
            </w:r>
          </w:p>
        </w:tc>
        <w:tc>
          <w:tcPr>
            <w:tcW w:w="4251" w:type="dxa"/>
            <w:noWrap w:val="0"/>
            <w:vAlign w:val="center"/>
          </w:tcPr>
          <w:p>
            <w:pPr>
              <w:pStyle w:val="125"/>
              <w:spacing w:line="360" w:lineRule="exact"/>
              <w:jc w:val="center"/>
              <w:rPr>
                <w:rFonts w:hint="eastAsia"/>
                <w:sz w:val="24"/>
                <w:szCs w:val="22"/>
              </w:rPr>
            </w:pPr>
            <w:r>
              <w:rPr>
                <w:rFonts w:hint="eastAsia"/>
                <w:sz w:val="24"/>
                <w:szCs w:val="22"/>
              </w:rPr>
              <w:t>防护头盔</w:t>
            </w:r>
          </w:p>
        </w:tc>
        <w:tc>
          <w:tcPr>
            <w:tcW w:w="1036" w:type="dxa"/>
            <w:noWrap w:val="0"/>
            <w:vAlign w:val="center"/>
          </w:tcPr>
          <w:p>
            <w:pPr>
              <w:pStyle w:val="125"/>
              <w:spacing w:line="360" w:lineRule="exact"/>
              <w:jc w:val="center"/>
              <w:rPr>
                <w:rFonts w:hint="eastAsia"/>
                <w:sz w:val="24"/>
                <w:szCs w:val="22"/>
              </w:rPr>
            </w:pPr>
            <w:r>
              <w:rPr>
                <w:rFonts w:hint="eastAsia"/>
                <w:sz w:val="24"/>
                <w:szCs w:val="22"/>
              </w:rPr>
              <w:t>2</w:t>
            </w:r>
          </w:p>
        </w:tc>
        <w:tc>
          <w:tcPr>
            <w:tcW w:w="1177" w:type="dxa"/>
            <w:noWrap w:val="0"/>
            <w:vAlign w:val="top"/>
          </w:tcPr>
          <w:p>
            <w:pPr>
              <w:pStyle w:val="125"/>
              <w:spacing w:line="360" w:lineRule="exact"/>
              <w:jc w:val="center"/>
              <w:rPr>
                <w:rFonts w:hint="eastAsia"/>
                <w:sz w:val="24"/>
                <w:szCs w:val="22"/>
              </w:rPr>
            </w:pPr>
            <w:r>
              <w:rPr>
                <w:rFonts w:hint="eastAsia"/>
                <w:sz w:val="24"/>
                <w:szCs w:val="22"/>
              </w:rPr>
              <w:t>良好</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397" w:hRule="atLeast"/>
          <w:jc w:val="center"/>
        </w:trPr>
        <w:tc>
          <w:tcPr>
            <w:tcW w:w="824" w:type="dxa"/>
            <w:vMerge w:val="continue"/>
            <w:noWrap w:val="0"/>
            <w:vAlign w:val="center"/>
          </w:tcPr>
          <w:p>
            <w:pPr>
              <w:pStyle w:val="125"/>
              <w:spacing w:line="360" w:lineRule="exact"/>
              <w:ind w:firstLine="0" w:firstLineChars="0"/>
              <w:jc w:val="center"/>
              <w:rPr>
                <w:rFonts w:hint="eastAsia"/>
                <w:sz w:val="24"/>
                <w:szCs w:val="24"/>
              </w:rPr>
            </w:pPr>
          </w:p>
        </w:tc>
        <w:tc>
          <w:tcPr>
            <w:tcW w:w="1509" w:type="dxa"/>
            <w:vMerge w:val="continue"/>
            <w:noWrap w:val="0"/>
            <w:vAlign w:val="center"/>
          </w:tcPr>
          <w:p>
            <w:pPr>
              <w:pStyle w:val="125"/>
              <w:spacing w:line="360" w:lineRule="exact"/>
              <w:jc w:val="center"/>
              <w:rPr>
                <w:rFonts w:hint="eastAsia"/>
                <w:sz w:val="24"/>
                <w:szCs w:val="22"/>
              </w:rPr>
            </w:pPr>
          </w:p>
        </w:tc>
        <w:tc>
          <w:tcPr>
            <w:tcW w:w="4251" w:type="dxa"/>
            <w:noWrap w:val="0"/>
            <w:vAlign w:val="center"/>
          </w:tcPr>
          <w:p>
            <w:pPr>
              <w:pStyle w:val="125"/>
              <w:spacing w:line="360" w:lineRule="exact"/>
              <w:jc w:val="center"/>
              <w:rPr>
                <w:rFonts w:hint="eastAsia"/>
                <w:sz w:val="24"/>
                <w:szCs w:val="22"/>
              </w:rPr>
            </w:pPr>
            <w:r>
              <w:rPr>
                <w:rFonts w:hint="eastAsia"/>
                <w:sz w:val="24"/>
                <w:szCs w:val="22"/>
              </w:rPr>
              <w:t>防护眼镜</w:t>
            </w:r>
          </w:p>
        </w:tc>
        <w:tc>
          <w:tcPr>
            <w:tcW w:w="1036" w:type="dxa"/>
            <w:noWrap w:val="0"/>
            <w:vAlign w:val="center"/>
          </w:tcPr>
          <w:p>
            <w:pPr>
              <w:pStyle w:val="125"/>
              <w:spacing w:line="360" w:lineRule="exact"/>
              <w:jc w:val="center"/>
              <w:rPr>
                <w:rFonts w:hint="eastAsia"/>
                <w:sz w:val="24"/>
                <w:szCs w:val="22"/>
              </w:rPr>
            </w:pPr>
            <w:r>
              <w:rPr>
                <w:rFonts w:hint="eastAsia"/>
                <w:sz w:val="24"/>
                <w:szCs w:val="22"/>
              </w:rPr>
              <w:t>26</w:t>
            </w:r>
          </w:p>
        </w:tc>
        <w:tc>
          <w:tcPr>
            <w:tcW w:w="1177" w:type="dxa"/>
            <w:noWrap w:val="0"/>
            <w:vAlign w:val="top"/>
          </w:tcPr>
          <w:p>
            <w:pPr>
              <w:pStyle w:val="125"/>
              <w:spacing w:line="360" w:lineRule="exact"/>
              <w:jc w:val="center"/>
              <w:rPr>
                <w:rFonts w:hint="eastAsia"/>
                <w:sz w:val="24"/>
                <w:szCs w:val="22"/>
              </w:rPr>
            </w:pPr>
            <w:r>
              <w:rPr>
                <w:rFonts w:hint="eastAsia"/>
                <w:sz w:val="24"/>
                <w:szCs w:val="22"/>
              </w:rPr>
              <w:t>良好</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397" w:hRule="atLeast"/>
          <w:jc w:val="center"/>
        </w:trPr>
        <w:tc>
          <w:tcPr>
            <w:tcW w:w="824" w:type="dxa"/>
            <w:vMerge w:val="continue"/>
            <w:noWrap w:val="0"/>
            <w:vAlign w:val="center"/>
          </w:tcPr>
          <w:p>
            <w:pPr>
              <w:pStyle w:val="125"/>
              <w:spacing w:line="360" w:lineRule="exact"/>
              <w:ind w:firstLine="0" w:firstLineChars="0"/>
              <w:jc w:val="center"/>
              <w:rPr>
                <w:rFonts w:hint="eastAsia"/>
                <w:sz w:val="24"/>
                <w:szCs w:val="24"/>
              </w:rPr>
            </w:pPr>
          </w:p>
        </w:tc>
        <w:tc>
          <w:tcPr>
            <w:tcW w:w="1509" w:type="dxa"/>
            <w:vMerge w:val="continue"/>
            <w:noWrap w:val="0"/>
            <w:vAlign w:val="center"/>
          </w:tcPr>
          <w:p>
            <w:pPr>
              <w:pStyle w:val="125"/>
              <w:spacing w:line="360" w:lineRule="exact"/>
              <w:jc w:val="center"/>
              <w:rPr>
                <w:rFonts w:hint="eastAsia"/>
                <w:sz w:val="24"/>
                <w:szCs w:val="22"/>
              </w:rPr>
            </w:pPr>
          </w:p>
        </w:tc>
        <w:tc>
          <w:tcPr>
            <w:tcW w:w="4251" w:type="dxa"/>
            <w:noWrap w:val="0"/>
            <w:vAlign w:val="center"/>
          </w:tcPr>
          <w:p>
            <w:pPr>
              <w:pStyle w:val="125"/>
              <w:spacing w:line="360" w:lineRule="exact"/>
              <w:jc w:val="center"/>
              <w:rPr>
                <w:rFonts w:hint="eastAsia"/>
                <w:sz w:val="24"/>
                <w:szCs w:val="22"/>
              </w:rPr>
            </w:pPr>
            <w:r>
              <w:rPr>
                <w:rFonts w:hint="eastAsia"/>
                <w:sz w:val="24"/>
                <w:szCs w:val="22"/>
              </w:rPr>
              <w:t>防护手套</w:t>
            </w:r>
          </w:p>
        </w:tc>
        <w:tc>
          <w:tcPr>
            <w:tcW w:w="1036" w:type="dxa"/>
            <w:noWrap w:val="0"/>
            <w:vAlign w:val="center"/>
          </w:tcPr>
          <w:p>
            <w:pPr>
              <w:pStyle w:val="125"/>
              <w:spacing w:line="360" w:lineRule="exact"/>
              <w:jc w:val="center"/>
              <w:rPr>
                <w:rFonts w:hint="eastAsia"/>
                <w:sz w:val="24"/>
                <w:szCs w:val="22"/>
              </w:rPr>
            </w:pPr>
            <w:r>
              <w:rPr>
                <w:rFonts w:hint="eastAsia"/>
                <w:sz w:val="24"/>
                <w:szCs w:val="22"/>
              </w:rPr>
              <w:t>2</w:t>
            </w:r>
          </w:p>
        </w:tc>
        <w:tc>
          <w:tcPr>
            <w:tcW w:w="1177" w:type="dxa"/>
            <w:noWrap w:val="0"/>
            <w:vAlign w:val="top"/>
          </w:tcPr>
          <w:p>
            <w:pPr>
              <w:pStyle w:val="125"/>
              <w:spacing w:line="360" w:lineRule="exact"/>
              <w:jc w:val="center"/>
              <w:rPr>
                <w:rFonts w:hint="eastAsia"/>
                <w:sz w:val="24"/>
                <w:szCs w:val="22"/>
              </w:rPr>
            </w:pPr>
            <w:r>
              <w:rPr>
                <w:rFonts w:hint="eastAsia"/>
                <w:sz w:val="24"/>
                <w:szCs w:val="22"/>
              </w:rPr>
              <w:t>良好</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397" w:hRule="atLeast"/>
          <w:jc w:val="center"/>
        </w:trPr>
        <w:tc>
          <w:tcPr>
            <w:tcW w:w="824" w:type="dxa"/>
            <w:vMerge w:val="continue"/>
            <w:noWrap w:val="0"/>
            <w:vAlign w:val="center"/>
          </w:tcPr>
          <w:p>
            <w:pPr>
              <w:pStyle w:val="125"/>
              <w:spacing w:line="360" w:lineRule="exact"/>
              <w:ind w:firstLine="0" w:firstLineChars="0"/>
              <w:jc w:val="center"/>
              <w:rPr>
                <w:rFonts w:hint="eastAsia"/>
                <w:sz w:val="24"/>
                <w:szCs w:val="24"/>
              </w:rPr>
            </w:pPr>
          </w:p>
        </w:tc>
        <w:tc>
          <w:tcPr>
            <w:tcW w:w="1509" w:type="dxa"/>
            <w:vMerge w:val="continue"/>
            <w:noWrap w:val="0"/>
            <w:vAlign w:val="center"/>
          </w:tcPr>
          <w:p>
            <w:pPr>
              <w:pStyle w:val="125"/>
              <w:spacing w:line="360" w:lineRule="exact"/>
              <w:jc w:val="center"/>
              <w:rPr>
                <w:rFonts w:hint="eastAsia"/>
                <w:sz w:val="24"/>
                <w:szCs w:val="22"/>
              </w:rPr>
            </w:pPr>
          </w:p>
        </w:tc>
        <w:tc>
          <w:tcPr>
            <w:tcW w:w="4251" w:type="dxa"/>
            <w:noWrap w:val="0"/>
            <w:vAlign w:val="center"/>
          </w:tcPr>
          <w:p>
            <w:pPr>
              <w:pStyle w:val="125"/>
              <w:spacing w:line="360" w:lineRule="exact"/>
              <w:jc w:val="center"/>
              <w:rPr>
                <w:rFonts w:hint="eastAsia"/>
                <w:sz w:val="24"/>
                <w:szCs w:val="22"/>
              </w:rPr>
            </w:pPr>
            <w:r>
              <w:rPr>
                <w:rFonts w:hint="eastAsia"/>
                <w:sz w:val="24"/>
                <w:szCs w:val="22"/>
              </w:rPr>
              <w:t>防护衣</w:t>
            </w:r>
          </w:p>
        </w:tc>
        <w:tc>
          <w:tcPr>
            <w:tcW w:w="1036" w:type="dxa"/>
            <w:noWrap w:val="0"/>
            <w:vAlign w:val="center"/>
          </w:tcPr>
          <w:p>
            <w:pPr>
              <w:pStyle w:val="125"/>
              <w:spacing w:line="360" w:lineRule="exact"/>
              <w:jc w:val="center"/>
              <w:rPr>
                <w:rFonts w:hint="eastAsia"/>
                <w:sz w:val="24"/>
                <w:szCs w:val="22"/>
              </w:rPr>
            </w:pPr>
            <w:r>
              <w:rPr>
                <w:rFonts w:hint="eastAsia"/>
                <w:sz w:val="24"/>
                <w:szCs w:val="22"/>
              </w:rPr>
              <w:t>1套</w:t>
            </w:r>
          </w:p>
        </w:tc>
        <w:tc>
          <w:tcPr>
            <w:tcW w:w="1177" w:type="dxa"/>
            <w:noWrap w:val="0"/>
            <w:vAlign w:val="top"/>
          </w:tcPr>
          <w:p>
            <w:pPr>
              <w:pStyle w:val="125"/>
              <w:spacing w:line="360" w:lineRule="exact"/>
              <w:jc w:val="center"/>
              <w:rPr>
                <w:rFonts w:hint="eastAsia"/>
                <w:sz w:val="24"/>
                <w:szCs w:val="22"/>
              </w:rPr>
            </w:pPr>
            <w:r>
              <w:rPr>
                <w:rFonts w:hint="eastAsia"/>
                <w:sz w:val="24"/>
                <w:szCs w:val="22"/>
              </w:rPr>
              <w:t>良好</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397" w:hRule="atLeast"/>
          <w:jc w:val="center"/>
        </w:trPr>
        <w:tc>
          <w:tcPr>
            <w:tcW w:w="824" w:type="dxa"/>
            <w:vMerge w:val="continue"/>
            <w:noWrap w:val="0"/>
            <w:vAlign w:val="center"/>
          </w:tcPr>
          <w:p>
            <w:pPr>
              <w:pStyle w:val="125"/>
              <w:spacing w:line="360" w:lineRule="exact"/>
              <w:ind w:firstLine="0" w:firstLineChars="0"/>
              <w:jc w:val="center"/>
              <w:rPr>
                <w:rFonts w:hint="eastAsia"/>
                <w:sz w:val="24"/>
                <w:szCs w:val="24"/>
              </w:rPr>
            </w:pPr>
          </w:p>
        </w:tc>
        <w:tc>
          <w:tcPr>
            <w:tcW w:w="1509" w:type="dxa"/>
            <w:vMerge w:val="continue"/>
            <w:noWrap w:val="0"/>
            <w:vAlign w:val="center"/>
          </w:tcPr>
          <w:p>
            <w:pPr>
              <w:pStyle w:val="125"/>
              <w:spacing w:line="360" w:lineRule="exact"/>
              <w:jc w:val="center"/>
              <w:rPr>
                <w:rFonts w:hint="eastAsia"/>
                <w:sz w:val="24"/>
                <w:szCs w:val="22"/>
              </w:rPr>
            </w:pPr>
          </w:p>
        </w:tc>
        <w:tc>
          <w:tcPr>
            <w:tcW w:w="4251" w:type="dxa"/>
            <w:noWrap w:val="0"/>
            <w:vAlign w:val="center"/>
          </w:tcPr>
          <w:p>
            <w:pPr>
              <w:pStyle w:val="125"/>
              <w:spacing w:line="360" w:lineRule="exact"/>
              <w:jc w:val="center"/>
              <w:rPr>
                <w:rFonts w:hint="eastAsia"/>
                <w:sz w:val="24"/>
                <w:szCs w:val="22"/>
              </w:rPr>
            </w:pPr>
            <w:r>
              <w:rPr>
                <w:rFonts w:hint="eastAsia"/>
                <w:sz w:val="24"/>
                <w:szCs w:val="22"/>
              </w:rPr>
              <w:t>耳塞</w:t>
            </w:r>
          </w:p>
        </w:tc>
        <w:tc>
          <w:tcPr>
            <w:tcW w:w="1036" w:type="dxa"/>
            <w:noWrap w:val="0"/>
            <w:vAlign w:val="center"/>
          </w:tcPr>
          <w:p>
            <w:pPr>
              <w:pStyle w:val="125"/>
              <w:spacing w:line="360" w:lineRule="exact"/>
              <w:jc w:val="center"/>
              <w:rPr>
                <w:rFonts w:hint="eastAsia"/>
                <w:sz w:val="24"/>
                <w:szCs w:val="22"/>
                <w:lang w:eastAsia="zh-CN"/>
              </w:rPr>
            </w:pPr>
            <w:r>
              <w:rPr>
                <w:rFonts w:hint="eastAsia"/>
                <w:sz w:val="24"/>
                <w:szCs w:val="22"/>
              </w:rPr>
              <w:t>5对</w:t>
            </w:r>
          </w:p>
        </w:tc>
        <w:tc>
          <w:tcPr>
            <w:tcW w:w="1177" w:type="dxa"/>
            <w:noWrap w:val="0"/>
            <w:vAlign w:val="top"/>
          </w:tcPr>
          <w:p>
            <w:pPr>
              <w:pStyle w:val="125"/>
              <w:spacing w:line="360" w:lineRule="exact"/>
              <w:jc w:val="center"/>
              <w:rPr>
                <w:rFonts w:hint="eastAsia"/>
                <w:sz w:val="24"/>
                <w:szCs w:val="22"/>
              </w:rPr>
            </w:pPr>
            <w:r>
              <w:rPr>
                <w:rFonts w:hint="eastAsia"/>
                <w:sz w:val="24"/>
                <w:szCs w:val="22"/>
              </w:rPr>
              <w:t>良好</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397" w:hRule="atLeast"/>
          <w:jc w:val="center"/>
        </w:trPr>
        <w:tc>
          <w:tcPr>
            <w:tcW w:w="824" w:type="dxa"/>
            <w:vMerge w:val="continue"/>
            <w:noWrap w:val="0"/>
            <w:vAlign w:val="center"/>
          </w:tcPr>
          <w:p>
            <w:pPr>
              <w:pStyle w:val="125"/>
              <w:spacing w:line="360" w:lineRule="exact"/>
              <w:ind w:firstLine="0" w:firstLineChars="0"/>
              <w:jc w:val="center"/>
              <w:rPr>
                <w:rFonts w:hint="eastAsia"/>
                <w:sz w:val="24"/>
                <w:szCs w:val="24"/>
              </w:rPr>
            </w:pPr>
          </w:p>
        </w:tc>
        <w:tc>
          <w:tcPr>
            <w:tcW w:w="1509" w:type="dxa"/>
            <w:vMerge w:val="continue"/>
            <w:noWrap w:val="0"/>
            <w:vAlign w:val="center"/>
          </w:tcPr>
          <w:p>
            <w:pPr>
              <w:pStyle w:val="125"/>
              <w:spacing w:line="360" w:lineRule="exact"/>
              <w:jc w:val="center"/>
              <w:rPr>
                <w:rFonts w:hint="eastAsia"/>
                <w:sz w:val="24"/>
                <w:szCs w:val="22"/>
              </w:rPr>
            </w:pPr>
          </w:p>
        </w:tc>
        <w:tc>
          <w:tcPr>
            <w:tcW w:w="4251" w:type="dxa"/>
            <w:noWrap w:val="0"/>
            <w:vAlign w:val="center"/>
          </w:tcPr>
          <w:p>
            <w:pPr>
              <w:pStyle w:val="125"/>
              <w:spacing w:line="360" w:lineRule="exact"/>
              <w:jc w:val="center"/>
              <w:rPr>
                <w:rFonts w:hint="eastAsia"/>
                <w:sz w:val="24"/>
                <w:szCs w:val="22"/>
              </w:rPr>
            </w:pPr>
            <w:r>
              <w:rPr>
                <w:rFonts w:hint="eastAsia"/>
                <w:sz w:val="24"/>
                <w:szCs w:val="22"/>
              </w:rPr>
              <w:t>防护（毒）口罩</w:t>
            </w:r>
          </w:p>
        </w:tc>
        <w:tc>
          <w:tcPr>
            <w:tcW w:w="1036" w:type="dxa"/>
            <w:noWrap w:val="0"/>
            <w:vAlign w:val="center"/>
          </w:tcPr>
          <w:p>
            <w:pPr>
              <w:pStyle w:val="125"/>
              <w:spacing w:line="360" w:lineRule="exact"/>
              <w:jc w:val="center"/>
              <w:rPr>
                <w:rFonts w:hint="eastAsia"/>
                <w:sz w:val="24"/>
                <w:szCs w:val="22"/>
              </w:rPr>
            </w:pPr>
            <w:r>
              <w:rPr>
                <w:rFonts w:hint="eastAsia"/>
                <w:sz w:val="24"/>
                <w:szCs w:val="22"/>
              </w:rPr>
              <w:t>2个</w:t>
            </w:r>
          </w:p>
        </w:tc>
        <w:tc>
          <w:tcPr>
            <w:tcW w:w="1177" w:type="dxa"/>
            <w:noWrap w:val="0"/>
            <w:vAlign w:val="top"/>
          </w:tcPr>
          <w:p>
            <w:pPr>
              <w:pStyle w:val="125"/>
              <w:spacing w:line="360" w:lineRule="exact"/>
              <w:jc w:val="center"/>
              <w:rPr>
                <w:rFonts w:hint="eastAsia"/>
                <w:sz w:val="24"/>
                <w:szCs w:val="22"/>
              </w:rPr>
            </w:pPr>
            <w:r>
              <w:rPr>
                <w:rFonts w:hint="eastAsia"/>
                <w:sz w:val="24"/>
                <w:szCs w:val="22"/>
              </w:rPr>
              <w:t>良好</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581" w:hRule="atLeast"/>
          <w:jc w:val="center"/>
        </w:trPr>
        <w:tc>
          <w:tcPr>
            <w:tcW w:w="824" w:type="dxa"/>
            <w:vMerge w:val="restart"/>
            <w:noWrap w:val="0"/>
            <w:vAlign w:val="center"/>
          </w:tcPr>
          <w:p>
            <w:pPr>
              <w:pStyle w:val="125"/>
              <w:spacing w:line="360" w:lineRule="exact"/>
              <w:ind w:firstLine="0" w:firstLineChars="0"/>
              <w:jc w:val="center"/>
              <w:rPr>
                <w:rFonts w:hint="eastAsia"/>
                <w:sz w:val="24"/>
                <w:szCs w:val="24"/>
              </w:rPr>
            </w:pPr>
            <w:r>
              <w:rPr>
                <w:rFonts w:hint="eastAsia"/>
                <w:sz w:val="24"/>
                <w:szCs w:val="24"/>
              </w:rPr>
              <w:t>4</w:t>
            </w:r>
          </w:p>
        </w:tc>
        <w:tc>
          <w:tcPr>
            <w:tcW w:w="1509" w:type="dxa"/>
            <w:vMerge w:val="restart"/>
            <w:noWrap w:val="0"/>
            <w:vAlign w:val="center"/>
          </w:tcPr>
          <w:p>
            <w:pPr>
              <w:pStyle w:val="125"/>
              <w:spacing w:line="360" w:lineRule="exact"/>
              <w:jc w:val="center"/>
              <w:rPr>
                <w:rFonts w:hint="eastAsia"/>
                <w:sz w:val="24"/>
                <w:szCs w:val="22"/>
              </w:rPr>
            </w:pPr>
            <w:r>
              <w:rPr>
                <w:rFonts w:hint="eastAsia"/>
                <w:sz w:val="24"/>
                <w:szCs w:val="22"/>
                <w:lang w:eastAsia="zh-CN"/>
              </w:rPr>
              <w:t>急救</w:t>
            </w:r>
            <w:r>
              <w:rPr>
                <w:rFonts w:hint="eastAsia"/>
                <w:sz w:val="24"/>
                <w:szCs w:val="22"/>
              </w:rPr>
              <w:t>用品</w:t>
            </w:r>
          </w:p>
        </w:tc>
        <w:tc>
          <w:tcPr>
            <w:tcW w:w="4251" w:type="dxa"/>
            <w:noWrap w:val="0"/>
            <w:vAlign w:val="center"/>
          </w:tcPr>
          <w:p>
            <w:pPr>
              <w:pStyle w:val="125"/>
              <w:spacing w:line="360" w:lineRule="exact"/>
              <w:jc w:val="center"/>
              <w:rPr>
                <w:rFonts w:hint="eastAsia"/>
                <w:sz w:val="24"/>
                <w:szCs w:val="22"/>
              </w:rPr>
            </w:pPr>
            <w:r>
              <w:rPr>
                <w:rFonts w:hint="eastAsia"/>
                <w:sz w:val="24"/>
                <w:szCs w:val="22"/>
              </w:rPr>
              <w:t>万花油、烧伤膏、云南白药、棉花、创可贴、正骨水、红花油、医用胶布等</w:t>
            </w:r>
          </w:p>
        </w:tc>
        <w:tc>
          <w:tcPr>
            <w:tcW w:w="1036" w:type="dxa"/>
            <w:noWrap w:val="0"/>
            <w:vAlign w:val="center"/>
          </w:tcPr>
          <w:p>
            <w:pPr>
              <w:pStyle w:val="125"/>
              <w:spacing w:line="360" w:lineRule="exact"/>
              <w:jc w:val="center"/>
              <w:rPr>
                <w:rFonts w:hint="eastAsia"/>
                <w:sz w:val="24"/>
                <w:szCs w:val="22"/>
                <w:lang w:eastAsia="zh-CN"/>
              </w:rPr>
            </w:pPr>
            <w:r>
              <w:rPr>
                <w:rFonts w:hint="eastAsia"/>
                <w:sz w:val="24"/>
                <w:szCs w:val="22"/>
                <w:lang w:val="en-US" w:eastAsia="zh-CN"/>
              </w:rPr>
              <w:t>1批</w:t>
            </w:r>
          </w:p>
        </w:tc>
        <w:tc>
          <w:tcPr>
            <w:tcW w:w="1177" w:type="dxa"/>
            <w:noWrap w:val="0"/>
            <w:vAlign w:val="center"/>
          </w:tcPr>
          <w:p>
            <w:pPr>
              <w:pStyle w:val="125"/>
              <w:spacing w:line="360" w:lineRule="exact"/>
              <w:jc w:val="center"/>
              <w:rPr>
                <w:rFonts w:hint="eastAsia"/>
                <w:sz w:val="24"/>
                <w:szCs w:val="22"/>
              </w:rPr>
            </w:pPr>
            <w:r>
              <w:rPr>
                <w:rFonts w:hint="eastAsia"/>
                <w:sz w:val="24"/>
                <w:szCs w:val="22"/>
              </w:rPr>
              <w:t>良好</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311" w:hRule="atLeast"/>
          <w:jc w:val="center"/>
        </w:trPr>
        <w:tc>
          <w:tcPr>
            <w:tcW w:w="824" w:type="dxa"/>
            <w:vMerge w:val="continue"/>
            <w:noWrap w:val="0"/>
            <w:vAlign w:val="center"/>
          </w:tcPr>
          <w:p>
            <w:pPr>
              <w:pStyle w:val="125"/>
              <w:spacing w:line="360" w:lineRule="exact"/>
              <w:ind w:firstLine="0" w:firstLineChars="0"/>
              <w:jc w:val="center"/>
              <w:rPr>
                <w:rFonts w:hint="eastAsia"/>
                <w:sz w:val="24"/>
                <w:szCs w:val="24"/>
              </w:rPr>
            </w:pPr>
          </w:p>
        </w:tc>
        <w:tc>
          <w:tcPr>
            <w:tcW w:w="1509" w:type="dxa"/>
            <w:vMerge w:val="continue"/>
            <w:noWrap w:val="0"/>
            <w:vAlign w:val="center"/>
          </w:tcPr>
          <w:p>
            <w:pPr>
              <w:pStyle w:val="125"/>
              <w:spacing w:line="360" w:lineRule="exact"/>
              <w:ind w:firstLine="0" w:firstLineChars="0"/>
              <w:jc w:val="center"/>
              <w:rPr>
                <w:rFonts w:hint="eastAsia"/>
                <w:sz w:val="24"/>
                <w:szCs w:val="24"/>
              </w:rPr>
            </w:pPr>
          </w:p>
        </w:tc>
        <w:tc>
          <w:tcPr>
            <w:tcW w:w="4251" w:type="dxa"/>
            <w:noWrap w:val="0"/>
            <w:vAlign w:val="center"/>
          </w:tcPr>
          <w:p>
            <w:pPr>
              <w:pStyle w:val="125"/>
              <w:spacing w:line="360" w:lineRule="exact"/>
              <w:ind w:firstLine="0" w:firstLineChars="0"/>
              <w:jc w:val="center"/>
              <w:rPr>
                <w:rFonts w:hint="eastAsia" w:eastAsia="宋体"/>
                <w:sz w:val="24"/>
                <w:szCs w:val="24"/>
                <w:lang w:eastAsia="zh-CN"/>
              </w:rPr>
            </w:pPr>
            <w:r>
              <w:rPr>
                <w:rFonts w:hint="eastAsia"/>
                <w:sz w:val="24"/>
                <w:szCs w:val="24"/>
                <w:lang w:eastAsia="zh-CN"/>
              </w:rPr>
              <w:t>洗眼器及淋浴装置</w:t>
            </w:r>
          </w:p>
        </w:tc>
        <w:tc>
          <w:tcPr>
            <w:tcW w:w="1036" w:type="dxa"/>
            <w:noWrap w:val="0"/>
            <w:vAlign w:val="center"/>
          </w:tcPr>
          <w:p>
            <w:pPr>
              <w:pStyle w:val="125"/>
              <w:spacing w:line="360" w:lineRule="exact"/>
              <w:ind w:firstLine="0" w:firstLineChars="0"/>
              <w:jc w:val="center"/>
              <w:rPr>
                <w:rFonts w:hint="eastAsia" w:eastAsia="宋体"/>
                <w:sz w:val="24"/>
                <w:szCs w:val="24"/>
                <w:lang w:val="en-US" w:eastAsia="zh-CN"/>
              </w:rPr>
            </w:pPr>
            <w:r>
              <w:rPr>
                <w:rFonts w:hint="eastAsia"/>
                <w:sz w:val="24"/>
                <w:szCs w:val="24"/>
                <w:lang w:val="en-US" w:eastAsia="zh-CN"/>
              </w:rPr>
              <w:t>6个</w:t>
            </w:r>
          </w:p>
        </w:tc>
        <w:tc>
          <w:tcPr>
            <w:tcW w:w="1177" w:type="dxa"/>
            <w:noWrap w:val="0"/>
            <w:vAlign w:val="center"/>
          </w:tcPr>
          <w:p>
            <w:pPr>
              <w:pStyle w:val="125"/>
              <w:spacing w:line="360" w:lineRule="exact"/>
              <w:ind w:firstLine="0" w:firstLineChars="0"/>
              <w:jc w:val="center"/>
              <w:rPr>
                <w:rFonts w:hint="eastAsia"/>
                <w:sz w:val="24"/>
                <w:szCs w:val="24"/>
              </w:rPr>
            </w:pPr>
            <w:r>
              <w:rPr>
                <w:rFonts w:hint="eastAsia"/>
                <w:sz w:val="24"/>
                <w:szCs w:val="24"/>
              </w:rPr>
              <w:t>良好</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85" w:hRule="atLeast"/>
          <w:jc w:val="center"/>
        </w:trPr>
        <w:tc>
          <w:tcPr>
            <w:tcW w:w="824" w:type="dxa"/>
            <w:vMerge w:val="restart"/>
            <w:noWrap w:val="0"/>
            <w:vAlign w:val="center"/>
          </w:tcPr>
          <w:p>
            <w:pPr>
              <w:pStyle w:val="125"/>
              <w:spacing w:line="360" w:lineRule="exact"/>
              <w:ind w:firstLine="0" w:firstLineChars="0"/>
              <w:jc w:val="center"/>
              <w:rPr>
                <w:rFonts w:hint="eastAsia"/>
                <w:sz w:val="24"/>
                <w:szCs w:val="24"/>
              </w:rPr>
            </w:pPr>
            <w:r>
              <w:rPr>
                <w:rFonts w:hint="eastAsia"/>
                <w:sz w:val="24"/>
                <w:szCs w:val="24"/>
              </w:rPr>
              <w:t>5</w:t>
            </w:r>
          </w:p>
        </w:tc>
        <w:tc>
          <w:tcPr>
            <w:tcW w:w="1509" w:type="dxa"/>
            <w:vMerge w:val="restart"/>
            <w:noWrap w:val="0"/>
            <w:vAlign w:val="center"/>
          </w:tcPr>
          <w:p>
            <w:pPr>
              <w:pStyle w:val="125"/>
              <w:spacing w:line="360" w:lineRule="exact"/>
              <w:ind w:firstLine="0" w:firstLineChars="0"/>
              <w:jc w:val="center"/>
              <w:rPr>
                <w:rFonts w:hint="eastAsia"/>
                <w:sz w:val="24"/>
                <w:szCs w:val="24"/>
              </w:rPr>
            </w:pPr>
            <w:r>
              <w:rPr>
                <w:rFonts w:hint="eastAsia"/>
                <w:sz w:val="24"/>
                <w:szCs w:val="24"/>
              </w:rPr>
              <w:t>堵漏工具</w:t>
            </w:r>
          </w:p>
          <w:p>
            <w:pPr>
              <w:pStyle w:val="125"/>
              <w:spacing w:line="360" w:lineRule="exact"/>
              <w:ind w:firstLine="0" w:firstLineChars="0"/>
              <w:jc w:val="center"/>
              <w:rPr>
                <w:rFonts w:hint="eastAsia"/>
                <w:sz w:val="24"/>
                <w:szCs w:val="24"/>
              </w:rPr>
            </w:pPr>
            <w:r>
              <w:rPr>
                <w:rFonts w:hint="eastAsia"/>
                <w:sz w:val="24"/>
                <w:szCs w:val="24"/>
              </w:rPr>
              <w:t>（或物料）</w:t>
            </w:r>
          </w:p>
        </w:tc>
        <w:tc>
          <w:tcPr>
            <w:tcW w:w="4251" w:type="dxa"/>
            <w:noWrap w:val="0"/>
            <w:vAlign w:val="center"/>
          </w:tcPr>
          <w:p>
            <w:pPr>
              <w:pStyle w:val="125"/>
              <w:spacing w:line="360" w:lineRule="exact"/>
              <w:jc w:val="center"/>
              <w:rPr>
                <w:rFonts w:hint="eastAsia"/>
                <w:color w:val="000000" w:themeColor="text1"/>
                <w:sz w:val="24"/>
                <w:szCs w:val="24"/>
              </w:rPr>
            </w:pPr>
            <w:r>
              <w:rPr>
                <w:rFonts w:hint="eastAsia"/>
                <w:color w:val="000000" w:themeColor="text1"/>
                <w:sz w:val="24"/>
              </w:rPr>
              <w:t>事故应急池（容积为  1479 m3）</w:t>
            </w:r>
          </w:p>
        </w:tc>
        <w:tc>
          <w:tcPr>
            <w:tcW w:w="1036" w:type="dxa"/>
            <w:noWrap w:val="0"/>
            <w:vAlign w:val="center"/>
          </w:tcPr>
          <w:p>
            <w:pPr>
              <w:pStyle w:val="125"/>
              <w:spacing w:line="360" w:lineRule="exact"/>
              <w:jc w:val="center"/>
              <w:rPr>
                <w:rFonts w:hint="eastAsia"/>
                <w:color w:val="000000" w:themeColor="text1"/>
                <w:sz w:val="24"/>
                <w:szCs w:val="24"/>
              </w:rPr>
            </w:pPr>
            <w:r>
              <w:rPr>
                <w:rFonts w:hint="eastAsia"/>
                <w:color w:val="000000" w:themeColor="text1"/>
                <w:sz w:val="24"/>
              </w:rPr>
              <w:t>1个</w:t>
            </w:r>
          </w:p>
        </w:tc>
        <w:tc>
          <w:tcPr>
            <w:tcW w:w="1177" w:type="dxa"/>
            <w:noWrap w:val="0"/>
            <w:vAlign w:val="top"/>
          </w:tcPr>
          <w:p>
            <w:pPr>
              <w:pStyle w:val="125"/>
              <w:spacing w:line="360" w:lineRule="exact"/>
              <w:ind w:firstLine="0" w:firstLineChars="0"/>
              <w:jc w:val="center"/>
              <w:rPr>
                <w:rFonts w:hint="eastAsia"/>
                <w:sz w:val="24"/>
                <w:szCs w:val="24"/>
              </w:rPr>
            </w:pPr>
            <w:r>
              <w:rPr>
                <w:rFonts w:hint="eastAsia"/>
                <w:sz w:val="24"/>
                <w:szCs w:val="24"/>
              </w:rPr>
              <w:t>良好</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226" w:hRule="atLeast"/>
          <w:jc w:val="center"/>
        </w:trPr>
        <w:tc>
          <w:tcPr>
            <w:tcW w:w="824" w:type="dxa"/>
            <w:vMerge w:val="continue"/>
            <w:noWrap w:val="0"/>
            <w:vAlign w:val="center"/>
          </w:tcPr>
          <w:p>
            <w:pPr>
              <w:pStyle w:val="125"/>
              <w:spacing w:line="360" w:lineRule="exact"/>
              <w:ind w:firstLine="0" w:firstLineChars="0"/>
              <w:jc w:val="center"/>
              <w:rPr>
                <w:rFonts w:hint="eastAsia"/>
                <w:sz w:val="24"/>
                <w:szCs w:val="24"/>
              </w:rPr>
            </w:pPr>
          </w:p>
        </w:tc>
        <w:tc>
          <w:tcPr>
            <w:tcW w:w="1509" w:type="dxa"/>
            <w:vMerge w:val="continue"/>
            <w:noWrap w:val="0"/>
            <w:vAlign w:val="center"/>
          </w:tcPr>
          <w:p>
            <w:pPr>
              <w:pStyle w:val="125"/>
              <w:spacing w:line="360" w:lineRule="exact"/>
              <w:ind w:firstLine="0" w:firstLineChars="0"/>
              <w:jc w:val="center"/>
              <w:rPr>
                <w:rFonts w:hint="eastAsia"/>
                <w:sz w:val="24"/>
                <w:szCs w:val="24"/>
              </w:rPr>
            </w:pPr>
          </w:p>
        </w:tc>
        <w:tc>
          <w:tcPr>
            <w:tcW w:w="4251" w:type="dxa"/>
            <w:noWrap w:val="0"/>
            <w:vAlign w:val="center"/>
          </w:tcPr>
          <w:p>
            <w:pPr>
              <w:pStyle w:val="125"/>
              <w:spacing w:line="360" w:lineRule="exact"/>
              <w:jc w:val="center"/>
              <w:rPr>
                <w:rFonts w:hint="eastAsia"/>
                <w:sz w:val="24"/>
                <w:szCs w:val="24"/>
              </w:rPr>
            </w:pPr>
            <w:r>
              <w:rPr>
                <w:rFonts w:hint="eastAsia"/>
                <w:sz w:val="24"/>
              </w:rPr>
              <w:t>应急泵</w:t>
            </w:r>
          </w:p>
        </w:tc>
        <w:tc>
          <w:tcPr>
            <w:tcW w:w="1036" w:type="dxa"/>
            <w:noWrap w:val="0"/>
            <w:vAlign w:val="center"/>
          </w:tcPr>
          <w:p>
            <w:pPr>
              <w:pStyle w:val="125"/>
              <w:spacing w:line="360" w:lineRule="exact"/>
              <w:jc w:val="center"/>
              <w:rPr>
                <w:rFonts w:hint="eastAsia"/>
                <w:sz w:val="24"/>
                <w:szCs w:val="24"/>
              </w:rPr>
            </w:pPr>
            <w:r>
              <w:rPr>
                <w:rFonts w:hint="eastAsia"/>
                <w:sz w:val="24"/>
              </w:rPr>
              <w:t>4台</w:t>
            </w:r>
          </w:p>
        </w:tc>
        <w:tc>
          <w:tcPr>
            <w:tcW w:w="1177" w:type="dxa"/>
            <w:noWrap w:val="0"/>
            <w:vAlign w:val="top"/>
          </w:tcPr>
          <w:p>
            <w:pPr>
              <w:pStyle w:val="125"/>
              <w:spacing w:line="360" w:lineRule="exact"/>
              <w:ind w:firstLine="0" w:firstLineChars="0"/>
              <w:jc w:val="center"/>
              <w:rPr>
                <w:rFonts w:hint="eastAsia"/>
                <w:sz w:val="24"/>
                <w:szCs w:val="24"/>
              </w:rPr>
            </w:pPr>
            <w:r>
              <w:rPr>
                <w:rFonts w:hint="eastAsia"/>
                <w:sz w:val="24"/>
                <w:szCs w:val="24"/>
              </w:rPr>
              <w:t>良好</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92" w:hRule="atLeast"/>
          <w:jc w:val="center"/>
        </w:trPr>
        <w:tc>
          <w:tcPr>
            <w:tcW w:w="824" w:type="dxa"/>
            <w:vMerge w:val="continue"/>
            <w:noWrap w:val="0"/>
            <w:vAlign w:val="center"/>
          </w:tcPr>
          <w:p>
            <w:pPr>
              <w:pStyle w:val="125"/>
              <w:spacing w:line="360" w:lineRule="exact"/>
              <w:ind w:firstLine="0" w:firstLineChars="0"/>
              <w:jc w:val="center"/>
              <w:rPr>
                <w:rFonts w:hint="eastAsia"/>
                <w:sz w:val="24"/>
                <w:szCs w:val="24"/>
              </w:rPr>
            </w:pPr>
          </w:p>
        </w:tc>
        <w:tc>
          <w:tcPr>
            <w:tcW w:w="1509" w:type="dxa"/>
            <w:vMerge w:val="continue"/>
            <w:noWrap w:val="0"/>
            <w:vAlign w:val="center"/>
          </w:tcPr>
          <w:p>
            <w:pPr>
              <w:pStyle w:val="125"/>
              <w:spacing w:line="360" w:lineRule="exact"/>
              <w:ind w:firstLine="0" w:firstLineChars="0"/>
              <w:jc w:val="center"/>
              <w:rPr>
                <w:rFonts w:hint="eastAsia"/>
                <w:sz w:val="24"/>
                <w:szCs w:val="24"/>
              </w:rPr>
            </w:pPr>
          </w:p>
        </w:tc>
        <w:tc>
          <w:tcPr>
            <w:tcW w:w="4251" w:type="dxa"/>
            <w:noWrap w:val="0"/>
            <w:vAlign w:val="center"/>
          </w:tcPr>
          <w:p>
            <w:pPr>
              <w:pStyle w:val="125"/>
              <w:spacing w:line="360" w:lineRule="exact"/>
              <w:jc w:val="center"/>
              <w:rPr>
                <w:rFonts w:hint="eastAsia"/>
                <w:sz w:val="24"/>
                <w:szCs w:val="24"/>
              </w:rPr>
            </w:pPr>
            <w:r>
              <w:rPr>
                <w:rFonts w:hint="eastAsia"/>
                <w:sz w:val="24"/>
              </w:rPr>
              <w:t>应急沙袋</w:t>
            </w:r>
          </w:p>
        </w:tc>
        <w:tc>
          <w:tcPr>
            <w:tcW w:w="1036" w:type="dxa"/>
            <w:noWrap w:val="0"/>
            <w:vAlign w:val="center"/>
          </w:tcPr>
          <w:p>
            <w:pPr>
              <w:pStyle w:val="125"/>
              <w:spacing w:line="360" w:lineRule="exact"/>
              <w:jc w:val="center"/>
              <w:rPr>
                <w:rFonts w:hint="eastAsia" w:eastAsia="宋体"/>
                <w:sz w:val="24"/>
                <w:szCs w:val="24"/>
                <w:lang w:eastAsia="zh-CN"/>
              </w:rPr>
            </w:pPr>
            <w:r>
              <w:rPr>
                <w:rFonts w:hint="eastAsia"/>
                <w:sz w:val="24"/>
                <w:lang w:val="en-US" w:eastAsia="zh-CN"/>
              </w:rPr>
              <w:t>1t</w:t>
            </w:r>
          </w:p>
        </w:tc>
        <w:tc>
          <w:tcPr>
            <w:tcW w:w="1177" w:type="dxa"/>
            <w:noWrap w:val="0"/>
            <w:vAlign w:val="top"/>
          </w:tcPr>
          <w:p>
            <w:pPr>
              <w:pStyle w:val="125"/>
              <w:spacing w:line="360" w:lineRule="exact"/>
              <w:ind w:firstLine="0" w:firstLineChars="0"/>
              <w:jc w:val="center"/>
              <w:rPr>
                <w:rFonts w:hint="eastAsia"/>
                <w:sz w:val="24"/>
                <w:szCs w:val="24"/>
              </w:rPr>
            </w:pPr>
            <w:r>
              <w:rPr>
                <w:rFonts w:hint="eastAsia"/>
                <w:sz w:val="24"/>
                <w:szCs w:val="24"/>
              </w:rPr>
              <w:t>良好</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269" w:hRule="atLeast"/>
          <w:jc w:val="center"/>
        </w:trPr>
        <w:tc>
          <w:tcPr>
            <w:tcW w:w="824" w:type="dxa"/>
            <w:vMerge w:val="continue"/>
            <w:noWrap w:val="0"/>
            <w:vAlign w:val="center"/>
          </w:tcPr>
          <w:p>
            <w:pPr>
              <w:pStyle w:val="125"/>
              <w:spacing w:line="360" w:lineRule="exact"/>
              <w:ind w:firstLine="0" w:firstLineChars="0"/>
              <w:jc w:val="center"/>
              <w:rPr>
                <w:rFonts w:hint="eastAsia"/>
                <w:sz w:val="24"/>
                <w:szCs w:val="24"/>
              </w:rPr>
            </w:pPr>
          </w:p>
        </w:tc>
        <w:tc>
          <w:tcPr>
            <w:tcW w:w="1509" w:type="dxa"/>
            <w:vMerge w:val="continue"/>
            <w:noWrap w:val="0"/>
            <w:vAlign w:val="center"/>
          </w:tcPr>
          <w:p>
            <w:pPr>
              <w:pStyle w:val="125"/>
              <w:spacing w:line="360" w:lineRule="exact"/>
              <w:ind w:firstLine="0" w:firstLineChars="0"/>
              <w:jc w:val="center"/>
              <w:rPr>
                <w:rFonts w:hint="eastAsia"/>
                <w:sz w:val="24"/>
                <w:szCs w:val="24"/>
              </w:rPr>
            </w:pPr>
          </w:p>
        </w:tc>
        <w:tc>
          <w:tcPr>
            <w:tcW w:w="4251" w:type="dxa"/>
            <w:noWrap w:val="0"/>
            <w:vAlign w:val="center"/>
          </w:tcPr>
          <w:p>
            <w:pPr>
              <w:pStyle w:val="125"/>
              <w:spacing w:line="360" w:lineRule="exact"/>
              <w:jc w:val="center"/>
              <w:rPr>
                <w:rFonts w:hint="eastAsia" w:eastAsia="宋体"/>
                <w:sz w:val="24"/>
                <w:szCs w:val="24"/>
                <w:lang w:eastAsia="zh-CN"/>
              </w:rPr>
            </w:pPr>
            <w:r>
              <w:rPr>
                <w:rFonts w:hint="eastAsia"/>
                <w:sz w:val="24"/>
                <w:lang w:eastAsia="zh-CN"/>
              </w:rPr>
              <w:t>应急电源</w:t>
            </w:r>
          </w:p>
        </w:tc>
        <w:tc>
          <w:tcPr>
            <w:tcW w:w="1036" w:type="dxa"/>
            <w:noWrap w:val="0"/>
            <w:vAlign w:val="center"/>
          </w:tcPr>
          <w:p>
            <w:pPr>
              <w:pStyle w:val="125"/>
              <w:spacing w:line="360" w:lineRule="exact"/>
              <w:jc w:val="center"/>
              <w:rPr>
                <w:rFonts w:hint="eastAsia"/>
                <w:sz w:val="24"/>
                <w:szCs w:val="24"/>
              </w:rPr>
            </w:pPr>
            <w:r>
              <w:rPr>
                <w:rFonts w:hint="eastAsia"/>
                <w:sz w:val="24"/>
              </w:rPr>
              <w:t>1台</w:t>
            </w:r>
          </w:p>
        </w:tc>
        <w:tc>
          <w:tcPr>
            <w:tcW w:w="1177" w:type="dxa"/>
            <w:noWrap w:val="0"/>
            <w:vAlign w:val="top"/>
          </w:tcPr>
          <w:p>
            <w:pPr>
              <w:pStyle w:val="125"/>
              <w:spacing w:line="360" w:lineRule="exact"/>
              <w:ind w:firstLine="0" w:firstLineChars="0"/>
              <w:jc w:val="center"/>
              <w:rPr>
                <w:rFonts w:hint="eastAsia"/>
                <w:sz w:val="24"/>
                <w:szCs w:val="24"/>
              </w:rPr>
            </w:pPr>
            <w:r>
              <w:rPr>
                <w:rFonts w:hint="eastAsia"/>
                <w:sz w:val="24"/>
                <w:szCs w:val="24"/>
              </w:rPr>
              <w:t>良好</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85" w:hRule="atLeast"/>
          <w:jc w:val="center"/>
        </w:trPr>
        <w:tc>
          <w:tcPr>
            <w:tcW w:w="824" w:type="dxa"/>
            <w:vMerge w:val="continue"/>
            <w:noWrap w:val="0"/>
            <w:vAlign w:val="center"/>
          </w:tcPr>
          <w:p>
            <w:pPr>
              <w:pStyle w:val="125"/>
              <w:spacing w:line="360" w:lineRule="exact"/>
              <w:ind w:firstLine="0" w:firstLineChars="0"/>
              <w:jc w:val="center"/>
              <w:rPr>
                <w:rFonts w:hint="eastAsia"/>
                <w:sz w:val="24"/>
                <w:szCs w:val="24"/>
              </w:rPr>
            </w:pPr>
          </w:p>
        </w:tc>
        <w:tc>
          <w:tcPr>
            <w:tcW w:w="1509" w:type="dxa"/>
            <w:vMerge w:val="continue"/>
            <w:noWrap w:val="0"/>
            <w:vAlign w:val="center"/>
          </w:tcPr>
          <w:p>
            <w:pPr>
              <w:pStyle w:val="125"/>
              <w:spacing w:line="360" w:lineRule="exact"/>
              <w:ind w:firstLine="0" w:firstLineChars="0"/>
              <w:jc w:val="center"/>
              <w:rPr>
                <w:rFonts w:hint="eastAsia"/>
                <w:sz w:val="24"/>
                <w:szCs w:val="24"/>
              </w:rPr>
            </w:pPr>
          </w:p>
        </w:tc>
        <w:tc>
          <w:tcPr>
            <w:tcW w:w="4251" w:type="dxa"/>
            <w:noWrap w:val="0"/>
            <w:vAlign w:val="center"/>
          </w:tcPr>
          <w:p>
            <w:pPr>
              <w:pStyle w:val="125"/>
              <w:spacing w:line="360" w:lineRule="exact"/>
              <w:jc w:val="center"/>
              <w:rPr>
                <w:rFonts w:hint="eastAsia" w:eastAsia="宋体"/>
                <w:sz w:val="24"/>
                <w:szCs w:val="24"/>
                <w:lang w:eastAsia="zh-CN"/>
              </w:rPr>
            </w:pPr>
            <w:r>
              <w:rPr>
                <w:rFonts w:hint="eastAsia"/>
                <w:sz w:val="24"/>
              </w:rPr>
              <w:t>备用水管</w:t>
            </w:r>
          </w:p>
        </w:tc>
        <w:tc>
          <w:tcPr>
            <w:tcW w:w="1036" w:type="dxa"/>
            <w:noWrap w:val="0"/>
            <w:vAlign w:val="center"/>
          </w:tcPr>
          <w:p>
            <w:pPr>
              <w:pStyle w:val="125"/>
              <w:spacing w:line="360" w:lineRule="exact"/>
              <w:jc w:val="center"/>
              <w:rPr>
                <w:rFonts w:hint="eastAsia" w:eastAsia="宋体"/>
                <w:sz w:val="24"/>
                <w:szCs w:val="24"/>
                <w:lang w:val="en-US" w:eastAsia="zh-CN"/>
              </w:rPr>
            </w:pPr>
            <w:r>
              <w:rPr>
                <w:rFonts w:hint="eastAsia"/>
                <w:sz w:val="24"/>
              </w:rPr>
              <w:t>10条</w:t>
            </w:r>
          </w:p>
        </w:tc>
        <w:tc>
          <w:tcPr>
            <w:tcW w:w="1177" w:type="dxa"/>
            <w:noWrap w:val="0"/>
            <w:vAlign w:val="center"/>
          </w:tcPr>
          <w:p>
            <w:pPr>
              <w:pStyle w:val="125"/>
              <w:spacing w:line="360" w:lineRule="exact"/>
              <w:ind w:firstLine="0" w:firstLineChars="0"/>
              <w:jc w:val="center"/>
              <w:rPr>
                <w:rFonts w:hint="eastAsia"/>
                <w:sz w:val="24"/>
                <w:szCs w:val="24"/>
              </w:rPr>
            </w:pPr>
            <w:r>
              <w:rPr>
                <w:rFonts w:hint="eastAsia"/>
                <w:sz w:val="24"/>
                <w:szCs w:val="24"/>
              </w:rPr>
              <w:t>良好</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85" w:hRule="atLeast"/>
          <w:jc w:val="center"/>
        </w:trPr>
        <w:tc>
          <w:tcPr>
            <w:tcW w:w="824" w:type="dxa"/>
            <w:vMerge w:val="continue"/>
            <w:noWrap w:val="0"/>
            <w:vAlign w:val="center"/>
          </w:tcPr>
          <w:p>
            <w:pPr>
              <w:pStyle w:val="125"/>
              <w:spacing w:line="360" w:lineRule="exact"/>
              <w:ind w:firstLine="0" w:firstLineChars="0"/>
              <w:jc w:val="center"/>
              <w:rPr>
                <w:rFonts w:hint="eastAsia"/>
                <w:sz w:val="24"/>
                <w:szCs w:val="24"/>
              </w:rPr>
            </w:pPr>
          </w:p>
        </w:tc>
        <w:tc>
          <w:tcPr>
            <w:tcW w:w="1509" w:type="dxa"/>
            <w:vMerge w:val="continue"/>
            <w:noWrap w:val="0"/>
            <w:vAlign w:val="center"/>
          </w:tcPr>
          <w:p>
            <w:pPr>
              <w:pStyle w:val="125"/>
              <w:spacing w:line="360" w:lineRule="exact"/>
              <w:ind w:firstLine="0" w:firstLineChars="0"/>
              <w:jc w:val="center"/>
              <w:rPr>
                <w:rFonts w:hint="eastAsia"/>
                <w:sz w:val="24"/>
                <w:szCs w:val="24"/>
              </w:rPr>
            </w:pPr>
          </w:p>
        </w:tc>
        <w:tc>
          <w:tcPr>
            <w:tcW w:w="4251" w:type="dxa"/>
            <w:noWrap w:val="0"/>
            <w:vAlign w:val="center"/>
          </w:tcPr>
          <w:p>
            <w:pPr>
              <w:pStyle w:val="125"/>
              <w:spacing w:line="360" w:lineRule="exact"/>
              <w:jc w:val="center"/>
              <w:rPr>
                <w:rFonts w:hint="eastAsia"/>
                <w:sz w:val="24"/>
                <w:szCs w:val="24"/>
                <w:lang w:eastAsia="zh-CN"/>
              </w:rPr>
            </w:pPr>
            <w:r>
              <w:rPr>
                <w:rFonts w:hint="eastAsia"/>
                <w:sz w:val="24"/>
              </w:rPr>
              <w:t>备用水泵</w:t>
            </w:r>
          </w:p>
        </w:tc>
        <w:tc>
          <w:tcPr>
            <w:tcW w:w="1036" w:type="dxa"/>
            <w:noWrap w:val="0"/>
            <w:vAlign w:val="center"/>
          </w:tcPr>
          <w:p>
            <w:pPr>
              <w:pStyle w:val="125"/>
              <w:spacing w:line="360" w:lineRule="exact"/>
              <w:jc w:val="center"/>
              <w:rPr>
                <w:rFonts w:hint="default"/>
                <w:sz w:val="24"/>
                <w:szCs w:val="24"/>
                <w:lang w:val="en-US" w:eastAsia="zh-CN"/>
              </w:rPr>
            </w:pPr>
            <w:r>
              <w:rPr>
                <w:rFonts w:hint="eastAsia"/>
                <w:sz w:val="24"/>
              </w:rPr>
              <w:t>4台</w:t>
            </w:r>
          </w:p>
        </w:tc>
        <w:tc>
          <w:tcPr>
            <w:tcW w:w="1177" w:type="dxa"/>
            <w:noWrap w:val="0"/>
            <w:vAlign w:val="center"/>
          </w:tcPr>
          <w:p>
            <w:pPr>
              <w:pStyle w:val="125"/>
              <w:spacing w:line="360" w:lineRule="exact"/>
              <w:ind w:firstLine="0" w:firstLineChars="0"/>
              <w:jc w:val="center"/>
              <w:rPr>
                <w:rFonts w:hint="eastAsia"/>
                <w:sz w:val="24"/>
                <w:szCs w:val="24"/>
              </w:rPr>
            </w:pPr>
            <w:r>
              <w:rPr>
                <w:rFonts w:hint="eastAsia"/>
                <w:sz w:val="24"/>
                <w:szCs w:val="24"/>
              </w:rPr>
              <w:t>良好</w:t>
            </w:r>
          </w:p>
        </w:tc>
      </w:tr>
    </w:tbl>
    <w:p>
      <w:pPr>
        <w:pStyle w:val="3"/>
        <w:rPr>
          <w:szCs w:val="21"/>
        </w:rPr>
      </w:pPr>
      <w:bookmarkStart w:id="188" w:name="_Toc19291"/>
      <w:r>
        <w:t>4.3应急设施</w:t>
      </w:r>
      <w:bookmarkEnd w:id="184"/>
      <w:bookmarkEnd w:id="185"/>
      <w:bookmarkEnd w:id="186"/>
      <w:bookmarkEnd w:id="188"/>
    </w:p>
    <w:p>
      <w:pPr>
        <w:adjustRightInd w:val="0"/>
        <w:snapToGrid w:val="0"/>
        <w:spacing w:line="360" w:lineRule="auto"/>
        <w:ind w:firstLine="554" w:firstLineChars="200"/>
        <w:rPr>
          <w:b/>
        </w:rPr>
      </w:pPr>
      <w:r>
        <w:rPr>
          <w:b/>
        </w:rPr>
        <w:t>①设置应急事故池</w:t>
      </w:r>
    </w:p>
    <w:p>
      <w:pPr>
        <w:spacing w:line="360" w:lineRule="auto"/>
        <w:ind w:firstLine="552" w:firstLineChars="200"/>
      </w:pPr>
      <w:r>
        <w:rPr>
          <w:rFonts w:hint="eastAsia"/>
          <w:lang w:eastAsia="zh-CN"/>
        </w:rPr>
        <w:t>最大事故废水水量</w:t>
      </w:r>
      <w:r>
        <w:rPr>
          <w:rFonts w:hint="eastAsia"/>
        </w:rPr>
        <w:t>根据《化工建设项目环境保护设计规范》（GB50483-2009）和《事故状态下水体污染的预防与控制技术的要求》（Q/SY1190-2009）中的相应规定设置。</w:t>
      </w:r>
      <w:r>
        <w:rPr>
          <w:rFonts w:hint="eastAsia"/>
          <w:lang w:eastAsia="zh-CN"/>
        </w:rPr>
        <w:t>最大事故废水量（</w:t>
      </w:r>
      <w:r>
        <w:rPr>
          <w:rFonts w:hint="eastAsia"/>
        </w:rPr>
        <w:t>事故应急池容量</w:t>
      </w:r>
      <w:r>
        <w:rPr>
          <w:rFonts w:hint="eastAsia"/>
          <w:lang w:eastAsia="zh-CN"/>
        </w:rPr>
        <w:t>）为</w:t>
      </w:r>
      <w:r>
        <w:rPr>
          <w:rFonts w:hint="eastAsia"/>
          <w:color w:val="auto"/>
          <w:sz w:val="28"/>
          <w:szCs w:val="28"/>
        </w:rPr>
        <w:t>1421.244m</w:t>
      </w:r>
      <w:r>
        <w:rPr>
          <w:rFonts w:hint="eastAsia"/>
          <w:color w:val="auto"/>
          <w:sz w:val="28"/>
          <w:szCs w:val="28"/>
          <w:vertAlign w:val="superscript"/>
        </w:rPr>
        <w:t>3</w:t>
      </w:r>
      <w:r>
        <w:rPr>
          <w:rFonts w:hint="eastAsia"/>
          <w:color w:val="auto"/>
          <w:sz w:val="28"/>
          <w:szCs w:val="28"/>
        </w:rPr>
        <w:t>。</w:t>
      </w:r>
      <w:r>
        <w:rPr>
          <w:rFonts w:hint="eastAsia"/>
          <w:color w:val="auto"/>
          <w:sz w:val="28"/>
          <w:szCs w:val="28"/>
          <w:lang w:eastAsia="zh-CN"/>
        </w:rPr>
        <w:t>公司</w:t>
      </w:r>
      <w:r>
        <w:rPr>
          <w:rFonts w:hint="eastAsia"/>
          <w:color w:val="auto"/>
          <w:sz w:val="28"/>
          <w:szCs w:val="28"/>
        </w:rPr>
        <w:t>现有工程已修建有效容积为1479m</w:t>
      </w:r>
      <w:r>
        <w:rPr>
          <w:rFonts w:hint="eastAsia"/>
          <w:color w:val="auto"/>
          <w:sz w:val="28"/>
          <w:szCs w:val="28"/>
          <w:vertAlign w:val="superscript"/>
        </w:rPr>
        <w:t>3</w:t>
      </w:r>
      <w:r>
        <w:rPr>
          <w:rFonts w:hint="eastAsia"/>
          <w:color w:val="auto"/>
          <w:sz w:val="28"/>
          <w:szCs w:val="28"/>
        </w:rPr>
        <w:t>的事故应急池，可满足消防废水和事故废水的收集需求。</w:t>
      </w:r>
      <w:r>
        <w:rPr>
          <w:rFonts w:hint="eastAsia"/>
        </w:rPr>
        <w:t>。</w:t>
      </w:r>
    </w:p>
    <w:p>
      <w:pPr>
        <w:adjustRightInd w:val="0"/>
        <w:snapToGrid w:val="0"/>
        <w:spacing w:line="360" w:lineRule="auto"/>
        <w:ind w:firstLine="554" w:firstLineChars="200"/>
      </w:pPr>
      <w:r>
        <w:rPr>
          <w:rFonts w:hint="eastAsia"/>
          <w:b/>
        </w:rPr>
        <w:t>②实施</w:t>
      </w:r>
      <w:r>
        <w:rPr>
          <w:b/>
        </w:rPr>
        <w:t>雨污分流制</w:t>
      </w:r>
    </w:p>
    <w:p>
      <w:pPr>
        <w:pStyle w:val="17"/>
        <w:jc w:val="left"/>
        <w:rPr>
          <w:rFonts w:hint="eastAsia"/>
          <w:lang w:val="en-US" w:eastAsia="zh-CN"/>
        </w:rPr>
      </w:pPr>
      <w:r>
        <w:t>公司</w:t>
      </w:r>
      <w:r>
        <w:rPr>
          <w:rFonts w:hint="eastAsia"/>
          <w:lang w:eastAsia="zh-CN"/>
        </w:rPr>
        <w:t>为雨污分流制排水，设有</w:t>
      </w:r>
      <w:r>
        <w:rPr>
          <w:rFonts w:hint="eastAsia"/>
          <w:lang w:val="en-US" w:eastAsia="zh-CN"/>
        </w:rPr>
        <w:t>1</w:t>
      </w:r>
      <w:r>
        <w:t>个雨水总排口</w:t>
      </w:r>
      <w:r>
        <w:rPr>
          <w:rFonts w:hint="eastAsia"/>
          <w:lang w:eastAsia="zh-CN"/>
        </w:rPr>
        <w:t>，</w:t>
      </w:r>
      <w:r>
        <w:rPr>
          <w:rFonts w:hint="eastAsia"/>
        </w:rPr>
        <w:t>从</w:t>
      </w:r>
      <w:r>
        <w:rPr>
          <w:rFonts w:hint="eastAsia"/>
          <w:lang w:eastAsia="zh-CN"/>
        </w:rPr>
        <w:t>上述</w:t>
      </w:r>
      <w:r>
        <w:rPr>
          <w:rFonts w:hint="eastAsia"/>
        </w:rPr>
        <w:t>对</w:t>
      </w:r>
      <w:r>
        <w:rPr>
          <w:rFonts w:hint="eastAsia"/>
          <w:lang w:eastAsia="zh-CN"/>
        </w:rPr>
        <w:t>风险</w:t>
      </w:r>
      <w:r>
        <w:rPr>
          <w:rFonts w:hint="eastAsia"/>
        </w:rPr>
        <w:t>源</w:t>
      </w:r>
      <w:r>
        <w:rPr>
          <w:rFonts w:hint="eastAsia"/>
          <w:lang w:eastAsia="zh-CN"/>
        </w:rPr>
        <w:t>识别</w:t>
      </w:r>
      <w:r>
        <w:rPr>
          <w:rFonts w:hint="eastAsia"/>
        </w:rPr>
        <w:t>中可得，</w:t>
      </w:r>
      <w:r>
        <w:rPr>
          <w:rFonts w:hint="eastAsia"/>
          <w:lang w:eastAsia="zh-CN"/>
        </w:rPr>
        <w:t>公司</w:t>
      </w:r>
      <w:r>
        <w:rPr>
          <w:rFonts w:hint="eastAsia"/>
        </w:rPr>
        <w:t>各重要的</w:t>
      </w:r>
      <w:r>
        <w:rPr>
          <w:rFonts w:hint="eastAsia"/>
          <w:lang w:eastAsia="zh-CN"/>
        </w:rPr>
        <w:t>风险源</w:t>
      </w:r>
      <w:r>
        <w:rPr>
          <w:rFonts w:hint="eastAsia"/>
        </w:rPr>
        <w:t>区域四周均设有缓坡和沟槽</w:t>
      </w:r>
      <w:r>
        <w:rPr>
          <w:rFonts w:hint="eastAsia"/>
          <w:lang w:eastAsia="zh-CN"/>
        </w:rPr>
        <w:t>或</w:t>
      </w:r>
      <w:r>
        <w:rPr>
          <w:rFonts w:hint="eastAsia"/>
        </w:rPr>
        <w:t>围堰，且</w:t>
      </w:r>
      <w:r>
        <w:rPr>
          <w:rFonts w:hint="eastAsia"/>
          <w:lang w:eastAsia="zh-CN"/>
        </w:rPr>
        <w:t>公司</w:t>
      </w:r>
      <w:r>
        <w:rPr>
          <w:rFonts w:hint="eastAsia"/>
        </w:rPr>
        <w:t>设有备用</w:t>
      </w:r>
      <w:r>
        <w:rPr>
          <w:rFonts w:hint="eastAsia"/>
          <w:lang w:eastAsia="zh-CN"/>
        </w:rPr>
        <w:t>电源</w:t>
      </w:r>
      <w:r>
        <w:rPr>
          <w:rFonts w:hint="eastAsia"/>
        </w:rPr>
        <w:t>、水泵以及皮管，</w:t>
      </w:r>
      <w:r>
        <w:rPr>
          <w:rFonts w:hint="eastAsia"/>
          <w:lang w:eastAsia="zh-CN"/>
        </w:rPr>
        <w:t>若风险</w:t>
      </w:r>
      <w:r>
        <w:rPr>
          <w:rFonts w:hint="eastAsia"/>
        </w:rPr>
        <w:t>源区域发生火灾，产生的事故废水流入</w:t>
      </w:r>
      <w:r>
        <w:rPr>
          <w:rFonts w:hint="eastAsia"/>
          <w:lang w:eastAsia="zh-CN"/>
        </w:rPr>
        <w:t>雨水管网</w:t>
      </w:r>
      <w:r>
        <w:rPr>
          <w:rFonts w:hint="eastAsia"/>
        </w:rPr>
        <w:t>后，</w:t>
      </w:r>
      <w:r>
        <w:rPr>
          <w:rFonts w:hint="eastAsia"/>
          <w:lang w:eastAsia="zh-CN"/>
        </w:rPr>
        <w:t>立即关闭雨水总排放口，并</w:t>
      </w:r>
      <w:r>
        <w:rPr>
          <w:rFonts w:hint="eastAsia"/>
        </w:rPr>
        <w:t>通过水泵和皮管将在</w:t>
      </w:r>
      <w:r>
        <w:rPr>
          <w:rFonts w:hint="eastAsia"/>
          <w:lang w:eastAsia="zh-CN"/>
        </w:rPr>
        <w:t>雨水管网内</w:t>
      </w:r>
      <w:r>
        <w:rPr>
          <w:rFonts w:hint="eastAsia"/>
        </w:rPr>
        <w:t>事故废水及时抽入</w:t>
      </w:r>
      <w:r>
        <w:rPr>
          <w:rFonts w:hint="eastAsia"/>
          <w:lang w:eastAsia="zh-CN"/>
        </w:rPr>
        <w:t>事故池内</w:t>
      </w:r>
      <w:r>
        <w:rPr>
          <w:rFonts w:hint="eastAsia"/>
        </w:rPr>
        <w:t>。以防产生的泄漏液、洗消废水或消防废水进入</w:t>
      </w:r>
      <w:r>
        <w:rPr>
          <w:rFonts w:hint="eastAsia"/>
          <w:lang w:eastAsia="zh-CN"/>
        </w:rPr>
        <w:t>外环境</w:t>
      </w:r>
      <w:r>
        <w:rPr>
          <w:rFonts w:hint="eastAsia"/>
        </w:rPr>
        <w:t>。</w:t>
      </w:r>
      <w:r>
        <w:rPr>
          <w:rFonts w:hint="eastAsia"/>
          <w:lang w:eastAsia="zh-CN"/>
        </w:rPr>
        <w:t>详细雨水排水区域见图</w:t>
      </w:r>
      <w:r>
        <w:rPr>
          <w:rFonts w:hint="eastAsia"/>
          <w:lang w:val="en-US" w:eastAsia="zh-CN"/>
        </w:rPr>
        <w:t>4-1。</w:t>
      </w:r>
    </w:p>
    <w:p>
      <w:pPr>
        <w:pStyle w:val="17"/>
        <w:ind w:firstLine="560" w:firstLineChars="200"/>
        <w:jc w:val="left"/>
      </w:pPr>
      <w:r>
        <w:t>雨水总排</w:t>
      </w:r>
      <w:r>
        <w:rPr>
          <w:rFonts w:hint="eastAsia"/>
        </w:rPr>
        <w:t>口</w:t>
      </w:r>
      <w:r>
        <w:rPr>
          <w:rFonts w:hint="eastAsia"/>
          <w:lang w:eastAsia="zh-CN"/>
        </w:rPr>
        <w:t>设置有闸门</w:t>
      </w:r>
      <w:r>
        <w:t>，</w:t>
      </w:r>
      <w:r>
        <w:rPr>
          <w:rFonts w:hint="eastAsia"/>
        </w:rPr>
        <w:t>在发生</w:t>
      </w:r>
      <w:r>
        <w:t>事故</w:t>
      </w:r>
      <w:r>
        <w:rPr>
          <w:rFonts w:hint="eastAsia"/>
        </w:rPr>
        <w:t>的</w:t>
      </w:r>
      <w:r>
        <w:t>情况下可</w:t>
      </w:r>
      <w:r>
        <w:rPr>
          <w:rFonts w:hint="eastAsia"/>
          <w:lang w:eastAsia="zh-CN"/>
        </w:rPr>
        <w:t>通过关闭阀门</w:t>
      </w:r>
      <w:r>
        <w:t>，</w:t>
      </w:r>
      <w:r>
        <w:rPr>
          <w:rFonts w:hint="eastAsia"/>
        </w:rPr>
        <w:t>防止</w:t>
      </w:r>
      <w:r>
        <w:t>事故废水</w:t>
      </w:r>
      <w:r>
        <w:rPr>
          <w:rFonts w:hint="eastAsia"/>
        </w:rPr>
        <w:t>直接从雨水排口排出</w:t>
      </w:r>
      <w:r>
        <w:t>。</w:t>
      </w:r>
    </w:p>
    <w:p>
      <w:pPr>
        <w:pStyle w:val="17"/>
        <w:ind w:firstLine="560" w:firstLineChars="200"/>
        <w:jc w:val="left"/>
        <w:sectPr>
          <w:footerReference r:id="rId14" w:type="default"/>
          <w:pgSz w:w="11906" w:h="16838"/>
          <w:pgMar w:top="1418" w:right="1418" w:bottom="1418" w:left="1418" w:header="851" w:footer="958" w:gutter="0"/>
          <w:pgBorders>
            <w:top w:val="none" w:sz="0" w:space="0"/>
            <w:left w:val="none" w:sz="0" w:space="0"/>
            <w:bottom w:val="none" w:sz="0" w:space="0"/>
            <w:right w:val="none" w:sz="0" w:space="0"/>
          </w:pgBorders>
          <w:pgNumType w:fmt="decimal"/>
          <w:cols w:space="720" w:num="1"/>
          <w:docGrid w:linePitch="312" w:charSpace="0"/>
        </w:sectPr>
      </w:pPr>
    </w:p>
    <w:p>
      <w:pPr>
        <w:pStyle w:val="17"/>
        <w:ind w:left="0" w:leftChars="0" w:firstLine="0" w:firstLineChars="0"/>
        <w:jc w:val="center"/>
      </w:pPr>
      <w:r>
        <w:drawing>
          <wp:inline distT="0" distB="0" distL="114300" distR="114300">
            <wp:extent cx="7197725" cy="5226050"/>
            <wp:effectExtent l="9525" t="9525" r="12700" b="22225"/>
            <wp:docPr id="15" name="图片 6509" descr="雨水管网图2013-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6509" descr="雨水管网图2013-7-14"/>
                    <pic:cNvPicPr>
                      <a:picLocks noChangeAspect="1"/>
                    </pic:cNvPicPr>
                  </pic:nvPicPr>
                  <pic:blipFill>
                    <a:blip r:embed="rId32"/>
                    <a:srcRect t="1103" r="963"/>
                    <a:stretch>
                      <a:fillRect/>
                    </a:stretch>
                  </pic:blipFill>
                  <pic:spPr>
                    <a:xfrm>
                      <a:off x="0" y="0"/>
                      <a:ext cx="7197725" cy="5226050"/>
                    </a:xfrm>
                    <a:prstGeom prst="rect">
                      <a:avLst/>
                    </a:prstGeom>
                    <a:noFill/>
                    <a:ln w="3175" cap="flat" cmpd="sng">
                      <a:solidFill>
                        <a:srgbClr val="000000"/>
                      </a:solidFill>
                      <a:prstDash val="solid"/>
                      <a:miter/>
                      <a:headEnd type="none" w="med" len="med"/>
                      <a:tailEnd type="none" w="med" len="med"/>
                    </a:ln>
                  </pic:spPr>
                </pic:pic>
              </a:graphicData>
            </a:graphic>
          </wp:inline>
        </w:drawing>
      </w:r>
      <w:r>
        <w:rPr>
          <w:sz w:val="28"/>
        </w:rPr>
        <w:pict>
          <v:shape id="_x0000_s8583" o:spid="_x0000_s8583" o:spt="61" type="#_x0000_t61" style="position:absolute;left:0pt;flip:x;margin-left:120.3pt;margin-top:302.8pt;height:24pt;width:109.4pt;z-index:2127912960;mso-width-relative:page;mso-height-relative:page;" fillcolor="#FFFFFF" filled="t" stroked="t" coordsize="21600,21600" adj="-13603,45495">
            <v:path/>
            <v:fill on="t" color2="#FFFFFF" focussize="0,0"/>
            <v:stroke color="#0070C0" endarrow="block"/>
            <v:imagedata o:title=""/>
            <o:lock v:ext="edit" aspectratio="f"/>
            <v:textbox>
              <w:txbxContent>
                <w:p>
                  <w:pPr>
                    <w:jc w:val="center"/>
                    <w:rPr>
                      <w:rFonts w:hint="eastAsia" w:eastAsia="宋体"/>
                      <w:lang w:eastAsia="zh-CN"/>
                    </w:rPr>
                  </w:pPr>
                  <w:r>
                    <w:rPr>
                      <w:rFonts w:hint="eastAsia"/>
                      <w:lang w:eastAsia="zh-CN"/>
                    </w:rPr>
                    <w:t>雨水总排口</w:t>
                  </w:r>
                </w:p>
              </w:txbxContent>
            </v:textbox>
          </v:shape>
        </w:pict>
      </w:r>
      <w:r>
        <w:rPr>
          <w:sz w:val="28"/>
        </w:rPr>
        <w:pict>
          <v:line id="_x0000_s8581" o:spid="_x0000_s8581" o:spt="20" style="position:absolute;left:0pt;margin-left:240.2pt;margin-top:145.3pt;height:41.25pt;width:64.45pt;z-index:2127911936;mso-width-relative:page;mso-height-relative:page;" fillcolor="#FFFFFF" filled="t" stroked="t" coordsize="21600,21600">
            <v:path arrowok="t"/>
            <v:fill on="t" color2="#FFFFFF" focussize="0,0"/>
            <v:stroke weight="2.25pt" color="#0070C0" endarrow="open"/>
            <v:imagedata o:title=""/>
            <o:lock v:ext="edit" aspectratio="f"/>
          </v:line>
        </w:pict>
      </w:r>
      <w:r>
        <w:rPr>
          <w:sz w:val="28"/>
        </w:rPr>
        <w:pict>
          <v:line id="_x0000_s8580" o:spid="_x0000_s8580" o:spt="20" style="position:absolute;left:0pt;flip:x y;margin-left:306.95pt;margin-top:188.05pt;height:32.2pt;width:51.05pt;z-index:2127910912;mso-width-relative:page;mso-height-relative:page;" fillcolor="#FFFFFF" filled="t" stroked="t" coordsize="21600,21600">
            <v:path arrowok="t"/>
            <v:fill on="t" color2="#FFFFFF" focussize="0,0"/>
            <v:stroke weight="2.25pt" color="#0070C0" endarrow="block"/>
            <v:imagedata o:title=""/>
            <o:lock v:ext="edit" aspectratio="f"/>
          </v:line>
        </w:pict>
      </w:r>
      <w:r>
        <w:rPr>
          <w:sz w:val="28"/>
        </w:rPr>
        <w:pict>
          <v:line id="_x0000_s8579" o:spid="_x0000_s8579" o:spt="20" style="position:absolute;left:0pt;flip:x;margin-left:311.45pt;margin-top:296.8pt;height:53.25pt;width:41.25pt;z-index:2127909888;mso-width-relative:page;mso-height-relative:page;" fillcolor="#FFFFFF" filled="t" stroked="t" coordsize="21600,21600">
            <v:path arrowok="t"/>
            <v:fill on="t" color2="#FFFFFF" focussize="0,0"/>
            <v:stroke weight="2.25pt" color="#0070C0" endarrow="block"/>
            <v:imagedata o:title=""/>
            <o:lock v:ext="edit" aspectratio="f"/>
          </v:line>
        </w:pict>
      </w:r>
      <w:r>
        <w:rPr>
          <w:sz w:val="28"/>
        </w:rPr>
        <w:pict>
          <v:line id="_x0000_s8578" o:spid="_x0000_s8578" o:spt="20" style="position:absolute;left:0pt;flip:x y;margin-left:355.7pt;margin-top:297.55pt;height:54pt;width:65.25pt;z-index:2127908864;mso-width-relative:page;mso-height-relative:page;" fillcolor="#FFFFFF" filled="t" stroked="t" coordsize="21600,21600">
            <v:path arrowok="t"/>
            <v:fill on="t" color2="#FFFFFF" focussize="0,0"/>
            <v:stroke weight="2.25pt" color="#0070C0" endarrow="block"/>
            <v:imagedata o:title=""/>
            <o:lock v:ext="edit" aspectratio="f"/>
          </v:line>
        </w:pict>
      </w:r>
      <w:r>
        <w:rPr>
          <w:sz w:val="28"/>
        </w:rPr>
        <w:pict>
          <v:line id="_x0000_s8577" o:spid="_x0000_s8577" o:spt="20" style="position:absolute;left:0pt;flip:x;margin-left:422.45pt;margin-top:246.55pt;height:107.25pt;width:94.5pt;z-index:2127907840;mso-width-relative:page;mso-height-relative:page;" fillcolor="#FFFFFF" filled="t" stroked="t" coordsize="21600,21600">
            <v:path arrowok="t"/>
            <v:fill on="t" color2="#FFFFFF" focussize="0,0"/>
            <v:stroke weight="2.25pt" color="#0070C0" endarrow="block"/>
            <v:imagedata o:title=""/>
            <o:lock v:ext="edit" aspectratio="f"/>
          </v:line>
        </w:pict>
      </w:r>
      <w:r>
        <w:rPr>
          <w:sz w:val="28"/>
        </w:rPr>
        <w:pict>
          <v:line id="_x0000_s8576" o:spid="_x0000_s8576" o:spt="20" style="position:absolute;left:0pt;margin-left:505.7pt;margin-top:232.3pt;height:13.5pt;width:12.75pt;z-index:2127906816;mso-width-relative:page;mso-height-relative:page;" fillcolor="#FFFFFF" filled="t" stroked="t" coordsize="21600,21600">
            <v:path arrowok="t"/>
            <v:fill on="t" color2="#FFFFFF" focussize="0,0"/>
            <v:stroke weight="2.25pt" color="#0070C0" endarrow="block"/>
            <v:imagedata o:title=""/>
            <o:lock v:ext="edit" aspectratio="f"/>
          </v:line>
        </w:pict>
      </w:r>
      <w:r>
        <w:rPr>
          <w:sz w:val="28"/>
        </w:rPr>
        <w:pict>
          <v:line id="_x0000_s8575" o:spid="_x0000_s8575" o:spt="20" style="position:absolute;left:0pt;flip:x;margin-left:330.95pt;margin-top:166.3pt;height:108.75pt;width:97.5pt;z-index:2127905792;mso-width-relative:page;mso-height-relative:page;" fillcolor="#FFFFFF" filled="t" stroked="t" coordsize="21600,21600">
            <v:path arrowok="t"/>
            <v:fill on="t" color2="#FFFFFF" focussize="0,0"/>
            <v:stroke weight="2.25pt" color="#0070C0" endarrow="block"/>
            <v:imagedata o:title=""/>
            <o:lock v:ext="edit" aspectratio="f"/>
          </v:line>
        </w:pict>
      </w:r>
      <w:r>
        <w:rPr>
          <w:sz w:val="28"/>
        </w:rPr>
        <w:pict>
          <v:line id="_x0000_s8574" o:spid="_x0000_s8574" o:spt="20" style="position:absolute;left:0pt;flip:x y;margin-left:429.95pt;margin-top:162.55pt;height:54pt;width:59.25pt;z-index:2127904768;mso-width-relative:page;mso-height-relative:page;" fillcolor="#FFFFFF" filled="t" stroked="t" coordsize="21600,21600">
            <v:path arrowok="t"/>
            <v:fill on="t" color2="#FFFFFF" focussize="0,0"/>
            <v:stroke weight="2.25pt" color="#0070C0" endarrow="block"/>
            <v:imagedata o:title=""/>
            <o:lock v:ext="edit" aspectratio="f"/>
          </v:line>
        </w:pict>
      </w:r>
      <w:r>
        <w:rPr>
          <w:sz w:val="28"/>
        </w:rPr>
        <w:pict>
          <v:line id="_x0000_s8573" o:spid="_x0000_s8573" o:spt="20" style="position:absolute;left:0pt;margin-left:272.5pt;margin-top:233.05pt;height:63pt;width:83.2pt;z-index:2127903744;mso-width-relative:page;mso-height-relative:page;" fillcolor="#FFFFFF" filled="t" stroked="t" coordsize="21600,21600">
            <v:path arrowok="t"/>
            <v:fill on="t" color2="#FFFFFF" focussize="0,0"/>
            <v:stroke weight="2.25pt" color="#0070C0" endarrow="block"/>
            <v:imagedata o:title=""/>
            <o:lock v:ext="edit" aspectratio="f"/>
          </v:line>
        </w:pict>
      </w:r>
      <w:r>
        <w:rPr>
          <w:sz w:val="28"/>
        </w:rPr>
        <w:pict>
          <v:line id="_x0000_s8572" o:spid="_x0000_s8572" o:spt="20" style="position:absolute;left:0pt;flip:x;margin-left:272.45pt;margin-top:117.55pt;height:115.5pt;width:83.25pt;z-index:2127902720;mso-width-relative:page;mso-height-relative:page;" fillcolor="#FFFFFF" filled="t" stroked="t" coordsize="21600,21600">
            <v:path arrowok="t"/>
            <v:fill on="t" color2="#FFFFFF" focussize="0,0"/>
            <v:stroke weight="2.25pt" color="#0070C0" endarrow="block"/>
            <v:imagedata o:title=""/>
            <o:lock v:ext="edit" aspectratio="f"/>
          </v:line>
        </w:pict>
      </w:r>
      <w:r>
        <w:rPr>
          <w:sz w:val="28"/>
        </w:rPr>
        <w:pict>
          <v:line id="_x0000_s8571" o:spid="_x0000_s8571" o:spt="20" style="position:absolute;left:0pt;flip:x y;margin-left:356.45pt;margin-top:118.3pt;height:35.25pt;width:57.75pt;z-index:2127901696;mso-width-relative:page;mso-height-relative:page;" fillcolor="#FFFFFF" filled="t" stroked="t" coordsize="21600,21600">
            <v:path arrowok="t"/>
            <v:fill on="t" color2="#FFFFFF" focussize="0,0"/>
            <v:stroke weight="2.25pt" color="#0070C0" endarrow="block"/>
            <v:imagedata o:title=""/>
            <o:lock v:ext="edit" aspectratio="f"/>
          </v:line>
        </w:pict>
      </w:r>
      <w:r>
        <w:rPr>
          <w:sz w:val="28"/>
        </w:rPr>
        <w:pict>
          <v:line id="_x0000_s8570" o:spid="_x0000_s8570" o:spt="20" style="position:absolute;left:0pt;flip:x;margin-left:173.45pt;margin-top:92.8pt;height:147.75pt;width:100.5pt;z-index:2127900672;mso-width-relative:page;mso-height-relative:page;" fillcolor="#FFFFFF" filled="t" stroked="t" coordsize="21600,21600">
            <v:path arrowok="t"/>
            <v:fill on="t" color2="#FFFFFF" focussize="0,0"/>
            <v:stroke weight="2.25pt" color="#0070C0" endarrow="block"/>
            <v:imagedata o:title=""/>
            <o:lock v:ext="edit" aspectratio="f"/>
          </v:line>
        </w:pict>
      </w:r>
      <w:r>
        <w:rPr>
          <w:sz w:val="28"/>
        </w:rPr>
        <w:pict>
          <v:shape id="_x0000_s8558" o:spid="_x0000_s8558" o:spt="3" type="#_x0000_t3" style="position:absolute;left:0pt;margin-left:306.2pt;margin-top:351.05pt;height:5.95pt;width:6.75pt;z-index:2127900672;mso-width-relative:page;mso-height-relative:page;" fillcolor="#4F81BD" filled="t" stroked="t" coordsize="21600,21600">
            <v:path/>
            <v:fill on="t" color2="#FFFFFF" focussize="0,0"/>
            <v:stroke weight="2.25pt" color="#0070C0" endarrow="block"/>
            <v:imagedata o:title=""/>
            <o:lock v:ext="edit" aspectratio="f"/>
          </v:shape>
        </w:pict>
      </w:r>
    </w:p>
    <w:p>
      <w:pPr>
        <w:spacing w:line="360" w:lineRule="auto"/>
        <w:jc w:val="center"/>
        <w:rPr>
          <w:rFonts w:hint="eastAsia"/>
          <w:b/>
          <w:bCs/>
          <w:szCs w:val="28"/>
          <w:lang w:eastAsia="zh-CN"/>
        </w:rPr>
        <w:sectPr>
          <w:pgSz w:w="16838" w:h="11906" w:orient="landscape"/>
          <w:pgMar w:top="1418" w:right="1418" w:bottom="1418" w:left="1418" w:header="851" w:footer="958" w:gutter="0"/>
          <w:pgBorders>
            <w:top w:val="none" w:sz="0" w:space="0"/>
            <w:left w:val="none" w:sz="0" w:space="0"/>
            <w:bottom w:val="none" w:sz="0" w:space="0"/>
            <w:right w:val="none" w:sz="0" w:space="0"/>
          </w:pgBorders>
          <w:pgNumType w:fmt="decimal"/>
          <w:cols w:space="720" w:num="1"/>
          <w:docGrid w:linePitch="312" w:charSpace="0"/>
        </w:sectPr>
      </w:pPr>
      <w:r>
        <w:rPr>
          <w:b/>
          <w:bCs/>
          <w:szCs w:val="28"/>
        </w:rPr>
        <w:t>图4-</w:t>
      </w:r>
      <w:r>
        <w:rPr>
          <w:rFonts w:hint="eastAsia"/>
          <w:b/>
          <w:bCs/>
          <w:szCs w:val="28"/>
          <w:lang w:val="en-US" w:eastAsia="zh-CN"/>
        </w:rPr>
        <w:t>1</w:t>
      </w:r>
      <w:r>
        <w:rPr>
          <w:b/>
          <w:bCs/>
          <w:szCs w:val="28"/>
        </w:rPr>
        <w:t xml:space="preserve">  雨水</w:t>
      </w:r>
      <w:r>
        <w:rPr>
          <w:rFonts w:hint="eastAsia"/>
          <w:b/>
          <w:bCs/>
          <w:szCs w:val="28"/>
          <w:lang w:eastAsia="zh-CN"/>
        </w:rPr>
        <w:t>管网及总排口图</w:t>
      </w:r>
    </w:p>
    <w:p>
      <w:pPr>
        <w:pStyle w:val="3"/>
      </w:pPr>
      <w:bookmarkStart w:id="189" w:name="_Toc26419"/>
      <w:bookmarkStart w:id="190" w:name="_Toc23154"/>
      <w:bookmarkStart w:id="191" w:name="_Toc20206"/>
      <w:bookmarkStart w:id="192" w:name="_Toc28299"/>
      <w:r>
        <w:t>4.4 其他应急设施</w:t>
      </w:r>
      <w:bookmarkEnd w:id="187"/>
      <w:bookmarkEnd w:id="189"/>
      <w:bookmarkEnd w:id="190"/>
      <w:bookmarkEnd w:id="191"/>
      <w:bookmarkEnd w:id="192"/>
    </w:p>
    <w:p>
      <w:pPr>
        <w:pStyle w:val="17"/>
        <w:ind w:firstLine="560" w:firstLineChars="200"/>
        <w:rPr>
          <w:rFonts w:hint="eastAsia" w:ascii="Times New Roman" w:hAnsi="Times New Roman"/>
          <w:szCs w:val="28"/>
          <w:lang w:val="en-US" w:eastAsia="zh-CN"/>
        </w:rPr>
      </w:pPr>
      <w:r>
        <w:rPr>
          <w:rFonts w:ascii="Times New Roman" w:hAnsi="Times New Roman"/>
          <w:szCs w:val="28"/>
        </w:rPr>
        <w:t>1、</w:t>
      </w:r>
      <w:r>
        <w:rPr>
          <w:rFonts w:hint="eastAsia" w:ascii="Times New Roman" w:hAnsi="Times New Roman"/>
          <w:szCs w:val="28"/>
          <w:lang w:eastAsia="zh-CN"/>
        </w:rPr>
        <w:t>前处理车间：前处理车间主要为污泥的装卸及前处理，门口设有缓坡，装卸平台设置有导流沟，</w:t>
      </w:r>
      <w:r>
        <w:rPr>
          <w:rFonts w:hint="eastAsia" w:ascii="Times New Roman" w:hAnsi="Times New Roman"/>
          <w:szCs w:val="28"/>
          <w:lang w:val="en-US" w:eastAsia="zh-CN"/>
        </w:rPr>
        <w:t>前处理单元在发生事故时，产生的泄漏物质、泄露液、洗消废水均可通过已铺设的导流沟自流到前处理单元初调池中。</w:t>
      </w:r>
    </w:p>
    <w:p>
      <w:pPr>
        <w:pStyle w:val="17"/>
        <w:ind w:firstLine="560" w:firstLineChars="200"/>
        <w:rPr>
          <w:rFonts w:hint="eastAsia" w:ascii="Times New Roman" w:hAnsi="Times New Roman"/>
          <w:szCs w:val="28"/>
          <w:lang w:val="en-US" w:eastAsia="zh-CN"/>
        </w:rPr>
      </w:pPr>
      <w:r>
        <w:rPr>
          <w:rFonts w:hint="eastAsia" w:ascii="Times New Roman" w:hAnsi="Times New Roman"/>
          <w:szCs w:val="28"/>
          <w:lang w:val="en-US" w:eastAsia="zh-CN"/>
        </w:rPr>
        <w:t>2、热水解站：污泥经过前处理后泵入到热水解处理站</w:t>
      </w:r>
      <w:r>
        <w:rPr>
          <w:rFonts w:hint="eastAsia" w:ascii="Times New Roman" w:hAnsi="Times New Roman"/>
          <w:szCs w:val="28"/>
          <w:lang w:eastAsia="zh-CN"/>
        </w:rPr>
        <w:t>，公司</w:t>
      </w:r>
      <w:r>
        <w:rPr>
          <w:rFonts w:hint="eastAsia" w:ascii="Times New Roman" w:hAnsi="Times New Roman"/>
          <w:szCs w:val="28"/>
        </w:rPr>
        <w:t>在</w:t>
      </w:r>
      <w:r>
        <w:rPr>
          <w:rFonts w:hint="eastAsia" w:ascii="Times New Roman" w:hAnsi="Times New Roman"/>
          <w:szCs w:val="28"/>
          <w:lang w:eastAsia="zh-CN"/>
        </w:rPr>
        <w:t>热水解站</w:t>
      </w:r>
      <w:r>
        <w:rPr>
          <w:rFonts w:hint="eastAsia" w:ascii="Times New Roman" w:hAnsi="Times New Roman"/>
          <w:szCs w:val="28"/>
        </w:rPr>
        <w:t>储罐区</w:t>
      </w:r>
      <w:r>
        <w:rPr>
          <w:rFonts w:hint="eastAsia" w:ascii="Times New Roman" w:hAnsi="Times New Roman"/>
          <w:szCs w:val="28"/>
          <w:lang w:eastAsia="zh-CN"/>
        </w:rPr>
        <w:t>四周</w:t>
      </w:r>
      <w:r>
        <w:rPr>
          <w:rFonts w:hint="eastAsia" w:ascii="Times New Roman" w:hAnsi="Times New Roman"/>
          <w:szCs w:val="28"/>
        </w:rPr>
        <w:t>设立了沟槽</w:t>
      </w:r>
      <w:r>
        <w:rPr>
          <w:rFonts w:hint="eastAsia" w:ascii="Times New Roman" w:hAnsi="Times New Roman"/>
          <w:szCs w:val="28"/>
          <w:lang w:eastAsia="zh-CN"/>
        </w:rPr>
        <w:t>，</w:t>
      </w:r>
      <w:r>
        <w:rPr>
          <w:rFonts w:hint="eastAsia" w:ascii="Times New Roman" w:hAnsi="Times New Roman"/>
          <w:szCs w:val="28"/>
          <w:lang w:val="en-US" w:eastAsia="zh-CN"/>
        </w:rPr>
        <w:t>热水解单元在发生事故时，产生的泄露液、洗消废水均可通过导流沟自流到应急事故池。</w:t>
      </w:r>
    </w:p>
    <w:p>
      <w:pPr>
        <w:pStyle w:val="17"/>
        <w:ind w:firstLine="560" w:firstLineChars="200"/>
        <w:rPr>
          <w:rFonts w:hint="eastAsia" w:ascii="Times New Roman" w:hAnsi="Times New Roman"/>
          <w:szCs w:val="28"/>
        </w:rPr>
      </w:pPr>
      <w:r>
        <w:rPr>
          <w:rFonts w:hint="eastAsia" w:ascii="Times New Roman" w:hAnsi="Times New Roman"/>
          <w:szCs w:val="28"/>
          <w:lang w:val="en-US" w:eastAsia="zh-CN"/>
        </w:rPr>
        <w:t>3、厌氧罐区：</w:t>
      </w:r>
      <w:r>
        <w:rPr>
          <w:rFonts w:hint="eastAsia" w:ascii="Times New Roman" w:hAnsi="Times New Roman"/>
          <w:szCs w:val="28"/>
          <w:lang w:eastAsia="zh-CN"/>
        </w:rPr>
        <w:t>厌氧消化罐</w:t>
      </w:r>
      <w:r>
        <w:rPr>
          <w:rFonts w:hint="eastAsia" w:ascii="Times New Roman" w:hAnsi="Times New Roman"/>
          <w:szCs w:val="28"/>
        </w:rPr>
        <w:t>区域</w:t>
      </w:r>
      <w:r>
        <w:rPr>
          <w:rFonts w:hint="eastAsia" w:ascii="Times New Roman" w:hAnsi="Times New Roman"/>
          <w:szCs w:val="28"/>
          <w:lang w:eastAsia="zh-CN"/>
        </w:rPr>
        <w:t>设置有围堰及导流沟，若厌氧</w:t>
      </w:r>
      <w:r>
        <w:rPr>
          <w:rFonts w:hint="eastAsia" w:ascii="Times New Roman" w:hAnsi="Times New Roman"/>
          <w:szCs w:val="28"/>
        </w:rPr>
        <w:t>储罐区的</w:t>
      </w:r>
      <w:r>
        <w:rPr>
          <w:rFonts w:hint="eastAsia" w:ascii="Times New Roman" w:hAnsi="Times New Roman"/>
          <w:szCs w:val="28"/>
          <w:lang w:eastAsia="zh-CN"/>
        </w:rPr>
        <w:t>消化污泥</w:t>
      </w:r>
      <w:r>
        <w:rPr>
          <w:rFonts w:hint="eastAsia" w:ascii="Times New Roman" w:hAnsi="Times New Roman"/>
          <w:szCs w:val="28"/>
        </w:rPr>
        <w:t>发生泄漏，泄漏</w:t>
      </w:r>
      <w:r>
        <w:rPr>
          <w:rFonts w:hint="eastAsia" w:ascii="Times New Roman" w:hAnsi="Times New Roman"/>
          <w:szCs w:val="28"/>
          <w:lang w:eastAsia="zh-CN"/>
        </w:rPr>
        <w:t>物料</w:t>
      </w:r>
      <w:r>
        <w:rPr>
          <w:rFonts w:hint="eastAsia" w:ascii="Times New Roman" w:hAnsi="Times New Roman"/>
          <w:szCs w:val="28"/>
        </w:rPr>
        <w:t>可自行流入沟槽</w:t>
      </w:r>
      <w:r>
        <w:rPr>
          <w:rFonts w:hint="eastAsia" w:ascii="Times New Roman" w:hAnsi="Times New Roman"/>
          <w:szCs w:val="28"/>
          <w:lang w:eastAsia="zh-CN"/>
        </w:rPr>
        <w:t>，</w:t>
      </w:r>
      <w:r>
        <w:rPr>
          <w:rFonts w:hint="eastAsia" w:ascii="Times New Roman" w:hAnsi="Times New Roman"/>
          <w:szCs w:val="28"/>
        </w:rPr>
        <w:t>然后利用</w:t>
      </w:r>
      <w:r>
        <w:rPr>
          <w:rFonts w:hint="eastAsia" w:ascii="Times New Roman" w:hAnsi="Times New Roman"/>
          <w:szCs w:val="28"/>
          <w:lang w:eastAsia="zh-CN"/>
        </w:rPr>
        <w:t>提升泵，</w:t>
      </w:r>
      <w:r>
        <w:rPr>
          <w:rFonts w:hint="eastAsia" w:ascii="Times New Roman" w:hAnsi="Times New Roman"/>
          <w:szCs w:val="28"/>
        </w:rPr>
        <w:t>将泄漏</w:t>
      </w:r>
      <w:r>
        <w:rPr>
          <w:rFonts w:hint="eastAsia" w:ascii="Times New Roman" w:hAnsi="Times New Roman"/>
          <w:szCs w:val="28"/>
          <w:lang w:eastAsia="zh-CN"/>
        </w:rPr>
        <w:t>物料泵至事故应急池</w:t>
      </w:r>
      <w:r>
        <w:rPr>
          <w:rFonts w:hint="eastAsia" w:ascii="Times New Roman" w:hAnsi="Times New Roman"/>
          <w:szCs w:val="28"/>
        </w:rPr>
        <w:t>内交给相关单位进行处理；该区域所设置的</w:t>
      </w:r>
      <w:r>
        <w:rPr>
          <w:rFonts w:hint="eastAsia" w:ascii="Times New Roman" w:hAnsi="Times New Roman"/>
          <w:szCs w:val="28"/>
          <w:lang w:eastAsia="zh-CN"/>
        </w:rPr>
        <w:t>围堰</w:t>
      </w:r>
      <w:r>
        <w:rPr>
          <w:rFonts w:hint="eastAsia" w:ascii="Times New Roman" w:hAnsi="Times New Roman"/>
          <w:szCs w:val="28"/>
        </w:rPr>
        <w:t>的有效体积</w:t>
      </w:r>
      <w:r>
        <w:rPr>
          <w:rFonts w:hint="eastAsia" w:ascii="Times New Roman" w:hAnsi="Times New Roman"/>
          <w:szCs w:val="28"/>
          <w:lang w:eastAsia="zh-CN"/>
        </w:rPr>
        <w:t>约</w:t>
      </w:r>
      <w:r>
        <w:rPr>
          <w:rFonts w:hint="eastAsia" w:ascii="Times New Roman" w:hAnsi="Times New Roman"/>
          <w:szCs w:val="28"/>
          <w:lang w:val="en-US" w:eastAsia="zh-CN"/>
        </w:rPr>
        <w:t>3600</w:t>
      </w:r>
      <w:r>
        <w:rPr>
          <w:rFonts w:hint="eastAsia" w:ascii="Times New Roman" w:hAnsi="Times New Roman"/>
          <w:szCs w:val="28"/>
        </w:rPr>
        <w:t>立方米，</w:t>
      </w:r>
      <w:r>
        <w:rPr>
          <w:rFonts w:hint="eastAsia" w:ascii="Times New Roman" w:hAnsi="Times New Roman"/>
          <w:szCs w:val="28"/>
          <w:lang w:eastAsia="zh-CN"/>
        </w:rPr>
        <w:t>大于</w:t>
      </w:r>
      <w:r>
        <w:rPr>
          <w:rFonts w:hint="eastAsia" w:ascii="Times New Roman" w:hAnsi="Times New Roman"/>
          <w:szCs w:val="28"/>
        </w:rPr>
        <w:t>最大泄漏量</w:t>
      </w:r>
      <w:r>
        <w:rPr>
          <w:rFonts w:hint="eastAsia" w:ascii="Times New Roman" w:hAnsi="Times New Roman"/>
          <w:szCs w:val="28"/>
          <w:lang w:val="en-US" w:eastAsia="zh-CN"/>
        </w:rPr>
        <w:t>2230</w:t>
      </w:r>
      <w:r>
        <w:rPr>
          <w:rFonts w:hint="eastAsia" w:ascii="Times New Roman" w:hAnsi="Times New Roman"/>
          <w:szCs w:val="28"/>
        </w:rPr>
        <w:t>立方米</w:t>
      </w:r>
      <w:r>
        <w:rPr>
          <w:rFonts w:hint="eastAsia" w:ascii="Times New Roman" w:hAnsi="Times New Roman"/>
          <w:szCs w:val="28"/>
          <w:lang w:eastAsia="zh-CN"/>
        </w:rPr>
        <w:t>（单个储罐）</w:t>
      </w:r>
      <w:r>
        <w:rPr>
          <w:rFonts w:hint="eastAsia" w:ascii="Times New Roman" w:hAnsi="Times New Roman"/>
          <w:szCs w:val="28"/>
        </w:rPr>
        <w:t>，所以，该区域发生泄漏的情况下，</w:t>
      </w:r>
      <w:r>
        <w:rPr>
          <w:rFonts w:hint="eastAsia" w:ascii="Times New Roman" w:hAnsi="Times New Roman"/>
          <w:szCs w:val="28"/>
          <w:lang w:eastAsia="zh-CN"/>
        </w:rPr>
        <w:t>公司</w:t>
      </w:r>
      <w:r>
        <w:rPr>
          <w:rFonts w:hint="eastAsia" w:ascii="Times New Roman" w:hAnsi="Times New Roman"/>
          <w:szCs w:val="28"/>
        </w:rPr>
        <w:t>所设置的防范设施是有足够的能力应对。</w:t>
      </w:r>
    </w:p>
    <w:p>
      <w:pPr>
        <w:pStyle w:val="17"/>
        <w:ind w:firstLine="560" w:firstLineChars="200"/>
        <w:rPr>
          <w:rFonts w:hint="eastAsia" w:ascii="Times New Roman" w:hAnsi="Times New Roman"/>
          <w:szCs w:val="28"/>
          <w:lang w:val="en-US" w:eastAsia="zh-CN"/>
        </w:rPr>
      </w:pPr>
      <w:r>
        <w:rPr>
          <w:rFonts w:hint="eastAsia" w:ascii="Times New Roman" w:hAnsi="Times New Roman"/>
          <w:szCs w:val="28"/>
          <w:lang w:val="en-US" w:eastAsia="zh-CN"/>
        </w:rPr>
        <w:t>4、脱水车间：脱水车间采用板框压滤机，车间门口设置有缓坡，车间设有导流沟槽，在发生事故时，产生的泄漏液、洗消废水均可通过已铺设的管网泵至沼液缓冲池内，交给相关单位进行处理。</w:t>
      </w:r>
    </w:p>
    <w:p>
      <w:pPr>
        <w:pStyle w:val="17"/>
        <w:ind w:firstLine="560" w:firstLineChars="200"/>
        <w:rPr>
          <w:rFonts w:hint="eastAsia" w:ascii="Times New Roman" w:hAnsi="Times New Roman"/>
          <w:szCs w:val="28"/>
          <w:lang w:val="en-US" w:eastAsia="zh-CN"/>
        </w:rPr>
      </w:pPr>
      <w:r>
        <w:rPr>
          <w:rFonts w:hint="eastAsia" w:ascii="Times New Roman" w:hAnsi="Times New Roman"/>
          <w:szCs w:val="28"/>
          <w:lang w:val="en-US" w:eastAsia="zh-CN"/>
        </w:rPr>
        <w:t>5、泥棚：污泥棚门口设置有缓坡，</w:t>
      </w:r>
      <w:r>
        <w:rPr>
          <w:rFonts w:ascii="Times New Roman" w:hAnsi="Times New Roman"/>
          <w:szCs w:val="28"/>
        </w:rPr>
        <w:t>地面进行防渗防腐处理</w:t>
      </w:r>
      <w:r>
        <w:rPr>
          <w:rFonts w:hint="eastAsia" w:ascii="Times New Roman" w:hAnsi="Times New Roman"/>
          <w:szCs w:val="28"/>
        </w:rPr>
        <w:t>。</w:t>
      </w:r>
      <w:r>
        <w:rPr>
          <w:rFonts w:ascii="Times New Roman" w:hAnsi="Times New Roman"/>
          <w:szCs w:val="28"/>
        </w:rPr>
        <w:t>一般情况下，</w:t>
      </w:r>
      <w:r>
        <w:rPr>
          <w:rFonts w:hint="eastAsia" w:ascii="Times New Roman" w:hAnsi="Times New Roman"/>
          <w:szCs w:val="28"/>
          <w:lang w:eastAsia="zh-CN"/>
        </w:rPr>
        <w:t>泥棚区域</w:t>
      </w:r>
      <w:r>
        <w:rPr>
          <w:rFonts w:ascii="Times New Roman" w:hAnsi="Times New Roman"/>
          <w:szCs w:val="28"/>
        </w:rPr>
        <w:t>突发环境事件环境影响可控制在暂存区或公司范围内</w:t>
      </w:r>
      <w:r>
        <w:rPr>
          <w:rFonts w:hint="eastAsia" w:ascii="Times New Roman" w:hAnsi="Times New Roman"/>
          <w:szCs w:val="28"/>
          <w:lang w:val="en-US" w:eastAsia="zh-CN"/>
        </w:rPr>
        <w:t>。</w:t>
      </w:r>
    </w:p>
    <w:p>
      <w:pPr>
        <w:pStyle w:val="17"/>
        <w:rPr>
          <w:szCs w:val="28"/>
        </w:rPr>
      </w:pPr>
      <w:r>
        <w:rPr>
          <w:rFonts w:hint="eastAsia" w:ascii="Times New Roman" w:hAnsi="Times New Roman"/>
          <w:szCs w:val="28"/>
          <w:lang w:val="en-US" w:eastAsia="zh-CN"/>
        </w:rPr>
        <w:t>6</w:t>
      </w:r>
      <w:r>
        <w:rPr>
          <w:rFonts w:ascii="Times New Roman" w:hAnsi="Times New Roman"/>
          <w:szCs w:val="28"/>
        </w:rPr>
        <w:t>、</w:t>
      </w:r>
      <w:r>
        <w:rPr>
          <w:rFonts w:hint="eastAsia" w:ascii="Times New Roman" w:hAnsi="Times New Roman"/>
          <w:szCs w:val="28"/>
          <w:lang w:eastAsia="zh-CN"/>
        </w:rPr>
        <w:t>危废仓库：</w:t>
      </w:r>
      <w:r>
        <w:rPr>
          <w:rFonts w:ascii="Times New Roman" w:hAnsi="Times New Roman"/>
          <w:szCs w:val="28"/>
        </w:rPr>
        <w:t>危废暂存区</w:t>
      </w:r>
      <w:r>
        <w:rPr>
          <w:rFonts w:hint="eastAsia" w:ascii="Times New Roman" w:hAnsi="Times New Roman"/>
          <w:szCs w:val="28"/>
          <w:lang w:val="en-US" w:eastAsia="zh-CN"/>
        </w:rPr>
        <w:t>设置室内</w:t>
      </w:r>
      <w:r>
        <w:rPr>
          <w:rFonts w:hint="eastAsia" w:ascii="Times New Roman" w:hAnsi="Times New Roman"/>
          <w:szCs w:val="28"/>
          <w:lang w:eastAsia="zh-CN"/>
        </w:rPr>
        <w:t>，有效防止</w:t>
      </w:r>
      <w:r>
        <w:rPr>
          <w:rFonts w:ascii="Times New Roman" w:hAnsi="Times New Roman"/>
          <w:szCs w:val="28"/>
        </w:rPr>
        <w:t>雨水等进入，危险废物分类堆放；</w:t>
      </w:r>
      <w:r>
        <w:rPr>
          <w:rFonts w:hint="eastAsia" w:ascii="Times New Roman" w:hAnsi="Times New Roman"/>
          <w:szCs w:val="28"/>
          <w:lang w:eastAsia="zh-CN"/>
        </w:rPr>
        <w:t>，</w:t>
      </w:r>
      <w:r>
        <w:rPr>
          <w:rFonts w:ascii="Times New Roman" w:hAnsi="Times New Roman"/>
          <w:szCs w:val="28"/>
        </w:rPr>
        <w:t>地面进行防渗防腐处理</w:t>
      </w:r>
      <w:r>
        <w:rPr>
          <w:rFonts w:hint="eastAsia" w:ascii="Times New Roman" w:hAnsi="Times New Roman"/>
          <w:szCs w:val="28"/>
        </w:rPr>
        <w:t>。</w:t>
      </w:r>
      <w:r>
        <w:rPr>
          <w:rFonts w:ascii="Times New Roman" w:hAnsi="Times New Roman"/>
          <w:szCs w:val="28"/>
        </w:rPr>
        <w:t>一般情况下，危险废物暂存区突发环境事件环境影响可控制在暂存区或公司范围内。</w:t>
      </w:r>
    </w:p>
    <w:p>
      <w:pPr>
        <w:pStyle w:val="17"/>
        <w:ind w:firstLine="560" w:firstLineChars="200"/>
        <w:rPr>
          <w:rFonts w:ascii="Times New Roman" w:hAnsi="Times New Roman"/>
          <w:szCs w:val="28"/>
        </w:rPr>
      </w:pPr>
      <w:bookmarkStart w:id="193" w:name="_Toc6381"/>
      <w:bookmarkStart w:id="194" w:name="_Toc8548"/>
      <w:bookmarkStart w:id="195" w:name="_Toc15589"/>
      <w:bookmarkStart w:id="196" w:name="OLE_LINK2"/>
      <w:r>
        <w:rPr>
          <w:rFonts w:hint="eastAsia" w:ascii="Times New Roman" w:hAnsi="Times New Roman"/>
          <w:szCs w:val="28"/>
          <w:lang w:val="en-US" w:eastAsia="zh-CN"/>
        </w:rPr>
        <w:t>7</w:t>
      </w:r>
      <w:r>
        <w:rPr>
          <w:rFonts w:hint="eastAsia" w:ascii="Times New Roman" w:hAnsi="Times New Roman"/>
          <w:szCs w:val="28"/>
        </w:rPr>
        <w:t>、</w:t>
      </w:r>
      <w:r>
        <w:rPr>
          <w:rFonts w:ascii="Times New Roman" w:hAnsi="Times New Roman"/>
          <w:szCs w:val="28"/>
        </w:rPr>
        <w:t>若生产车间及仓库发生火灾，一般情况下，</w:t>
      </w:r>
      <w:r>
        <w:rPr>
          <w:rFonts w:hint="eastAsia" w:ascii="Times New Roman" w:hAnsi="Times New Roman"/>
          <w:szCs w:val="28"/>
          <w:lang w:eastAsia="zh-CN"/>
        </w:rPr>
        <w:t>发生小型火灾，</w:t>
      </w:r>
      <w:r>
        <w:rPr>
          <w:rFonts w:ascii="Times New Roman" w:hAnsi="Times New Roman"/>
          <w:szCs w:val="28"/>
        </w:rPr>
        <w:t>公司的</w:t>
      </w:r>
      <w:r>
        <w:rPr>
          <w:rFonts w:hint="eastAsia" w:ascii="Times New Roman" w:hAnsi="Times New Roman"/>
          <w:szCs w:val="28"/>
          <w:lang w:eastAsia="zh-CN"/>
        </w:rPr>
        <w:t>安全生产应急预案</w:t>
      </w:r>
      <w:r>
        <w:rPr>
          <w:rFonts w:ascii="Times New Roman" w:hAnsi="Times New Roman"/>
          <w:szCs w:val="28"/>
        </w:rPr>
        <w:t>立即启动，迅速将火扑灭，火灾产生的烟气对外环境产生一定的影响，当</w:t>
      </w:r>
      <w:r>
        <w:rPr>
          <w:rFonts w:hint="eastAsia" w:ascii="Times New Roman" w:hAnsi="Times New Roman"/>
          <w:szCs w:val="28"/>
        </w:rPr>
        <w:t>发生事故时，</w:t>
      </w:r>
      <w:r>
        <w:rPr>
          <w:rFonts w:hint="eastAsia" w:ascii="Times New Roman" w:hAnsi="Times New Roman"/>
          <w:szCs w:val="28"/>
          <w:lang w:eastAsia="zh-CN"/>
        </w:rPr>
        <w:t>立即关闭雨水排放口阀门。</w:t>
      </w:r>
      <w:r>
        <w:rPr>
          <w:rFonts w:ascii="Times New Roman" w:hAnsi="Times New Roman"/>
          <w:szCs w:val="28"/>
        </w:rPr>
        <w:t>防止泄漏废水及消防废水外排影响外环境。</w:t>
      </w:r>
    </w:p>
    <w:p>
      <w:pPr>
        <w:pStyle w:val="2"/>
        <w:jc w:val="center"/>
      </w:pPr>
      <w:bookmarkStart w:id="197" w:name="_Toc20349"/>
      <w:r>
        <w:t>5应急组织指挥体系与职责</w:t>
      </w:r>
      <w:bookmarkEnd w:id="193"/>
      <w:bookmarkEnd w:id="194"/>
      <w:bookmarkEnd w:id="195"/>
      <w:bookmarkEnd w:id="197"/>
    </w:p>
    <w:p>
      <w:pPr>
        <w:pStyle w:val="3"/>
      </w:pPr>
      <w:bookmarkStart w:id="198" w:name="_Toc19539"/>
      <w:bookmarkStart w:id="199" w:name="_Toc4174"/>
      <w:bookmarkStart w:id="200" w:name="_Toc6237"/>
      <w:bookmarkStart w:id="201" w:name="_Toc24153"/>
      <w:r>
        <w:t>5.1 领导机构</w:t>
      </w:r>
      <w:bookmarkEnd w:id="198"/>
      <w:bookmarkEnd w:id="199"/>
      <w:bookmarkEnd w:id="200"/>
      <w:bookmarkEnd w:id="201"/>
    </w:p>
    <w:bookmarkEnd w:id="196"/>
    <w:p>
      <w:pPr>
        <w:pStyle w:val="17"/>
        <w:ind w:firstLine="560" w:firstLineChars="200"/>
        <w:rPr>
          <w:rFonts w:ascii="Times New Roman" w:hAnsi="Times New Roman"/>
        </w:rPr>
      </w:pPr>
      <w:r>
        <w:rPr>
          <w:rFonts w:ascii="Times New Roman" w:hAnsi="Times New Roman"/>
        </w:rPr>
        <w:t>本公司成立</w:t>
      </w:r>
      <w:r>
        <w:rPr>
          <w:rFonts w:hint="eastAsia" w:ascii="Times New Roman" w:hAnsi="Times New Roman"/>
          <w:lang w:eastAsia="zh-CN"/>
        </w:rPr>
        <w:t>环境</w:t>
      </w:r>
      <w:r>
        <w:rPr>
          <w:rFonts w:ascii="Times New Roman" w:hAnsi="Times New Roman"/>
        </w:rPr>
        <w:t>事故应急救援</w:t>
      </w:r>
      <w:r>
        <w:rPr>
          <w:rFonts w:hint="eastAsia" w:ascii="Times New Roman" w:hAnsi="Times New Roman"/>
        </w:rPr>
        <w:t>“</w:t>
      </w:r>
      <w:r>
        <w:rPr>
          <w:rFonts w:hint="eastAsia" w:ascii="Times New Roman" w:hAnsi="Times New Roman"/>
          <w:lang w:eastAsia="zh-CN"/>
        </w:rPr>
        <w:t>应急指挥部</w:t>
      </w:r>
      <w:r>
        <w:rPr>
          <w:rFonts w:hint="eastAsia" w:ascii="Times New Roman" w:hAnsi="Times New Roman"/>
        </w:rPr>
        <w:t>”</w:t>
      </w:r>
      <w:r>
        <w:rPr>
          <w:rFonts w:ascii="Times New Roman" w:hAnsi="Times New Roman"/>
        </w:rPr>
        <w:t>，由</w:t>
      </w:r>
      <w:r>
        <w:rPr>
          <w:rFonts w:hint="eastAsia" w:ascii="Times New Roman" w:hAnsi="Times New Roman"/>
          <w:lang w:eastAsia="zh-CN"/>
        </w:rPr>
        <w:t>总经理</w:t>
      </w:r>
      <w:r>
        <w:rPr>
          <w:rFonts w:ascii="Times New Roman" w:hAnsi="Times New Roman"/>
        </w:rPr>
        <w:t>担任</w:t>
      </w:r>
      <w:r>
        <w:rPr>
          <w:rFonts w:hint="eastAsia" w:ascii="Times New Roman" w:hAnsi="Times New Roman"/>
          <w:lang w:eastAsia="zh-CN"/>
        </w:rPr>
        <w:t>应急</w:t>
      </w:r>
      <w:r>
        <w:rPr>
          <w:rFonts w:ascii="Times New Roman" w:hAnsi="Times New Roman"/>
        </w:rPr>
        <w:t>指挥</w:t>
      </w:r>
      <w:r>
        <w:rPr>
          <w:rFonts w:hint="eastAsia" w:ascii="Times New Roman" w:hAnsi="Times New Roman"/>
          <w:lang w:eastAsia="zh-CN"/>
        </w:rPr>
        <w:t>组</w:t>
      </w:r>
      <w:r>
        <w:rPr>
          <w:rFonts w:ascii="Times New Roman" w:hAnsi="Times New Roman"/>
        </w:rPr>
        <w:t>总指挥，环保、安全、设备以及各生产车间、辅助部门的部门领导组成</w:t>
      </w:r>
      <w:r>
        <w:rPr>
          <w:rFonts w:hint="eastAsia" w:ascii="Times New Roman" w:hAnsi="Times New Roman"/>
          <w:lang w:eastAsia="zh-CN"/>
        </w:rPr>
        <w:t>专业应急小组</w:t>
      </w:r>
      <w:r>
        <w:rPr>
          <w:rFonts w:ascii="Times New Roman" w:hAnsi="Times New Roman"/>
        </w:rPr>
        <w:t>。发生突发重大事件时，以</w:t>
      </w:r>
      <w:r>
        <w:rPr>
          <w:rFonts w:hint="eastAsia" w:ascii="Times New Roman" w:hAnsi="Times New Roman"/>
          <w:lang w:eastAsia="zh-CN"/>
        </w:rPr>
        <w:t>应急指挥部</w:t>
      </w:r>
      <w:r>
        <w:rPr>
          <w:rFonts w:ascii="Times New Roman" w:hAnsi="Times New Roman"/>
        </w:rPr>
        <w:t>为</w:t>
      </w:r>
      <w:r>
        <w:rPr>
          <w:rFonts w:hint="eastAsia" w:ascii="Times New Roman" w:hAnsi="Times New Roman"/>
          <w:lang w:eastAsia="zh-CN"/>
        </w:rPr>
        <w:t>核心</w:t>
      </w:r>
      <w:r>
        <w:rPr>
          <w:rFonts w:ascii="Times New Roman" w:hAnsi="Times New Roman"/>
        </w:rPr>
        <w:t>，</w:t>
      </w:r>
      <w:r>
        <w:rPr>
          <w:rFonts w:hint="eastAsia" w:ascii="Times New Roman" w:hAnsi="Times New Roman"/>
          <w:lang w:eastAsia="zh-CN"/>
        </w:rPr>
        <w:t>联合各专业小组，成立</w:t>
      </w:r>
      <w:r>
        <w:rPr>
          <w:rFonts w:ascii="Times New Roman" w:hAnsi="Times New Roman"/>
        </w:rPr>
        <w:t>突发事件应急指挥部，负责全厂应急救援工作的组织和指挥，指挥部设在公司</w:t>
      </w:r>
      <w:r>
        <w:rPr>
          <w:rFonts w:hint="eastAsia" w:ascii="Times New Roman" w:hAnsi="Times New Roman"/>
        </w:rPr>
        <w:t>办公室。</w:t>
      </w:r>
      <w:r>
        <w:rPr>
          <w:rFonts w:ascii="Times New Roman" w:hAnsi="Times New Roman"/>
        </w:rPr>
        <w:t>应急</w:t>
      </w:r>
      <w:r>
        <w:rPr>
          <w:rFonts w:hint="eastAsia" w:ascii="Times New Roman" w:hAnsi="Times New Roman"/>
        </w:rPr>
        <w:t>总指挥</w:t>
      </w:r>
      <w:r>
        <w:rPr>
          <w:rFonts w:ascii="Times New Roman" w:hAnsi="Times New Roman"/>
        </w:rPr>
        <w:t>不在企业时，由</w:t>
      </w:r>
      <w:r>
        <w:rPr>
          <w:rFonts w:hint="eastAsia" w:ascii="Times New Roman" w:hAnsi="Times New Roman"/>
        </w:rPr>
        <w:t>副指挥</w:t>
      </w:r>
      <w:r>
        <w:rPr>
          <w:rFonts w:ascii="Times New Roman" w:hAnsi="Times New Roman"/>
        </w:rPr>
        <w:t>或在场的厂最高职位负责人行使总指挥职权，负责应急救援工作</w:t>
      </w:r>
      <w:r>
        <w:rPr>
          <w:rFonts w:hint="eastAsia" w:ascii="Times New Roman" w:hAnsi="Times New Roman"/>
        </w:rPr>
        <w:t>。</w:t>
      </w:r>
    </w:p>
    <w:p>
      <w:pPr>
        <w:pStyle w:val="3"/>
        <w:spacing w:line="480" w:lineRule="exact"/>
        <w:rPr>
          <w:sz w:val="28"/>
        </w:rPr>
      </w:pPr>
      <w:bookmarkStart w:id="202" w:name="_Toc7378"/>
      <w:bookmarkStart w:id="203" w:name="_Toc10489"/>
      <w:bookmarkStart w:id="204" w:name="_Toc10477"/>
      <w:bookmarkStart w:id="205" w:name="_Toc8063"/>
      <w:r>
        <w:rPr>
          <w:sz w:val="28"/>
        </w:rPr>
        <w:t>5.2工作机构</w:t>
      </w:r>
      <w:bookmarkEnd w:id="202"/>
      <w:bookmarkEnd w:id="203"/>
      <w:bookmarkEnd w:id="204"/>
      <w:bookmarkEnd w:id="205"/>
    </w:p>
    <w:p>
      <w:pPr>
        <w:pStyle w:val="17"/>
        <w:ind w:firstLine="560" w:firstLineChars="200"/>
        <w:rPr>
          <w:rFonts w:ascii="Times New Roman" w:hAnsi="Times New Roman"/>
        </w:rPr>
      </w:pPr>
      <w:r>
        <w:rPr>
          <w:rFonts w:ascii="Times New Roman" w:hAnsi="Times New Roman"/>
        </w:rPr>
        <w:t>突发环境事件应急机构共设</w:t>
      </w:r>
      <w:r>
        <w:rPr>
          <w:rFonts w:hint="eastAsia" w:ascii="Times New Roman" w:hAnsi="Times New Roman"/>
          <w:lang w:val="en-US" w:eastAsia="zh-CN"/>
        </w:rPr>
        <w:t>4</w:t>
      </w:r>
      <w:r>
        <w:rPr>
          <w:rFonts w:ascii="Times New Roman" w:hAnsi="Times New Roman"/>
        </w:rPr>
        <w:t>个应急小组，</w:t>
      </w:r>
      <w:r>
        <w:rPr>
          <w:rFonts w:hint="eastAsia" w:ascii="Times New Roman" w:hAnsi="Times New Roman"/>
          <w:lang w:eastAsia="zh-CN"/>
        </w:rPr>
        <w:t>应急抢险组、安全后勤组（疏散警戒组、医疗救助组、后勤保障组）、应急监测</w:t>
      </w:r>
      <w:r>
        <w:rPr>
          <w:rFonts w:ascii="Times New Roman" w:hAnsi="Times New Roman"/>
        </w:rPr>
        <w:t>组、</w:t>
      </w:r>
      <w:r>
        <w:rPr>
          <w:rFonts w:hint="eastAsia" w:ascii="Times New Roman" w:hAnsi="Times New Roman"/>
          <w:lang w:eastAsia="zh-CN"/>
        </w:rPr>
        <w:t>信息传输组</w:t>
      </w:r>
      <w:r>
        <w:rPr>
          <w:rFonts w:ascii="Times New Roman" w:hAnsi="Times New Roman"/>
        </w:rPr>
        <w:t>。</w:t>
      </w:r>
    </w:p>
    <w:p>
      <w:pPr>
        <w:pStyle w:val="4"/>
      </w:pPr>
      <w:bookmarkStart w:id="206" w:name="_Toc19332"/>
      <w:bookmarkStart w:id="207" w:name="_Toc32038"/>
      <w:r>
        <w:t>5.2 .1机构设置和组成人员</w:t>
      </w:r>
      <w:bookmarkEnd w:id="206"/>
      <w:bookmarkEnd w:id="207"/>
    </w:p>
    <w:p>
      <w:pPr>
        <w:spacing w:line="360" w:lineRule="auto"/>
        <w:ind w:firstLine="552" w:firstLineChars="200"/>
        <w:rPr>
          <w:szCs w:val="21"/>
        </w:rPr>
      </w:pPr>
      <w:r>
        <w:t>本公司</w:t>
      </w:r>
      <w:r>
        <w:rPr>
          <w:szCs w:val="21"/>
        </w:rPr>
        <w:t>成立的突发环境事件应急机构，由</w:t>
      </w:r>
      <w:r>
        <w:rPr>
          <w:rFonts w:hint="eastAsia"/>
          <w:szCs w:val="21"/>
          <w:lang w:eastAsia="zh-CN"/>
        </w:rPr>
        <w:t>总经理担任总指挥</w:t>
      </w:r>
      <w:r>
        <w:rPr>
          <w:szCs w:val="21"/>
        </w:rPr>
        <w:t>。应急组织机构见图5-1所示。</w:t>
      </w:r>
    </w:p>
    <w:p>
      <w:pPr>
        <w:spacing w:line="360" w:lineRule="auto"/>
        <w:rPr>
          <w:szCs w:val="21"/>
        </w:rPr>
        <w:sectPr>
          <w:pgSz w:w="11906" w:h="16838"/>
          <w:pgMar w:top="1418" w:right="1418" w:bottom="1418" w:left="1418" w:header="851" w:footer="958" w:gutter="0"/>
          <w:pgBorders>
            <w:top w:val="none" w:sz="0" w:space="0"/>
            <w:left w:val="none" w:sz="0" w:space="0"/>
            <w:bottom w:val="none" w:sz="0" w:space="0"/>
            <w:right w:val="none" w:sz="0" w:space="0"/>
          </w:pgBorders>
          <w:pgNumType w:fmt="decimal"/>
          <w:cols w:space="720" w:num="1"/>
          <w:docGrid w:linePitch="312" w:charSpace="0"/>
        </w:sectPr>
      </w:pPr>
    </w:p>
    <w:p>
      <w:pPr>
        <w:pStyle w:val="17"/>
        <w:ind w:firstLine="0" w:firstLineChars="0"/>
        <w:rPr>
          <w:rFonts w:ascii="Times New Roman" w:hAnsi="Times New Roman"/>
        </w:rPr>
      </w:pPr>
      <w:r>
        <w:rPr>
          <w:rFonts w:ascii="Times New Roman" w:hAnsi="Times New Roman"/>
        </w:rPr>
        <w:pict>
          <v:group id="_x0000_s7513" o:spid="_x0000_s7513" o:spt="203" style="height:407.6pt;width:709.95pt;" coordorigin="720,1892" coordsize="14199,8152" editas="canvas">
            <o:lock v:ext="edit"/>
            <v:shape id="_x0000_s7514" o:spid="_x0000_s7514" o:spt="75" type="#_x0000_t75" style="position:absolute;left:720;top:1892;height:8152;width:14199;" filled="f" stroked="f" coordsize="21600,21600">
              <v:path/>
              <v:fill on="f" focussize="0,0"/>
              <v:stroke on="f"/>
              <v:imagedata o:title=""/>
              <o:lock v:ext="edit" text="t" aspectratio="t"/>
            </v:shape>
            <v:rect id="_x0000_s7515" o:spid="_x0000_s7515" o:spt="1" style="position:absolute;left:724;top:6557;height:507;width:2992;" fillcolor="#B6DDE8" filled="t" stroked="t" coordsize="21600,21600">
              <v:path/>
              <v:fill on="t" color2="#FFFFFF" focussize="0,0"/>
              <v:stroke weight="1.5pt" color="#000000" joinstyle="miter"/>
              <v:imagedata o:title=""/>
              <o:lock v:ext="edit" aspectratio="f"/>
              <v:textbox>
                <w:txbxContent>
                  <w:p>
                    <w:pPr>
                      <w:jc w:val="center"/>
                      <w:rPr>
                        <w:rFonts w:hint="eastAsia"/>
                        <w:b/>
                        <w:sz w:val="24"/>
                        <w:lang w:val="en-US" w:eastAsia="zh-CN"/>
                      </w:rPr>
                    </w:pPr>
                    <w:r>
                      <w:rPr>
                        <w:rFonts w:hint="eastAsia"/>
                        <w:b/>
                        <w:sz w:val="24"/>
                        <w:lang w:eastAsia="zh-CN"/>
                      </w:rPr>
                      <w:t>安全后勤组</w:t>
                    </w:r>
                    <w:r>
                      <w:rPr>
                        <w:rFonts w:hint="eastAsia"/>
                        <w:b/>
                        <w:sz w:val="24"/>
                        <w:lang w:val="en-US" w:eastAsia="zh-CN"/>
                      </w:rPr>
                      <w:t xml:space="preserve"> </w:t>
                    </w:r>
                  </w:p>
                  <w:p>
                    <w:pPr>
                      <w:jc w:val="center"/>
                      <w:rPr>
                        <w:rFonts w:hint="eastAsia"/>
                        <w:b/>
                        <w:sz w:val="24"/>
                        <w:lang w:val="en-US" w:eastAsia="zh-CN"/>
                      </w:rPr>
                    </w:pPr>
                  </w:p>
                  <w:p>
                    <w:pPr>
                      <w:jc w:val="center"/>
                      <w:rPr>
                        <w:rFonts w:hint="eastAsia" w:eastAsia="宋体"/>
                        <w:sz w:val="24"/>
                        <w:lang w:eastAsia="zh-CN"/>
                      </w:rPr>
                    </w:pPr>
                  </w:p>
                </w:txbxContent>
              </v:textbox>
            </v:rect>
            <v:line id="_x0000_s7517" o:spid="_x0000_s7517" o:spt="20" style="position:absolute;left:1484;top:4809;height:1;width:12732;" filled="f" stroked="t" coordsize="21600,21600">
              <v:path arrowok="t"/>
              <v:fill on="f" focussize="0,0"/>
              <v:stroke weight="1.5pt" color="#000000"/>
              <v:imagedata o:title=""/>
              <o:lock v:ext="edit" aspectratio="f"/>
            </v:line>
            <v:line id="_x0000_s7518" o:spid="_x0000_s7518" o:spt="20" style="position:absolute;left:1483;top:4793;flip:x;height:1764;width:0;" filled="f" stroked="t" coordsize="21600,21600">
              <v:path arrowok="t"/>
              <v:fill on="f" focussize="0,0"/>
              <v:stroke weight="1.5pt" color="#000000"/>
              <v:imagedata o:title=""/>
              <o:lock v:ext="edit" aspectratio="f"/>
            </v:line>
            <v:rect id="_x0000_s7527" o:spid="_x0000_s7527" o:spt="1" style="position:absolute;left:7047;top:2163;height:2046;width:2085;" fillcolor="#B6DDE8" filled="t" stroked="t" coordsize="21600,21600">
              <v:path/>
              <v:fill on="t" color2="#FFFFFF" focussize="0,0"/>
              <v:stroke weight="1.5pt" color="#000000" joinstyle="miter"/>
              <v:imagedata o:title=""/>
              <o:lock v:ext="edit" aspectratio="f"/>
              <v:textbox>
                <w:txbxContent>
                  <w:p>
                    <w:pPr>
                      <w:jc w:val="center"/>
                      <w:rPr>
                        <w:rFonts w:hint="eastAsia"/>
                        <w:b/>
                        <w:sz w:val="24"/>
                        <w:lang w:eastAsia="zh-CN"/>
                      </w:rPr>
                    </w:pPr>
                    <w:r>
                      <w:rPr>
                        <w:rFonts w:hint="eastAsia"/>
                        <w:b/>
                        <w:sz w:val="24"/>
                      </w:rPr>
                      <w:t>应急指挥</w:t>
                    </w:r>
                    <w:r>
                      <w:rPr>
                        <w:rFonts w:hint="eastAsia"/>
                        <w:b/>
                        <w:sz w:val="24"/>
                        <w:lang w:eastAsia="zh-CN"/>
                      </w:rPr>
                      <w:t>部</w:t>
                    </w:r>
                  </w:p>
                  <w:p>
                    <w:pPr>
                      <w:jc w:val="center"/>
                      <w:rPr>
                        <w:rFonts w:hint="eastAsia"/>
                        <w:b/>
                        <w:sz w:val="24"/>
                        <w:lang w:eastAsia="zh-CN"/>
                      </w:rPr>
                    </w:pPr>
                    <w:r>
                      <w:rPr>
                        <w:rFonts w:hint="eastAsia"/>
                        <w:b/>
                        <w:sz w:val="24"/>
                        <w:lang w:eastAsia="zh-CN"/>
                      </w:rPr>
                      <w:t>总指挥</w:t>
                    </w:r>
                  </w:p>
                  <w:p>
                    <w:pPr>
                      <w:jc w:val="center"/>
                      <w:rPr>
                        <w:rFonts w:hint="eastAsia"/>
                        <w:sz w:val="24"/>
                        <w:lang w:eastAsia="zh-CN"/>
                      </w:rPr>
                    </w:pPr>
                    <w:r>
                      <w:rPr>
                        <w:rFonts w:hint="eastAsia"/>
                        <w:sz w:val="24"/>
                        <w:lang w:eastAsia="zh-CN"/>
                      </w:rPr>
                      <w:t>黄南平</w:t>
                    </w:r>
                  </w:p>
                  <w:p>
                    <w:pPr>
                      <w:jc w:val="center"/>
                      <w:rPr>
                        <w:rFonts w:hint="eastAsia"/>
                        <w:b/>
                        <w:bCs/>
                        <w:sz w:val="24"/>
                        <w:lang w:eastAsia="zh-CN"/>
                      </w:rPr>
                    </w:pPr>
                    <w:r>
                      <w:rPr>
                        <w:rFonts w:hint="eastAsia"/>
                        <w:b/>
                        <w:bCs/>
                        <w:sz w:val="24"/>
                        <w:lang w:eastAsia="zh-CN"/>
                      </w:rPr>
                      <w:t>副总指挥</w:t>
                    </w:r>
                  </w:p>
                  <w:p>
                    <w:pPr>
                      <w:jc w:val="center"/>
                      <w:rPr>
                        <w:rFonts w:hint="eastAsia" w:ascii="宋体" w:hAnsi="宋体" w:cs="宋体"/>
                        <w:kern w:val="0"/>
                        <w:sz w:val="24"/>
                        <w:lang w:bidi="ar"/>
                      </w:rPr>
                    </w:pPr>
                    <w:r>
                      <w:rPr>
                        <w:rFonts w:hint="eastAsia" w:ascii="宋体" w:hAnsi="宋体" w:cs="宋体"/>
                        <w:kern w:val="0"/>
                        <w:sz w:val="24"/>
                        <w:lang w:bidi="ar"/>
                      </w:rPr>
                      <w:t>郭子朋</w:t>
                    </w:r>
                  </w:p>
                  <w:p>
                    <w:pPr>
                      <w:jc w:val="center"/>
                      <w:rPr>
                        <w:rFonts w:hint="eastAsia" w:ascii="宋体" w:hAnsi="宋体" w:cs="宋体"/>
                        <w:kern w:val="0"/>
                        <w:sz w:val="24"/>
                        <w:lang w:eastAsia="zh-CN" w:bidi="ar"/>
                      </w:rPr>
                    </w:pPr>
                    <w:r>
                      <w:rPr>
                        <w:rFonts w:hint="eastAsia" w:ascii="宋体" w:hAnsi="宋体" w:cs="宋体"/>
                        <w:kern w:val="0"/>
                        <w:sz w:val="24"/>
                        <w:lang w:bidi="ar"/>
                      </w:rPr>
                      <w:t>吕庆洪</w:t>
                    </w:r>
                  </w:p>
                </w:txbxContent>
              </v:textbox>
            </v:rect>
            <v:line id="_x0000_s7529" o:spid="_x0000_s7529" o:spt="20" style="position:absolute;left:8068;top:4179;height:629;width:1;" filled="f" stroked="t" coordsize="21600,21600">
              <v:path arrowok="t"/>
              <v:fill on="f" focussize="0,0"/>
              <v:stroke weight="1.5pt" color="#000000"/>
              <v:imagedata o:title=""/>
              <o:lock v:ext="edit" aspectratio="f"/>
            </v:line>
            <v:line id="_x0000_s8430" o:spid="_x0000_s8430" o:spt="20" style="position:absolute;left:1123;top:7050;height:519;width:14;" filled="f" stroked="t" coordsize="21600,21600">
              <v:path arrowok="t"/>
              <v:fill on="f" focussize="0,0"/>
              <v:stroke weight="1.5pt" color="#000000"/>
              <v:imagedata o:title=""/>
              <o:lock v:ext="edit" aspectratio="f"/>
            </v:line>
            <v:rect id="_x0000_s8431" o:spid="_x0000_s8431" o:spt="1" style="position:absolute;left:823;top:7575;height:2244;width:576;" fillcolor="#B6DDE8" filled="t" stroked="t" coordsize="21600,21600">
              <v:path/>
              <v:fill on="t" color2="#FFFFFF" focussize="0,0"/>
              <v:stroke weight="1.5pt" color="#000000" joinstyle="miter"/>
              <v:imagedata o:title=""/>
              <o:lock v:ext="edit" aspectratio="f"/>
              <v:textbox style="layout-flow:vertical-ideographic;">
                <w:txbxContent>
                  <w:p>
                    <w:pPr>
                      <w:spacing w:line="240" w:lineRule="auto"/>
                      <w:jc w:val="center"/>
                      <w:rPr>
                        <w:rFonts w:hint="default" w:eastAsia="宋体"/>
                        <w:sz w:val="24"/>
                        <w:lang w:val="en-US" w:eastAsia="zh-CN"/>
                      </w:rPr>
                    </w:pPr>
                    <w:r>
                      <w:rPr>
                        <w:rFonts w:hint="eastAsia"/>
                        <w:b/>
                        <w:sz w:val="24"/>
                        <w:lang w:eastAsia="zh-CN"/>
                      </w:rPr>
                      <w:t>疏散警戒组</w:t>
                    </w:r>
                    <w:r>
                      <w:rPr>
                        <w:rFonts w:hint="eastAsia"/>
                        <w:b/>
                        <w:sz w:val="24"/>
                        <w:lang w:val="en-US" w:eastAsia="zh-CN"/>
                      </w:rPr>
                      <w:t xml:space="preserve"> </w:t>
                    </w:r>
                    <w:r>
                      <w:rPr>
                        <w:rFonts w:hint="eastAsia" w:ascii="宋体" w:hAnsi="宋体" w:cs="宋体"/>
                        <w:color w:val="000000"/>
                        <w:sz w:val="24"/>
                      </w:rPr>
                      <w:t>杜广宇</w:t>
                    </w:r>
                  </w:p>
                </w:txbxContent>
              </v:textbox>
            </v:rect>
            <v:line id="_x0000_s8432" o:spid="_x0000_s8432" o:spt="20" style="position:absolute;left:2248;top:7065;height:500;width:0;" filled="f" stroked="t" coordsize="21600,21600">
              <v:path arrowok="t"/>
              <v:fill on="f" focussize="0,0"/>
              <v:stroke weight="1.5pt" color="#000000"/>
              <v:imagedata o:title=""/>
              <o:lock v:ext="edit" aspectratio="f"/>
            </v:line>
            <v:rect id="_x0000_s8433" o:spid="_x0000_s8433" o:spt="1" style="position:absolute;left:1948;top:7585;height:2240;width:560;" fillcolor="#B6DDE8" filled="t" stroked="t" coordsize="21600,21600">
              <v:path/>
              <v:fill on="t" color2="#FFFFFF" focussize="0,0"/>
              <v:stroke weight="1.5pt" color="#000000" joinstyle="miter"/>
              <v:imagedata o:title=""/>
              <o:lock v:ext="edit" aspectratio="f"/>
              <v:textbox style="layout-flow:vertical-ideographic;">
                <w:txbxContent>
                  <w:p>
                    <w:pPr>
                      <w:spacing w:line="240" w:lineRule="auto"/>
                      <w:jc w:val="center"/>
                      <w:rPr>
                        <w:rFonts w:hint="default" w:eastAsia="宋体"/>
                        <w:sz w:val="24"/>
                        <w:lang w:val="en-US" w:eastAsia="zh-CN"/>
                      </w:rPr>
                    </w:pPr>
                    <w:r>
                      <w:rPr>
                        <w:rFonts w:hint="eastAsia"/>
                        <w:b/>
                        <w:sz w:val="24"/>
                        <w:lang w:eastAsia="zh-CN"/>
                      </w:rPr>
                      <w:t>医疗救助组</w:t>
                    </w:r>
                    <w:r>
                      <w:rPr>
                        <w:rFonts w:hint="eastAsia"/>
                        <w:b/>
                        <w:sz w:val="24"/>
                        <w:lang w:val="en-US" w:eastAsia="zh-CN"/>
                      </w:rPr>
                      <w:t xml:space="preserve"> </w:t>
                    </w:r>
                    <w:r>
                      <w:rPr>
                        <w:rFonts w:hint="eastAsia" w:ascii="宋体" w:hAnsi="宋体" w:cs="宋体"/>
                        <w:color w:val="000000"/>
                        <w:sz w:val="24"/>
                      </w:rPr>
                      <w:t>易剑锋</w:t>
                    </w:r>
                  </w:p>
                </w:txbxContent>
              </v:textbox>
            </v:rect>
            <v:rect id="_x0000_s8438" o:spid="_x0000_s8438" o:spt="1" style="position:absolute;left:5353;top:6575;height:1060;width:1430;" fillcolor="#B6DDE8" filled="t" stroked="t" coordsize="21600,21600">
              <v:path/>
              <v:fill on="t" color2="#FFFFFF" focussize="0,0"/>
              <v:stroke weight="1.5pt" color="#000000" joinstyle="miter"/>
              <v:imagedata o:title=""/>
              <o:lock v:ext="edit" aspectratio="f"/>
              <v:textbox>
                <w:txbxContent>
                  <w:p>
                    <w:pPr>
                      <w:jc w:val="center"/>
                      <w:rPr>
                        <w:rFonts w:hint="eastAsia"/>
                        <w:b/>
                        <w:sz w:val="22"/>
                        <w:szCs w:val="18"/>
                        <w:lang w:eastAsia="zh-CN"/>
                      </w:rPr>
                    </w:pPr>
                    <w:r>
                      <w:rPr>
                        <w:rFonts w:hint="eastAsia"/>
                        <w:b/>
                        <w:sz w:val="22"/>
                        <w:szCs w:val="18"/>
                        <w:lang w:eastAsia="zh-CN"/>
                      </w:rPr>
                      <w:t>应急抢险组</w:t>
                    </w:r>
                  </w:p>
                  <w:p>
                    <w:pPr>
                      <w:jc w:val="center"/>
                      <w:rPr>
                        <w:rFonts w:hint="eastAsia"/>
                        <w:sz w:val="22"/>
                        <w:szCs w:val="18"/>
                        <w:lang w:eastAsia="zh-CN"/>
                      </w:rPr>
                    </w:pPr>
                  </w:p>
                  <w:p>
                    <w:pPr>
                      <w:jc w:val="center"/>
                      <w:rPr>
                        <w:rFonts w:hint="eastAsia" w:eastAsia="宋体"/>
                        <w:sz w:val="22"/>
                        <w:szCs w:val="18"/>
                        <w:lang w:eastAsia="zh-CN"/>
                      </w:rPr>
                    </w:pPr>
                    <w:r>
                      <w:rPr>
                        <w:rFonts w:hint="eastAsia" w:ascii="宋体" w:hAnsi="宋体" w:cs="宋体"/>
                        <w:sz w:val="24"/>
                      </w:rPr>
                      <w:t>张琼</w:t>
                    </w:r>
                  </w:p>
                </w:txbxContent>
              </v:textbox>
            </v:rect>
            <v:line id="_x0000_s8439" o:spid="_x0000_s8439" o:spt="20" style="position:absolute;left:6023;top:4815;flip:x;height:1760;width:0;" filled="f" stroked="t" coordsize="21600,21600">
              <v:path arrowok="t"/>
              <v:fill on="f" focussize="0,0"/>
              <v:stroke weight="1.5pt" color="#000000"/>
              <v:imagedata o:title=""/>
              <o:lock v:ext="edit" aspectratio="f"/>
            </v:line>
            <v:rect id="_x0000_s8442" o:spid="_x0000_s8442" o:spt="1" style="position:absolute;left:10092;top:6605;height:1060;width:1428;" fillcolor="#B6DDE8" filled="t" stroked="t" coordsize="21600,21600">
              <v:path/>
              <v:fill on="t" color2="#FFFFFF" focussize="0,0"/>
              <v:stroke weight="1.5pt" color="#000000" joinstyle="miter"/>
              <v:imagedata o:title=""/>
              <o:lock v:ext="edit" aspectratio="f"/>
              <v:textbox>
                <w:txbxContent>
                  <w:p>
                    <w:pPr>
                      <w:jc w:val="center"/>
                      <w:rPr>
                        <w:rFonts w:hint="eastAsia"/>
                        <w:b/>
                        <w:sz w:val="22"/>
                        <w:szCs w:val="18"/>
                        <w:lang w:eastAsia="zh-CN"/>
                      </w:rPr>
                    </w:pPr>
                    <w:r>
                      <w:rPr>
                        <w:rFonts w:hint="eastAsia"/>
                        <w:b/>
                        <w:sz w:val="22"/>
                        <w:szCs w:val="18"/>
                        <w:lang w:eastAsia="zh-CN"/>
                      </w:rPr>
                      <w:t>应急监测组</w:t>
                    </w:r>
                  </w:p>
                  <w:p>
                    <w:pPr>
                      <w:jc w:val="center"/>
                      <w:rPr>
                        <w:rFonts w:hint="eastAsia"/>
                        <w:sz w:val="22"/>
                        <w:szCs w:val="18"/>
                        <w:lang w:eastAsia="zh-CN"/>
                      </w:rPr>
                    </w:pPr>
                  </w:p>
                  <w:p>
                    <w:pPr>
                      <w:jc w:val="center"/>
                      <w:rPr>
                        <w:rFonts w:hint="eastAsia" w:eastAsia="宋体"/>
                        <w:sz w:val="22"/>
                        <w:szCs w:val="18"/>
                        <w:lang w:eastAsia="zh-CN"/>
                      </w:rPr>
                    </w:pPr>
                    <w:r>
                      <w:rPr>
                        <w:rFonts w:hint="eastAsia" w:ascii="宋体" w:hAnsi="宋体" w:cs="宋体"/>
                        <w:color w:val="000000"/>
                        <w:sz w:val="24"/>
                      </w:rPr>
                      <w:t>魏超</w:t>
                    </w:r>
                  </w:p>
                </w:txbxContent>
              </v:textbox>
            </v:rect>
            <v:line id="_x0000_s8443" o:spid="_x0000_s8443" o:spt="20" style="position:absolute;left:10793;top:4830;flip:x;height:1760;width:0;" filled="f" stroked="t" coordsize="21600,21600">
              <v:path arrowok="t"/>
              <v:fill on="f" focussize="0,0"/>
              <v:stroke weight="1.5pt" color="#000000"/>
              <v:imagedata o:title=""/>
              <o:lock v:ext="edit" aspectratio="f"/>
            </v:line>
            <v:rect id="_x0000_s8446" o:spid="_x0000_s8446" o:spt="1" style="position:absolute;left:13350;top:6590;height:1060;width:1413;" fillcolor="#B6DDE8" filled="t" stroked="t" coordsize="21600,21600">
              <v:path/>
              <v:fill on="t" color2="#FFFFFF" focussize="0,0"/>
              <v:stroke weight="1.5pt" color="#000000" joinstyle="miter"/>
              <v:imagedata o:title=""/>
              <o:lock v:ext="edit" aspectratio="f"/>
              <v:textbox>
                <w:txbxContent>
                  <w:p>
                    <w:pPr>
                      <w:jc w:val="center"/>
                      <w:rPr>
                        <w:rFonts w:hint="eastAsia"/>
                        <w:b/>
                        <w:sz w:val="22"/>
                        <w:szCs w:val="18"/>
                        <w:lang w:eastAsia="zh-CN"/>
                      </w:rPr>
                    </w:pPr>
                    <w:r>
                      <w:rPr>
                        <w:rFonts w:hint="eastAsia"/>
                        <w:b/>
                        <w:sz w:val="22"/>
                        <w:szCs w:val="18"/>
                        <w:lang w:eastAsia="zh-CN"/>
                      </w:rPr>
                      <w:t>信息传输组</w:t>
                    </w:r>
                  </w:p>
                  <w:p>
                    <w:pPr>
                      <w:jc w:val="center"/>
                      <w:rPr>
                        <w:rFonts w:hint="eastAsia"/>
                        <w:sz w:val="22"/>
                        <w:szCs w:val="18"/>
                        <w:lang w:eastAsia="zh-CN"/>
                      </w:rPr>
                    </w:pPr>
                  </w:p>
                  <w:p>
                    <w:pPr>
                      <w:jc w:val="center"/>
                      <w:rPr>
                        <w:rFonts w:hint="eastAsia" w:eastAsia="宋体"/>
                        <w:sz w:val="22"/>
                        <w:szCs w:val="18"/>
                        <w:lang w:eastAsia="zh-CN"/>
                      </w:rPr>
                    </w:pPr>
                    <w:r>
                      <w:rPr>
                        <w:rFonts w:hint="eastAsia" w:ascii="宋体" w:hAnsi="宋体" w:cs="宋体"/>
                        <w:sz w:val="24"/>
                      </w:rPr>
                      <w:t>吴伟业</w:t>
                    </w:r>
                  </w:p>
                </w:txbxContent>
              </v:textbox>
            </v:rect>
            <v:line id="_x0000_s8447" o:spid="_x0000_s8447" o:spt="20" style="position:absolute;left:14183;top:4830;flip:x;height:1760;width:0;" filled="f" stroked="t" coordsize="21600,21600">
              <v:path arrowok="t"/>
              <v:fill on="f" focussize="0,0"/>
              <v:stroke weight="1.5pt" color="#000000"/>
              <v:imagedata o:title=""/>
              <o:lock v:ext="edit" aspectratio="f"/>
            </v:line>
            <v:line id="_x0000_s8560" o:spid="_x0000_s8560" o:spt="20" style="position:absolute;left:3328;top:7065;height:500;width:0;" filled="f" stroked="t" coordsize="21600,21600">
              <v:path arrowok="t"/>
              <v:fill on="f" focussize="0,0"/>
              <v:stroke weight="1.5pt" color="#000000"/>
              <v:imagedata o:title=""/>
              <o:lock v:ext="edit" aspectratio="f"/>
            </v:line>
            <v:rect id="_x0000_s8561" o:spid="_x0000_s8561" o:spt="1" style="position:absolute;left:3028;top:7585;height:2240;width:560;" fillcolor="#B6DDE8" filled="t" stroked="t" coordsize="21600,21600">
              <v:path/>
              <v:fill on="t" color2="#FFFFFF" focussize="0,0"/>
              <v:stroke weight="1.5pt" color="#000000" joinstyle="miter"/>
              <v:imagedata o:title=""/>
              <o:lock v:ext="edit" aspectratio="f"/>
              <v:textbox style="layout-flow:vertical-ideographic;">
                <w:txbxContent>
                  <w:p>
                    <w:pPr>
                      <w:spacing w:line="240" w:lineRule="auto"/>
                      <w:jc w:val="center"/>
                      <w:rPr>
                        <w:rFonts w:hint="default" w:eastAsia="宋体"/>
                        <w:sz w:val="24"/>
                        <w:lang w:val="en-US" w:eastAsia="zh-CN"/>
                      </w:rPr>
                    </w:pPr>
                    <w:r>
                      <w:rPr>
                        <w:rFonts w:hint="eastAsia"/>
                        <w:b/>
                        <w:sz w:val="24"/>
                        <w:lang w:eastAsia="zh-CN"/>
                      </w:rPr>
                      <w:t>后勤保障组</w:t>
                    </w:r>
                    <w:r>
                      <w:rPr>
                        <w:rFonts w:hint="eastAsia"/>
                        <w:b/>
                        <w:sz w:val="24"/>
                        <w:lang w:val="en-US" w:eastAsia="zh-CN"/>
                      </w:rPr>
                      <w:t xml:space="preserve"> </w:t>
                    </w:r>
                    <w:r>
                      <w:rPr>
                        <w:rFonts w:hint="eastAsia" w:ascii="宋体" w:hAnsi="宋体" w:cs="宋体"/>
                        <w:color w:val="000000"/>
                        <w:sz w:val="24"/>
                      </w:rPr>
                      <w:t>林志军</w:t>
                    </w:r>
                  </w:p>
                </w:txbxContent>
              </v:textbox>
            </v:rect>
            <w10:wrap type="none"/>
            <w10:anchorlock/>
          </v:group>
        </w:pict>
      </w:r>
    </w:p>
    <w:p>
      <w:pPr>
        <w:pStyle w:val="17"/>
        <w:ind w:firstLine="0" w:firstLineChars="0"/>
        <w:rPr>
          <w:rFonts w:ascii="Times New Roman" w:hAnsi="Times New Roman"/>
          <w:b/>
          <w:sz w:val="24"/>
        </w:rPr>
      </w:pPr>
    </w:p>
    <w:p>
      <w:pPr>
        <w:pStyle w:val="17"/>
        <w:ind w:firstLine="451"/>
        <w:jc w:val="center"/>
        <w:rPr>
          <w:rFonts w:ascii="Times New Roman" w:hAnsi="Times New Roman"/>
        </w:rPr>
      </w:pPr>
      <w:r>
        <w:rPr>
          <w:rFonts w:ascii="Times New Roman" w:hAnsi="Times New Roman"/>
          <w:b/>
          <w:sz w:val="24"/>
        </w:rPr>
        <w:t>图5-1  应急救援指挥</w:t>
      </w:r>
      <w:r>
        <w:rPr>
          <w:rFonts w:hint="eastAsia" w:ascii="Times New Roman" w:hAnsi="Times New Roman"/>
          <w:b/>
          <w:sz w:val="24"/>
        </w:rPr>
        <w:t>领导小组</w:t>
      </w:r>
      <w:r>
        <w:rPr>
          <w:rFonts w:ascii="Times New Roman" w:hAnsi="Times New Roman"/>
          <w:b/>
          <w:sz w:val="24"/>
        </w:rPr>
        <w:t>组织架构图</w:t>
      </w:r>
    </w:p>
    <w:p>
      <w:pPr>
        <w:pStyle w:val="17"/>
        <w:ind w:firstLine="0" w:firstLineChars="0"/>
        <w:rPr>
          <w:rFonts w:ascii="Times New Roman" w:hAnsi="Times New Roman"/>
        </w:rPr>
        <w:sectPr>
          <w:pgSz w:w="16838" w:h="11906" w:orient="landscape"/>
          <w:pgMar w:top="1418" w:right="1418" w:bottom="1418" w:left="1418" w:header="851" w:footer="958" w:gutter="0"/>
          <w:pgBorders>
            <w:top w:val="none" w:sz="0" w:space="0"/>
            <w:left w:val="none" w:sz="0" w:space="0"/>
            <w:bottom w:val="none" w:sz="0" w:space="0"/>
            <w:right w:val="none" w:sz="0" w:space="0"/>
          </w:pgBorders>
          <w:pgNumType w:fmt="decimal"/>
          <w:cols w:space="720" w:num="1"/>
          <w:docGrid w:linePitch="312" w:charSpace="0"/>
        </w:sectPr>
      </w:pPr>
    </w:p>
    <w:p>
      <w:pPr>
        <w:spacing w:line="480" w:lineRule="exact"/>
        <w:jc w:val="center"/>
        <w:rPr>
          <w:b/>
          <w:bCs/>
          <w:szCs w:val="28"/>
        </w:rPr>
      </w:pPr>
      <w:r>
        <w:rPr>
          <w:b/>
          <w:bCs/>
          <w:szCs w:val="28"/>
        </w:rPr>
        <w:t>表5-1   应急机构成员一览表</w:t>
      </w:r>
    </w:p>
    <w:tbl>
      <w:tblPr>
        <w:tblStyle w:val="42"/>
        <w:tblW w:w="8275"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3"/>
        <w:gridCol w:w="1214"/>
        <w:gridCol w:w="1593"/>
        <w:gridCol w:w="1656"/>
        <w:gridCol w:w="295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92" w:hRule="atLeast"/>
          <w:tblHeader/>
          <w:jc w:val="center"/>
        </w:trPr>
        <w:tc>
          <w:tcPr>
            <w:tcW w:w="2067" w:type="dxa"/>
            <w:gridSpan w:val="2"/>
            <w:tcBorders>
              <w:top w:val="single" w:color="auto" w:sz="4" w:space="0"/>
              <w:left w:val="single" w:color="auto" w:sz="4" w:space="0"/>
              <w:bottom w:val="single" w:color="auto" w:sz="4" w:space="0"/>
              <w:right w:val="single" w:color="auto" w:sz="4" w:space="0"/>
              <w:tl2br w:val="single" w:color="auto" w:sz="4" w:space="0"/>
            </w:tcBorders>
            <w:noWrap w:val="0"/>
            <w:vAlign w:val="top"/>
          </w:tcPr>
          <w:p>
            <w:pPr>
              <w:widowControl/>
              <w:jc w:val="center"/>
              <w:textAlignment w:val="center"/>
              <w:rPr>
                <w:rFonts w:hint="eastAsia" w:ascii="宋体" w:hAnsi="宋体"/>
                <w:b/>
                <w:bCs/>
                <w:color w:val="000000"/>
                <w:sz w:val="24"/>
                <w:szCs w:val="22"/>
              </w:rPr>
            </w:pPr>
            <w:r>
              <w:rPr>
                <w:rFonts w:hint="eastAsia" w:ascii="宋体" w:hAnsi="宋体"/>
                <w:b/>
                <w:bCs/>
                <w:color w:val="000000"/>
                <w:sz w:val="24"/>
                <w:szCs w:val="22"/>
              </w:rPr>
              <w:t xml:space="preserve">           项目    小组</w:t>
            </w:r>
          </w:p>
        </w:tc>
        <w:tc>
          <w:tcPr>
            <w:tcW w:w="1593"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b/>
                <w:bCs/>
                <w:color w:val="000000"/>
                <w:sz w:val="24"/>
                <w:szCs w:val="22"/>
              </w:rPr>
            </w:pPr>
            <w:r>
              <w:rPr>
                <w:rFonts w:hint="eastAsia" w:ascii="宋体" w:hAnsi="宋体"/>
                <w:b/>
                <w:bCs/>
                <w:color w:val="000000"/>
                <w:sz w:val="24"/>
                <w:szCs w:val="22"/>
              </w:rPr>
              <w:t>姓名</w:t>
            </w:r>
          </w:p>
        </w:tc>
        <w:tc>
          <w:tcPr>
            <w:tcW w:w="1656"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b/>
                <w:bCs/>
                <w:color w:val="000000"/>
                <w:sz w:val="24"/>
                <w:szCs w:val="22"/>
              </w:rPr>
            </w:pPr>
            <w:r>
              <w:rPr>
                <w:rFonts w:hint="eastAsia" w:ascii="宋体" w:hAnsi="宋体"/>
                <w:b/>
                <w:bCs/>
                <w:color w:val="000000"/>
                <w:sz w:val="24"/>
                <w:szCs w:val="22"/>
              </w:rPr>
              <w:t>应急指挥职责</w:t>
            </w:r>
          </w:p>
        </w:tc>
        <w:tc>
          <w:tcPr>
            <w:tcW w:w="2959"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b/>
                <w:bCs/>
                <w:color w:val="000000"/>
                <w:sz w:val="24"/>
                <w:szCs w:val="22"/>
              </w:rPr>
            </w:pPr>
            <w:r>
              <w:rPr>
                <w:rFonts w:hint="eastAsia" w:ascii="宋体" w:hAnsi="宋体"/>
                <w:b/>
                <w:bCs/>
                <w:color w:val="000000"/>
                <w:sz w:val="24"/>
                <w:szCs w:val="22"/>
              </w:rPr>
              <w:t>联系方式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4" w:hRule="atLeast"/>
          <w:jc w:val="center"/>
        </w:trPr>
        <w:tc>
          <w:tcPr>
            <w:tcW w:w="2067" w:type="dxa"/>
            <w:gridSpan w:val="2"/>
            <w:vMerge w:val="restart"/>
            <w:tcBorders>
              <w:top w:val="single" w:color="auto" w:sz="4" w:space="0"/>
              <w:left w:val="single" w:color="auto" w:sz="4" w:space="0"/>
              <w:right w:val="single" w:color="auto" w:sz="4" w:space="0"/>
            </w:tcBorders>
            <w:noWrap w:val="0"/>
            <w:vAlign w:val="center"/>
          </w:tcPr>
          <w:p>
            <w:pPr>
              <w:widowControl/>
              <w:jc w:val="center"/>
              <w:textAlignment w:val="center"/>
              <w:rPr>
                <w:rFonts w:hint="eastAsia" w:ascii="宋体" w:hAnsi="宋体"/>
                <w:b/>
                <w:bCs/>
                <w:color w:val="000000"/>
                <w:sz w:val="24"/>
                <w:szCs w:val="22"/>
              </w:rPr>
            </w:pPr>
            <w:r>
              <w:rPr>
                <w:rFonts w:hint="eastAsia" w:ascii="宋体" w:hAnsi="宋体"/>
                <w:b/>
                <w:bCs/>
                <w:color w:val="000000"/>
                <w:sz w:val="24"/>
                <w:szCs w:val="22"/>
              </w:rPr>
              <w:t>应急指挥部</w:t>
            </w:r>
          </w:p>
        </w:tc>
        <w:tc>
          <w:tcPr>
            <w:tcW w:w="1593"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黄南平</w:t>
            </w:r>
          </w:p>
        </w:tc>
        <w:tc>
          <w:tcPr>
            <w:tcW w:w="1656"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总指挥</w:t>
            </w:r>
          </w:p>
        </w:tc>
        <w:tc>
          <w:tcPr>
            <w:tcW w:w="2959"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13802652040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2067" w:type="dxa"/>
            <w:gridSpan w:val="2"/>
            <w:vMerge w:val="continue"/>
            <w:tcBorders>
              <w:left w:val="single" w:color="auto" w:sz="4" w:space="0"/>
              <w:right w:val="single" w:color="auto" w:sz="4" w:space="0"/>
            </w:tcBorders>
            <w:noWrap w:val="0"/>
            <w:vAlign w:val="center"/>
          </w:tcPr>
          <w:p>
            <w:pPr>
              <w:widowControl/>
              <w:jc w:val="center"/>
              <w:textAlignment w:val="center"/>
              <w:rPr>
                <w:rFonts w:hint="eastAsia" w:ascii="宋体" w:hAnsi="宋体"/>
                <w:b/>
                <w:bCs/>
                <w:color w:val="000000"/>
                <w:sz w:val="24"/>
                <w:szCs w:val="22"/>
              </w:rPr>
            </w:pPr>
          </w:p>
        </w:tc>
        <w:tc>
          <w:tcPr>
            <w:tcW w:w="1593"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郭子朋</w:t>
            </w:r>
          </w:p>
        </w:tc>
        <w:tc>
          <w:tcPr>
            <w:tcW w:w="1656" w:type="dxa"/>
            <w:tcBorders>
              <w:top w:val="single" w:color="auto" w:sz="4" w:space="0"/>
              <w:left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副总指挥</w:t>
            </w:r>
          </w:p>
        </w:tc>
        <w:tc>
          <w:tcPr>
            <w:tcW w:w="2959"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13802653762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15" w:hRule="atLeast"/>
          <w:jc w:val="center"/>
        </w:trPr>
        <w:tc>
          <w:tcPr>
            <w:tcW w:w="2067" w:type="dxa"/>
            <w:gridSpan w:val="2"/>
            <w:vMerge w:val="continue"/>
            <w:tcBorders>
              <w:left w:val="single" w:color="auto" w:sz="4" w:space="0"/>
              <w:right w:val="single" w:color="auto" w:sz="4" w:space="0"/>
            </w:tcBorders>
            <w:noWrap w:val="0"/>
            <w:vAlign w:val="center"/>
          </w:tcPr>
          <w:p>
            <w:pPr>
              <w:widowControl/>
              <w:jc w:val="center"/>
              <w:textAlignment w:val="center"/>
              <w:rPr>
                <w:rFonts w:hint="eastAsia" w:ascii="宋体" w:hAnsi="宋体"/>
                <w:b/>
                <w:bCs/>
                <w:color w:val="000000"/>
                <w:sz w:val="24"/>
                <w:szCs w:val="22"/>
              </w:rPr>
            </w:pPr>
          </w:p>
        </w:tc>
        <w:tc>
          <w:tcPr>
            <w:tcW w:w="1593"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吕庆洪</w:t>
            </w:r>
          </w:p>
        </w:tc>
        <w:tc>
          <w:tcPr>
            <w:tcW w:w="1656" w:type="dxa"/>
            <w:tcBorders>
              <w:top w:val="single" w:color="auto" w:sz="4" w:space="0"/>
              <w:left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副总指挥</w:t>
            </w:r>
          </w:p>
        </w:tc>
        <w:tc>
          <w:tcPr>
            <w:tcW w:w="2959"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18688102278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4" w:hRule="atLeast"/>
          <w:jc w:val="center"/>
        </w:trPr>
        <w:tc>
          <w:tcPr>
            <w:tcW w:w="2067" w:type="dxa"/>
            <w:gridSpan w:val="2"/>
            <w:vMerge w:val="restart"/>
            <w:tcBorders>
              <w:top w:val="single" w:color="auto" w:sz="4" w:space="0"/>
              <w:left w:val="single" w:color="auto" w:sz="4" w:space="0"/>
              <w:right w:val="single" w:color="auto" w:sz="4" w:space="0"/>
            </w:tcBorders>
            <w:noWrap w:val="0"/>
            <w:vAlign w:val="center"/>
          </w:tcPr>
          <w:p>
            <w:pPr>
              <w:widowControl/>
              <w:jc w:val="center"/>
              <w:textAlignment w:val="center"/>
              <w:rPr>
                <w:rFonts w:hint="eastAsia" w:ascii="宋体" w:hAnsi="宋体"/>
                <w:b/>
                <w:bCs/>
                <w:color w:val="000000"/>
                <w:sz w:val="24"/>
                <w:szCs w:val="22"/>
              </w:rPr>
            </w:pPr>
            <w:r>
              <w:rPr>
                <w:rFonts w:hint="eastAsia" w:ascii="宋体" w:hAnsi="宋体"/>
                <w:b/>
                <w:bCs/>
                <w:color w:val="000000"/>
                <w:sz w:val="24"/>
                <w:szCs w:val="22"/>
              </w:rPr>
              <w:t>应急抢险组</w:t>
            </w:r>
          </w:p>
        </w:tc>
        <w:tc>
          <w:tcPr>
            <w:tcW w:w="1593"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张琼</w:t>
            </w:r>
          </w:p>
        </w:tc>
        <w:tc>
          <w:tcPr>
            <w:tcW w:w="1656"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组长</w:t>
            </w:r>
          </w:p>
        </w:tc>
        <w:tc>
          <w:tcPr>
            <w:tcW w:w="2959"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13528178106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4" w:hRule="atLeast"/>
          <w:jc w:val="center"/>
        </w:trPr>
        <w:tc>
          <w:tcPr>
            <w:tcW w:w="2067" w:type="dxa"/>
            <w:gridSpan w:val="2"/>
            <w:vMerge w:val="continue"/>
            <w:tcBorders>
              <w:left w:val="single" w:color="auto" w:sz="4" w:space="0"/>
              <w:right w:val="single" w:color="auto" w:sz="4" w:space="0"/>
            </w:tcBorders>
            <w:noWrap w:val="0"/>
            <w:vAlign w:val="center"/>
          </w:tcPr>
          <w:p>
            <w:pPr>
              <w:widowControl/>
              <w:jc w:val="center"/>
              <w:textAlignment w:val="center"/>
              <w:rPr>
                <w:rFonts w:hint="eastAsia" w:ascii="宋体" w:hAnsi="宋体"/>
                <w:b/>
                <w:bCs/>
                <w:color w:val="000000"/>
                <w:sz w:val="24"/>
                <w:szCs w:val="22"/>
              </w:rPr>
            </w:pPr>
          </w:p>
        </w:tc>
        <w:tc>
          <w:tcPr>
            <w:tcW w:w="1593"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戴玉</w:t>
            </w:r>
          </w:p>
        </w:tc>
        <w:tc>
          <w:tcPr>
            <w:tcW w:w="1656"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组员</w:t>
            </w:r>
          </w:p>
        </w:tc>
        <w:tc>
          <w:tcPr>
            <w:tcW w:w="2959"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13726137750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4" w:hRule="atLeast"/>
          <w:jc w:val="center"/>
        </w:trPr>
        <w:tc>
          <w:tcPr>
            <w:tcW w:w="2067" w:type="dxa"/>
            <w:gridSpan w:val="2"/>
            <w:vMerge w:val="continue"/>
            <w:tcBorders>
              <w:left w:val="single" w:color="auto" w:sz="4" w:space="0"/>
              <w:right w:val="single" w:color="auto" w:sz="4" w:space="0"/>
            </w:tcBorders>
            <w:noWrap w:val="0"/>
            <w:vAlign w:val="center"/>
          </w:tcPr>
          <w:p>
            <w:pPr>
              <w:widowControl/>
              <w:jc w:val="center"/>
              <w:textAlignment w:val="center"/>
              <w:rPr>
                <w:rFonts w:hint="eastAsia" w:ascii="宋体" w:hAnsi="宋体"/>
                <w:b/>
                <w:bCs/>
                <w:color w:val="000000"/>
                <w:sz w:val="24"/>
                <w:szCs w:val="22"/>
              </w:rPr>
            </w:pPr>
          </w:p>
        </w:tc>
        <w:tc>
          <w:tcPr>
            <w:tcW w:w="1593"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黄进力</w:t>
            </w:r>
          </w:p>
        </w:tc>
        <w:tc>
          <w:tcPr>
            <w:tcW w:w="1656"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组员</w:t>
            </w:r>
          </w:p>
        </w:tc>
        <w:tc>
          <w:tcPr>
            <w:tcW w:w="2959" w:type="dxa"/>
            <w:tcBorders>
              <w:top w:val="single" w:color="auto" w:sz="4" w:space="0"/>
              <w:left w:val="single" w:color="auto" w:sz="4" w:space="0"/>
              <w:bottom w:val="single" w:color="auto" w:sz="4" w:space="0"/>
              <w:right w:val="single" w:color="auto" w:sz="4" w:space="0"/>
            </w:tcBorders>
            <w:noWrap w:val="0"/>
            <w:vAlign w:val="top"/>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13590835131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04" w:hRule="atLeast"/>
          <w:jc w:val="center"/>
        </w:trPr>
        <w:tc>
          <w:tcPr>
            <w:tcW w:w="2067" w:type="dxa"/>
            <w:gridSpan w:val="2"/>
            <w:vMerge w:val="continue"/>
            <w:tcBorders>
              <w:left w:val="single" w:color="auto" w:sz="4" w:space="0"/>
              <w:right w:val="single" w:color="auto" w:sz="4" w:space="0"/>
            </w:tcBorders>
            <w:noWrap w:val="0"/>
            <w:vAlign w:val="center"/>
          </w:tcPr>
          <w:p>
            <w:pPr>
              <w:widowControl/>
              <w:jc w:val="center"/>
              <w:textAlignment w:val="center"/>
              <w:rPr>
                <w:rFonts w:hint="eastAsia" w:ascii="宋体" w:hAnsi="宋体"/>
                <w:b/>
                <w:bCs/>
                <w:color w:val="000000"/>
                <w:sz w:val="24"/>
                <w:szCs w:val="22"/>
              </w:rPr>
            </w:pPr>
          </w:p>
        </w:tc>
        <w:tc>
          <w:tcPr>
            <w:tcW w:w="1593"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吴峰标</w:t>
            </w:r>
          </w:p>
        </w:tc>
        <w:tc>
          <w:tcPr>
            <w:tcW w:w="1656"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组员</w:t>
            </w:r>
          </w:p>
        </w:tc>
        <w:tc>
          <w:tcPr>
            <w:tcW w:w="2959" w:type="dxa"/>
            <w:tcBorders>
              <w:top w:val="single" w:color="auto" w:sz="4" w:space="0"/>
              <w:left w:val="single" w:color="auto" w:sz="4" w:space="0"/>
              <w:bottom w:val="single" w:color="auto" w:sz="4" w:space="0"/>
              <w:right w:val="single" w:color="auto" w:sz="4" w:space="0"/>
            </w:tcBorders>
            <w:noWrap w:val="0"/>
            <w:vAlign w:val="top"/>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18666188011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04" w:hRule="atLeast"/>
          <w:jc w:val="center"/>
        </w:trPr>
        <w:tc>
          <w:tcPr>
            <w:tcW w:w="2067" w:type="dxa"/>
            <w:gridSpan w:val="2"/>
            <w:vMerge w:val="continue"/>
            <w:tcBorders>
              <w:left w:val="single" w:color="auto" w:sz="4" w:space="0"/>
              <w:right w:val="single" w:color="auto" w:sz="4" w:space="0"/>
            </w:tcBorders>
            <w:noWrap w:val="0"/>
            <w:vAlign w:val="center"/>
          </w:tcPr>
          <w:p>
            <w:pPr>
              <w:widowControl/>
              <w:jc w:val="center"/>
              <w:textAlignment w:val="center"/>
              <w:rPr>
                <w:rFonts w:hint="eastAsia" w:ascii="宋体" w:hAnsi="宋体"/>
                <w:b/>
                <w:bCs/>
                <w:color w:val="000000"/>
                <w:sz w:val="24"/>
                <w:szCs w:val="22"/>
              </w:rPr>
            </w:pPr>
          </w:p>
        </w:tc>
        <w:tc>
          <w:tcPr>
            <w:tcW w:w="1593"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梁荣钊</w:t>
            </w:r>
          </w:p>
        </w:tc>
        <w:tc>
          <w:tcPr>
            <w:tcW w:w="1656"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组员</w:t>
            </w:r>
          </w:p>
        </w:tc>
        <w:tc>
          <w:tcPr>
            <w:tcW w:w="2959" w:type="dxa"/>
            <w:tcBorders>
              <w:top w:val="single" w:color="auto" w:sz="4" w:space="0"/>
              <w:left w:val="single" w:color="auto" w:sz="4" w:space="0"/>
              <w:bottom w:val="single" w:color="auto" w:sz="4" w:space="0"/>
              <w:right w:val="single" w:color="auto" w:sz="4" w:space="0"/>
            </w:tcBorders>
            <w:noWrap w:val="0"/>
            <w:vAlign w:val="top"/>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13726081879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04" w:hRule="atLeast"/>
          <w:jc w:val="center"/>
        </w:trPr>
        <w:tc>
          <w:tcPr>
            <w:tcW w:w="2067" w:type="dxa"/>
            <w:gridSpan w:val="2"/>
            <w:vMerge w:val="continue"/>
            <w:tcBorders>
              <w:left w:val="single" w:color="auto" w:sz="4" w:space="0"/>
              <w:right w:val="single" w:color="auto" w:sz="4" w:space="0"/>
            </w:tcBorders>
            <w:noWrap w:val="0"/>
            <w:vAlign w:val="center"/>
          </w:tcPr>
          <w:p>
            <w:pPr>
              <w:widowControl/>
              <w:jc w:val="center"/>
              <w:textAlignment w:val="center"/>
              <w:rPr>
                <w:rFonts w:hint="eastAsia" w:ascii="宋体" w:hAnsi="宋体"/>
                <w:b/>
                <w:bCs/>
                <w:color w:val="000000"/>
                <w:sz w:val="24"/>
                <w:szCs w:val="22"/>
              </w:rPr>
            </w:pPr>
          </w:p>
        </w:tc>
        <w:tc>
          <w:tcPr>
            <w:tcW w:w="1593"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吴宇亮</w:t>
            </w:r>
          </w:p>
        </w:tc>
        <w:tc>
          <w:tcPr>
            <w:tcW w:w="1656"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组员</w:t>
            </w:r>
          </w:p>
        </w:tc>
        <w:tc>
          <w:tcPr>
            <w:tcW w:w="2959" w:type="dxa"/>
            <w:tcBorders>
              <w:top w:val="single" w:color="auto" w:sz="4" w:space="0"/>
              <w:left w:val="single" w:color="auto" w:sz="4" w:space="0"/>
              <w:bottom w:val="single" w:color="auto" w:sz="4" w:space="0"/>
              <w:right w:val="single" w:color="auto" w:sz="4" w:space="0"/>
            </w:tcBorders>
            <w:noWrap w:val="0"/>
            <w:vAlign w:val="top"/>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13590785288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04" w:hRule="atLeast"/>
          <w:jc w:val="center"/>
        </w:trPr>
        <w:tc>
          <w:tcPr>
            <w:tcW w:w="2067" w:type="dxa"/>
            <w:gridSpan w:val="2"/>
            <w:vMerge w:val="continue"/>
            <w:tcBorders>
              <w:left w:val="single" w:color="auto" w:sz="4" w:space="0"/>
              <w:right w:val="single" w:color="auto" w:sz="4" w:space="0"/>
            </w:tcBorders>
            <w:noWrap w:val="0"/>
            <w:vAlign w:val="center"/>
          </w:tcPr>
          <w:p>
            <w:pPr>
              <w:widowControl/>
              <w:jc w:val="center"/>
              <w:textAlignment w:val="center"/>
              <w:rPr>
                <w:rFonts w:hint="eastAsia" w:ascii="宋体" w:hAnsi="宋体"/>
                <w:b/>
                <w:bCs/>
                <w:color w:val="000000"/>
                <w:sz w:val="24"/>
                <w:szCs w:val="22"/>
              </w:rPr>
            </w:pPr>
          </w:p>
        </w:tc>
        <w:tc>
          <w:tcPr>
            <w:tcW w:w="1593"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杨图标</w:t>
            </w:r>
          </w:p>
        </w:tc>
        <w:tc>
          <w:tcPr>
            <w:tcW w:w="1656"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组员</w:t>
            </w:r>
          </w:p>
        </w:tc>
        <w:tc>
          <w:tcPr>
            <w:tcW w:w="2959" w:type="dxa"/>
            <w:tcBorders>
              <w:top w:val="single" w:color="auto" w:sz="4" w:space="0"/>
              <w:left w:val="single" w:color="auto" w:sz="4" w:space="0"/>
              <w:bottom w:val="single" w:color="auto" w:sz="4" w:space="0"/>
              <w:right w:val="single" w:color="auto" w:sz="4" w:space="0"/>
            </w:tcBorders>
            <w:noWrap w:val="0"/>
            <w:vAlign w:val="top"/>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13590887222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04" w:hRule="atLeast"/>
          <w:jc w:val="center"/>
        </w:trPr>
        <w:tc>
          <w:tcPr>
            <w:tcW w:w="853" w:type="dxa"/>
            <w:vMerge w:val="restart"/>
            <w:tcBorders>
              <w:top w:val="single" w:color="auto" w:sz="4" w:space="0"/>
              <w:left w:val="single" w:color="auto" w:sz="4" w:space="0"/>
              <w:right w:val="single" w:color="auto" w:sz="4" w:space="0"/>
            </w:tcBorders>
            <w:noWrap w:val="0"/>
            <w:vAlign w:val="center"/>
          </w:tcPr>
          <w:p>
            <w:pPr>
              <w:widowControl/>
              <w:jc w:val="center"/>
              <w:textAlignment w:val="center"/>
              <w:rPr>
                <w:rFonts w:hint="eastAsia" w:ascii="宋体" w:hAnsi="宋体"/>
                <w:b/>
                <w:bCs/>
                <w:color w:val="000000"/>
                <w:sz w:val="24"/>
                <w:szCs w:val="22"/>
              </w:rPr>
            </w:pPr>
            <w:r>
              <w:rPr>
                <w:rFonts w:hint="eastAsia" w:ascii="宋体" w:hAnsi="宋体"/>
                <w:b/>
                <w:bCs/>
                <w:color w:val="000000"/>
                <w:sz w:val="24"/>
                <w:szCs w:val="22"/>
              </w:rPr>
              <w:t>安全后勤组</w:t>
            </w:r>
          </w:p>
        </w:tc>
        <w:tc>
          <w:tcPr>
            <w:tcW w:w="1214" w:type="dxa"/>
            <w:vMerge w:val="restart"/>
            <w:tcBorders>
              <w:top w:val="single" w:color="auto" w:sz="4" w:space="0"/>
              <w:left w:val="single" w:color="auto" w:sz="4" w:space="0"/>
              <w:right w:val="single" w:color="auto" w:sz="4" w:space="0"/>
            </w:tcBorders>
            <w:noWrap w:val="0"/>
            <w:vAlign w:val="center"/>
          </w:tcPr>
          <w:p>
            <w:pPr>
              <w:widowControl/>
              <w:jc w:val="center"/>
              <w:textAlignment w:val="center"/>
              <w:rPr>
                <w:rFonts w:hint="eastAsia" w:ascii="宋体" w:hAnsi="宋体"/>
                <w:b/>
                <w:bCs/>
                <w:color w:val="000000"/>
                <w:sz w:val="24"/>
                <w:szCs w:val="22"/>
              </w:rPr>
            </w:pPr>
            <w:r>
              <w:rPr>
                <w:rFonts w:hint="eastAsia" w:ascii="宋体" w:hAnsi="宋体"/>
                <w:b/>
                <w:bCs/>
                <w:color w:val="000000"/>
                <w:sz w:val="24"/>
                <w:szCs w:val="22"/>
              </w:rPr>
              <w:t>疏散警戒小组</w:t>
            </w:r>
          </w:p>
        </w:tc>
        <w:tc>
          <w:tcPr>
            <w:tcW w:w="1593"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杜广宇</w:t>
            </w:r>
          </w:p>
        </w:tc>
        <w:tc>
          <w:tcPr>
            <w:tcW w:w="1656"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组长</w:t>
            </w:r>
          </w:p>
        </w:tc>
        <w:tc>
          <w:tcPr>
            <w:tcW w:w="2959"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13549870979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04" w:hRule="atLeast"/>
          <w:jc w:val="center"/>
        </w:trPr>
        <w:tc>
          <w:tcPr>
            <w:tcW w:w="853" w:type="dxa"/>
            <w:vMerge w:val="continue"/>
            <w:tcBorders>
              <w:left w:val="single" w:color="auto" w:sz="4" w:space="0"/>
              <w:right w:val="single" w:color="auto" w:sz="4" w:space="0"/>
            </w:tcBorders>
            <w:noWrap w:val="0"/>
            <w:vAlign w:val="center"/>
          </w:tcPr>
          <w:p>
            <w:pPr>
              <w:widowControl/>
              <w:jc w:val="center"/>
              <w:textAlignment w:val="center"/>
              <w:rPr>
                <w:rFonts w:hint="eastAsia" w:ascii="宋体" w:hAnsi="宋体"/>
                <w:b/>
                <w:bCs/>
                <w:color w:val="000000"/>
                <w:sz w:val="24"/>
                <w:szCs w:val="22"/>
              </w:rPr>
            </w:pPr>
          </w:p>
        </w:tc>
        <w:tc>
          <w:tcPr>
            <w:tcW w:w="1214" w:type="dxa"/>
            <w:vMerge w:val="continue"/>
            <w:tcBorders>
              <w:left w:val="single" w:color="auto" w:sz="4" w:space="0"/>
              <w:right w:val="single" w:color="auto" w:sz="4" w:space="0"/>
            </w:tcBorders>
            <w:noWrap w:val="0"/>
            <w:vAlign w:val="center"/>
          </w:tcPr>
          <w:p>
            <w:pPr>
              <w:widowControl/>
              <w:jc w:val="center"/>
              <w:textAlignment w:val="center"/>
              <w:rPr>
                <w:rFonts w:hint="eastAsia" w:ascii="宋体" w:hAnsi="宋体"/>
                <w:b/>
                <w:bCs/>
                <w:color w:val="000000"/>
                <w:sz w:val="24"/>
                <w:szCs w:val="22"/>
              </w:rPr>
            </w:pPr>
          </w:p>
        </w:tc>
        <w:tc>
          <w:tcPr>
            <w:tcW w:w="1593"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陈国兴</w:t>
            </w:r>
          </w:p>
        </w:tc>
        <w:tc>
          <w:tcPr>
            <w:tcW w:w="1656"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组员</w:t>
            </w:r>
          </w:p>
        </w:tc>
        <w:tc>
          <w:tcPr>
            <w:tcW w:w="2959"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15800117729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04" w:hRule="atLeast"/>
          <w:jc w:val="center"/>
        </w:trPr>
        <w:tc>
          <w:tcPr>
            <w:tcW w:w="853" w:type="dxa"/>
            <w:vMerge w:val="continue"/>
            <w:tcBorders>
              <w:left w:val="single" w:color="auto" w:sz="4" w:space="0"/>
              <w:right w:val="single" w:color="auto" w:sz="4" w:space="0"/>
            </w:tcBorders>
            <w:noWrap w:val="0"/>
            <w:vAlign w:val="center"/>
          </w:tcPr>
          <w:p>
            <w:pPr>
              <w:widowControl/>
              <w:jc w:val="center"/>
              <w:textAlignment w:val="center"/>
              <w:rPr>
                <w:rFonts w:hint="eastAsia" w:ascii="宋体" w:hAnsi="宋体"/>
                <w:b/>
                <w:bCs/>
                <w:color w:val="000000"/>
                <w:sz w:val="24"/>
                <w:szCs w:val="22"/>
              </w:rPr>
            </w:pPr>
          </w:p>
        </w:tc>
        <w:tc>
          <w:tcPr>
            <w:tcW w:w="1214" w:type="dxa"/>
            <w:vMerge w:val="continue"/>
            <w:tcBorders>
              <w:left w:val="single" w:color="auto" w:sz="4" w:space="0"/>
              <w:right w:val="single" w:color="auto" w:sz="4" w:space="0"/>
            </w:tcBorders>
            <w:noWrap w:val="0"/>
            <w:vAlign w:val="center"/>
          </w:tcPr>
          <w:p>
            <w:pPr>
              <w:widowControl/>
              <w:jc w:val="center"/>
              <w:textAlignment w:val="center"/>
              <w:rPr>
                <w:rFonts w:hint="eastAsia" w:ascii="宋体" w:hAnsi="宋体"/>
                <w:b/>
                <w:bCs/>
                <w:color w:val="000000"/>
                <w:sz w:val="24"/>
                <w:szCs w:val="22"/>
              </w:rPr>
            </w:pPr>
          </w:p>
        </w:tc>
        <w:tc>
          <w:tcPr>
            <w:tcW w:w="1593"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彭健</w:t>
            </w:r>
          </w:p>
        </w:tc>
        <w:tc>
          <w:tcPr>
            <w:tcW w:w="1656"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组员</w:t>
            </w:r>
          </w:p>
        </w:tc>
        <w:tc>
          <w:tcPr>
            <w:tcW w:w="2959"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15007600583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04" w:hRule="atLeast"/>
          <w:jc w:val="center"/>
        </w:trPr>
        <w:tc>
          <w:tcPr>
            <w:tcW w:w="853" w:type="dxa"/>
            <w:vMerge w:val="continue"/>
            <w:tcBorders>
              <w:left w:val="single" w:color="auto" w:sz="4" w:space="0"/>
              <w:right w:val="single" w:color="auto" w:sz="4" w:space="0"/>
            </w:tcBorders>
            <w:noWrap w:val="0"/>
            <w:vAlign w:val="center"/>
          </w:tcPr>
          <w:p>
            <w:pPr>
              <w:widowControl/>
              <w:jc w:val="center"/>
              <w:textAlignment w:val="center"/>
              <w:rPr>
                <w:rFonts w:hint="eastAsia" w:ascii="宋体" w:hAnsi="宋体"/>
                <w:b/>
                <w:bCs/>
                <w:color w:val="000000"/>
                <w:sz w:val="24"/>
                <w:szCs w:val="22"/>
              </w:rPr>
            </w:pPr>
          </w:p>
        </w:tc>
        <w:tc>
          <w:tcPr>
            <w:tcW w:w="1214" w:type="dxa"/>
            <w:vMerge w:val="continue"/>
            <w:tcBorders>
              <w:left w:val="single" w:color="auto" w:sz="4" w:space="0"/>
              <w:right w:val="single" w:color="auto" w:sz="4" w:space="0"/>
            </w:tcBorders>
            <w:noWrap w:val="0"/>
            <w:vAlign w:val="center"/>
          </w:tcPr>
          <w:p>
            <w:pPr>
              <w:widowControl/>
              <w:jc w:val="center"/>
              <w:textAlignment w:val="center"/>
              <w:rPr>
                <w:rFonts w:hint="eastAsia" w:ascii="宋体" w:hAnsi="宋体"/>
                <w:b/>
                <w:bCs/>
                <w:color w:val="000000"/>
                <w:sz w:val="24"/>
                <w:szCs w:val="22"/>
              </w:rPr>
            </w:pPr>
          </w:p>
        </w:tc>
        <w:tc>
          <w:tcPr>
            <w:tcW w:w="1593"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卢添明</w:t>
            </w:r>
          </w:p>
        </w:tc>
        <w:tc>
          <w:tcPr>
            <w:tcW w:w="1656"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组员</w:t>
            </w:r>
          </w:p>
        </w:tc>
        <w:tc>
          <w:tcPr>
            <w:tcW w:w="2959"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13549881937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04" w:hRule="atLeast"/>
          <w:jc w:val="center"/>
        </w:trPr>
        <w:tc>
          <w:tcPr>
            <w:tcW w:w="853" w:type="dxa"/>
            <w:vMerge w:val="continue"/>
            <w:tcBorders>
              <w:left w:val="single" w:color="auto" w:sz="4" w:space="0"/>
              <w:right w:val="single" w:color="auto" w:sz="4" w:space="0"/>
            </w:tcBorders>
            <w:noWrap w:val="0"/>
            <w:vAlign w:val="center"/>
          </w:tcPr>
          <w:p>
            <w:pPr>
              <w:widowControl/>
              <w:jc w:val="center"/>
              <w:textAlignment w:val="center"/>
              <w:rPr>
                <w:rFonts w:hint="eastAsia" w:ascii="宋体" w:hAnsi="宋体"/>
                <w:b/>
                <w:bCs/>
                <w:color w:val="000000"/>
                <w:sz w:val="24"/>
                <w:szCs w:val="22"/>
              </w:rPr>
            </w:pPr>
          </w:p>
        </w:tc>
        <w:tc>
          <w:tcPr>
            <w:tcW w:w="1214" w:type="dxa"/>
            <w:vMerge w:val="restart"/>
            <w:tcBorders>
              <w:left w:val="single" w:color="auto" w:sz="4" w:space="0"/>
              <w:right w:val="single" w:color="auto" w:sz="4" w:space="0"/>
            </w:tcBorders>
            <w:noWrap w:val="0"/>
            <w:vAlign w:val="center"/>
          </w:tcPr>
          <w:p>
            <w:pPr>
              <w:widowControl/>
              <w:jc w:val="center"/>
              <w:textAlignment w:val="center"/>
              <w:rPr>
                <w:rFonts w:hint="eastAsia" w:ascii="宋体" w:hAnsi="宋体"/>
                <w:b/>
                <w:bCs/>
                <w:color w:val="000000"/>
                <w:sz w:val="24"/>
                <w:szCs w:val="22"/>
              </w:rPr>
            </w:pPr>
            <w:r>
              <w:rPr>
                <w:rFonts w:hint="eastAsia" w:ascii="宋体" w:hAnsi="宋体"/>
                <w:b/>
                <w:bCs/>
                <w:color w:val="000000"/>
                <w:sz w:val="24"/>
                <w:szCs w:val="22"/>
              </w:rPr>
              <w:t>医疗救助小组</w:t>
            </w:r>
          </w:p>
        </w:tc>
        <w:tc>
          <w:tcPr>
            <w:tcW w:w="1593"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易剑锋</w:t>
            </w:r>
          </w:p>
        </w:tc>
        <w:tc>
          <w:tcPr>
            <w:tcW w:w="1656"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组长</w:t>
            </w:r>
          </w:p>
        </w:tc>
        <w:tc>
          <w:tcPr>
            <w:tcW w:w="2959"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18802591209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04" w:hRule="atLeast"/>
          <w:jc w:val="center"/>
        </w:trPr>
        <w:tc>
          <w:tcPr>
            <w:tcW w:w="853" w:type="dxa"/>
            <w:vMerge w:val="continue"/>
            <w:tcBorders>
              <w:left w:val="single" w:color="auto" w:sz="4" w:space="0"/>
              <w:right w:val="single" w:color="auto" w:sz="4" w:space="0"/>
            </w:tcBorders>
            <w:noWrap w:val="0"/>
            <w:vAlign w:val="center"/>
          </w:tcPr>
          <w:p>
            <w:pPr>
              <w:widowControl/>
              <w:jc w:val="center"/>
              <w:textAlignment w:val="center"/>
              <w:rPr>
                <w:rFonts w:hint="eastAsia" w:ascii="宋体" w:hAnsi="宋体"/>
                <w:b/>
                <w:bCs/>
                <w:color w:val="000000"/>
                <w:sz w:val="24"/>
                <w:szCs w:val="22"/>
              </w:rPr>
            </w:pPr>
          </w:p>
        </w:tc>
        <w:tc>
          <w:tcPr>
            <w:tcW w:w="1214" w:type="dxa"/>
            <w:vMerge w:val="continue"/>
            <w:tcBorders>
              <w:left w:val="single" w:color="auto" w:sz="4" w:space="0"/>
              <w:right w:val="single" w:color="auto" w:sz="4" w:space="0"/>
            </w:tcBorders>
            <w:noWrap w:val="0"/>
            <w:vAlign w:val="center"/>
          </w:tcPr>
          <w:p>
            <w:pPr>
              <w:widowControl/>
              <w:jc w:val="center"/>
              <w:textAlignment w:val="center"/>
              <w:rPr>
                <w:rFonts w:hint="eastAsia" w:ascii="宋体" w:hAnsi="宋体"/>
                <w:b/>
                <w:bCs/>
                <w:color w:val="000000"/>
                <w:sz w:val="24"/>
                <w:szCs w:val="22"/>
              </w:rPr>
            </w:pPr>
          </w:p>
        </w:tc>
        <w:tc>
          <w:tcPr>
            <w:tcW w:w="1593"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杜越南</w:t>
            </w:r>
          </w:p>
        </w:tc>
        <w:tc>
          <w:tcPr>
            <w:tcW w:w="1656"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组员</w:t>
            </w:r>
          </w:p>
        </w:tc>
        <w:tc>
          <w:tcPr>
            <w:tcW w:w="2959"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13427070772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04" w:hRule="atLeast"/>
          <w:jc w:val="center"/>
        </w:trPr>
        <w:tc>
          <w:tcPr>
            <w:tcW w:w="853" w:type="dxa"/>
            <w:vMerge w:val="continue"/>
            <w:tcBorders>
              <w:left w:val="single" w:color="auto" w:sz="4" w:space="0"/>
              <w:right w:val="single" w:color="auto" w:sz="4" w:space="0"/>
            </w:tcBorders>
            <w:noWrap w:val="0"/>
            <w:vAlign w:val="center"/>
          </w:tcPr>
          <w:p>
            <w:pPr>
              <w:widowControl/>
              <w:jc w:val="center"/>
              <w:textAlignment w:val="center"/>
              <w:rPr>
                <w:rFonts w:hint="eastAsia" w:ascii="宋体" w:hAnsi="宋体"/>
                <w:b/>
                <w:bCs/>
                <w:color w:val="000000"/>
                <w:sz w:val="24"/>
                <w:szCs w:val="22"/>
              </w:rPr>
            </w:pPr>
          </w:p>
        </w:tc>
        <w:tc>
          <w:tcPr>
            <w:tcW w:w="1214" w:type="dxa"/>
            <w:vMerge w:val="continue"/>
            <w:tcBorders>
              <w:left w:val="single" w:color="auto" w:sz="4" w:space="0"/>
              <w:right w:val="single" w:color="auto" w:sz="4" w:space="0"/>
            </w:tcBorders>
            <w:noWrap w:val="0"/>
            <w:vAlign w:val="center"/>
          </w:tcPr>
          <w:p>
            <w:pPr>
              <w:widowControl/>
              <w:jc w:val="center"/>
              <w:textAlignment w:val="center"/>
              <w:rPr>
                <w:rFonts w:hint="eastAsia" w:ascii="宋体" w:hAnsi="宋体"/>
                <w:b/>
                <w:bCs/>
                <w:color w:val="000000"/>
                <w:sz w:val="24"/>
                <w:szCs w:val="22"/>
              </w:rPr>
            </w:pPr>
          </w:p>
        </w:tc>
        <w:tc>
          <w:tcPr>
            <w:tcW w:w="1593"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易聪</w:t>
            </w:r>
          </w:p>
        </w:tc>
        <w:tc>
          <w:tcPr>
            <w:tcW w:w="1656"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组员</w:t>
            </w:r>
          </w:p>
        </w:tc>
        <w:tc>
          <w:tcPr>
            <w:tcW w:w="2959"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13435733640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04" w:hRule="atLeast"/>
          <w:jc w:val="center"/>
        </w:trPr>
        <w:tc>
          <w:tcPr>
            <w:tcW w:w="853" w:type="dxa"/>
            <w:vMerge w:val="continue"/>
            <w:tcBorders>
              <w:left w:val="single" w:color="auto" w:sz="4" w:space="0"/>
              <w:right w:val="single" w:color="auto" w:sz="4" w:space="0"/>
            </w:tcBorders>
            <w:noWrap w:val="0"/>
            <w:vAlign w:val="center"/>
          </w:tcPr>
          <w:p>
            <w:pPr>
              <w:widowControl/>
              <w:jc w:val="center"/>
              <w:textAlignment w:val="center"/>
              <w:rPr>
                <w:rFonts w:hint="eastAsia" w:ascii="宋体" w:hAnsi="宋体"/>
                <w:b/>
                <w:bCs/>
                <w:color w:val="000000"/>
                <w:sz w:val="24"/>
                <w:szCs w:val="22"/>
              </w:rPr>
            </w:pPr>
          </w:p>
        </w:tc>
        <w:tc>
          <w:tcPr>
            <w:tcW w:w="1214" w:type="dxa"/>
            <w:vMerge w:val="restart"/>
            <w:tcBorders>
              <w:left w:val="single" w:color="auto" w:sz="4" w:space="0"/>
              <w:right w:val="single" w:color="auto" w:sz="4" w:space="0"/>
            </w:tcBorders>
            <w:noWrap w:val="0"/>
            <w:vAlign w:val="center"/>
          </w:tcPr>
          <w:p>
            <w:pPr>
              <w:widowControl/>
              <w:jc w:val="center"/>
              <w:textAlignment w:val="center"/>
              <w:rPr>
                <w:rFonts w:hint="eastAsia" w:ascii="宋体" w:hAnsi="宋体"/>
                <w:b/>
                <w:bCs/>
                <w:color w:val="000000"/>
                <w:sz w:val="24"/>
                <w:szCs w:val="22"/>
              </w:rPr>
            </w:pPr>
            <w:r>
              <w:rPr>
                <w:rFonts w:hint="eastAsia" w:ascii="宋体" w:hAnsi="宋体"/>
                <w:b/>
                <w:bCs/>
                <w:color w:val="000000"/>
                <w:sz w:val="24"/>
                <w:szCs w:val="22"/>
              </w:rPr>
              <w:t>后勤保障小组</w:t>
            </w:r>
          </w:p>
        </w:tc>
        <w:tc>
          <w:tcPr>
            <w:tcW w:w="1593"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林志军</w:t>
            </w:r>
          </w:p>
        </w:tc>
        <w:tc>
          <w:tcPr>
            <w:tcW w:w="1656"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组长</w:t>
            </w:r>
          </w:p>
        </w:tc>
        <w:tc>
          <w:tcPr>
            <w:tcW w:w="2959"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13005509678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04" w:hRule="atLeast"/>
          <w:jc w:val="center"/>
        </w:trPr>
        <w:tc>
          <w:tcPr>
            <w:tcW w:w="853" w:type="dxa"/>
            <w:vMerge w:val="continue"/>
            <w:tcBorders>
              <w:left w:val="single" w:color="auto" w:sz="4" w:space="0"/>
              <w:right w:val="single" w:color="auto" w:sz="4" w:space="0"/>
            </w:tcBorders>
            <w:noWrap w:val="0"/>
            <w:vAlign w:val="center"/>
          </w:tcPr>
          <w:p>
            <w:pPr>
              <w:widowControl/>
              <w:jc w:val="center"/>
              <w:textAlignment w:val="center"/>
              <w:rPr>
                <w:rFonts w:hint="eastAsia" w:ascii="宋体" w:hAnsi="宋体"/>
                <w:b/>
                <w:bCs/>
                <w:color w:val="000000"/>
                <w:sz w:val="24"/>
                <w:szCs w:val="22"/>
              </w:rPr>
            </w:pPr>
          </w:p>
        </w:tc>
        <w:tc>
          <w:tcPr>
            <w:tcW w:w="1214" w:type="dxa"/>
            <w:vMerge w:val="continue"/>
            <w:tcBorders>
              <w:left w:val="single" w:color="auto" w:sz="4" w:space="0"/>
              <w:right w:val="single" w:color="auto" w:sz="4" w:space="0"/>
            </w:tcBorders>
            <w:noWrap w:val="0"/>
            <w:vAlign w:val="center"/>
          </w:tcPr>
          <w:p>
            <w:pPr>
              <w:widowControl/>
              <w:jc w:val="center"/>
              <w:textAlignment w:val="center"/>
              <w:rPr>
                <w:rFonts w:hint="eastAsia" w:ascii="宋体" w:hAnsi="宋体"/>
                <w:b/>
                <w:bCs/>
                <w:color w:val="000000"/>
                <w:sz w:val="24"/>
                <w:szCs w:val="22"/>
              </w:rPr>
            </w:pPr>
          </w:p>
        </w:tc>
        <w:tc>
          <w:tcPr>
            <w:tcW w:w="1593"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黄淼荣</w:t>
            </w:r>
          </w:p>
        </w:tc>
        <w:tc>
          <w:tcPr>
            <w:tcW w:w="1656"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组员</w:t>
            </w:r>
          </w:p>
        </w:tc>
        <w:tc>
          <w:tcPr>
            <w:tcW w:w="2959"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13702512600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04" w:hRule="atLeast"/>
          <w:jc w:val="center"/>
        </w:trPr>
        <w:tc>
          <w:tcPr>
            <w:tcW w:w="853" w:type="dxa"/>
            <w:vMerge w:val="continue"/>
            <w:tcBorders>
              <w:left w:val="single" w:color="auto" w:sz="4" w:space="0"/>
              <w:right w:val="single" w:color="auto" w:sz="4" w:space="0"/>
            </w:tcBorders>
            <w:noWrap w:val="0"/>
            <w:vAlign w:val="center"/>
          </w:tcPr>
          <w:p>
            <w:pPr>
              <w:widowControl/>
              <w:jc w:val="center"/>
              <w:textAlignment w:val="center"/>
              <w:rPr>
                <w:rFonts w:hint="eastAsia" w:ascii="宋体" w:hAnsi="宋体"/>
                <w:b/>
                <w:bCs/>
                <w:color w:val="000000"/>
                <w:sz w:val="24"/>
                <w:szCs w:val="22"/>
              </w:rPr>
            </w:pPr>
          </w:p>
        </w:tc>
        <w:tc>
          <w:tcPr>
            <w:tcW w:w="1214" w:type="dxa"/>
            <w:vMerge w:val="continue"/>
            <w:tcBorders>
              <w:left w:val="single" w:color="auto" w:sz="4" w:space="0"/>
              <w:right w:val="single" w:color="auto" w:sz="4" w:space="0"/>
            </w:tcBorders>
            <w:noWrap w:val="0"/>
            <w:vAlign w:val="center"/>
          </w:tcPr>
          <w:p>
            <w:pPr>
              <w:widowControl/>
              <w:jc w:val="center"/>
              <w:textAlignment w:val="center"/>
              <w:rPr>
                <w:rFonts w:hint="eastAsia" w:ascii="宋体" w:hAnsi="宋体"/>
                <w:b/>
                <w:bCs/>
                <w:color w:val="000000"/>
                <w:sz w:val="24"/>
                <w:szCs w:val="22"/>
              </w:rPr>
            </w:pPr>
          </w:p>
        </w:tc>
        <w:tc>
          <w:tcPr>
            <w:tcW w:w="1593"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刘军华</w:t>
            </w:r>
          </w:p>
        </w:tc>
        <w:tc>
          <w:tcPr>
            <w:tcW w:w="1656"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组员</w:t>
            </w:r>
          </w:p>
        </w:tc>
        <w:tc>
          <w:tcPr>
            <w:tcW w:w="2959"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13928131031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04" w:hRule="atLeast"/>
          <w:jc w:val="center"/>
        </w:trPr>
        <w:tc>
          <w:tcPr>
            <w:tcW w:w="2067" w:type="dxa"/>
            <w:gridSpan w:val="2"/>
            <w:vMerge w:val="restart"/>
            <w:tcBorders>
              <w:top w:val="single" w:color="auto" w:sz="4" w:space="0"/>
              <w:left w:val="single" w:color="auto" w:sz="4" w:space="0"/>
              <w:right w:val="single" w:color="auto" w:sz="4" w:space="0"/>
            </w:tcBorders>
            <w:noWrap w:val="0"/>
            <w:vAlign w:val="center"/>
          </w:tcPr>
          <w:p>
            <w:pPr>
              <w:widowControl/>
              <w:jc w:val="center"/>
              <w:textAlignment w:val="center"/>
              <w:rPr>
                <w:rFonts w:hint="eastAsia" w:ascii="宋体" w:hAnsi="宋体"/>
                <w:b/>
                <w:bCs/>
                <w:color w:val="000000"/>
                <w:sz w:val="24"/>
                <w:szCs w:val="22"/>
              </w:rPr>
            </w:pPr>
            <w:r>
              <w:rPr>
                <w:rFonts w:hint="eastAsia" w:ascii="宋体" w:hAnsi="宋体"/>
                <w:b/>
                <w:bCs/>
                <w:color w:val="000000"/>
                <w:sz w:val="24"/>
                <w:szCs w:val="22"/>
              </w:rPr>
              <w:t>应急监测组</w:t>
            </w:r>
          </w:p>
        </w:tc>
        <w:tc>
          <w:tcPr>
            <w:tcW w:w="1593"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魏超</w:t>
            </w:r>
          </w:p>
        </w:tc>
        <w:tc>
          <w:tcPr>
            <w:tcW w:w="1656"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组长</w:t>
            </w:r>
          </w:p>
        </w:tc>
        <w:tc>
          <w:tcPr>
            <w:tcW w:w="2959"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13425494550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04" w:hRule="atLeast"/>
          <w:jc w:val="center"/>
        </w:trPr>
        <w:tc>
          <w:tcPr>
            <w:tcW w:w="2067" w:type="dxa"/>
            <w:gridSpan w:val="2"/>
            <w:vMerge w:val="continue"/>
            <w:tcBorders>
              <w:left w:val="single" w:color="auto" w:sz="4" w:space="0"/>
              <w:right w:val="single" w:color="auto" w:sz="4" w:space="0"/>
            </w:tcBorders>
            <w:noWrap w:val="0"/>
            <w:vAlign w:val="center"/>
          </w:tcPr>
          <w:p>
            <w:pPr>
              <w:widowControl/>
              <w:jc w:val="center"/>
              <w:textAlignment w:val="center"/>
              <w:rPr>
                <w:rFonts w:hint="eastAsia" w:ascii="宋体" w:hAnsi="宋体"/>
                <w:b/>
                <w:bCs/>
                <w:color w:val="000000"/>
                <w:sz w:val="24"/>
                <w:szCs w:val="22"/>
              </w:rPr>
            </w:pPr>
          </w:p>
        </w:tc>
        <w:tc>
          <w:tcPr>
            <w:tcW w:w="1593"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杜家雯</w:t>
            </w:r>
          </w:p>
        </w:tc>
        <w:tc>
          <w:tcPr>
            <w:tcW w:w="1656"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组员</w:t>
            </w:r>
          </w:p>
        </w:tc>
        <w:tc>
          <w:tcPr>
            <w:tcW w:w="2959"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18607608607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04" w:hRule="atLeast"/>
          <w:jc w:val="center"/>
        </w:trPr>
        <w:tc>
          <w:tcPr>
            <w:tcW w:w="2067" w:type="dxa"/>
            <w:gridSpan w:val="2"/>
            <w:vMerge w:val="continue"/>
            <w:tcBorders>
              <w:left w:val="single" w:color="auto" w:sz="4" w:space="0"/>
              <w:right w:val="single" w:color="auto" w:sz="4" w:space="0"/>
            </w:tcBorders>
            <w:noWrap w:val="0"/>
            <w:vAlign w:val="center"/>
          </w:tcPr>
          <w:p>
            <w:pPr>
              <w:widowControl/>
              <w:jc w:val="center"/>
              <w:textAlignment w:val="center"/>
              <w:rPr>
                <w:rFonts w:hint="eastAsia" w:ascii="宋体" w:hAnsi="宋体"/>
                <w:b/>
                <w:bCs/>
                <w:color w:val="000000"/>
                <w:sz w:val="24"/>
                <w:szCs w:val="22"/>
              </w:rPr>
            </w:pPr>
          </w:p>
        </w:tc>
        <w:tc>
          <w:tcPr>
            <w:tcW w:w="1593"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梁俊豪</w:t>
            </w:r>
          </w:p>
        </w:tc>
        <w:tc>
          <w:tcPr>
            <w:tcW w:w="1656"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组员</w:t>
            </w:r>
          </w:p>
        </w:tc>
        <w:tc>
          <w:tcPr>
            <w:tcW w:w="2959"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13232534918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04" w:hRule="atLeast"/>
          <w:jc w:val="center"/>
        </w:trPr>
        <w:tc>
          <w:tcPr>
            <w:tcW w:w="2067" w:type="dxa"/>
            <w:gridSpan w:val="2"/>
            <w:vMerge w:val="continue"/>
            <w:tcBorders>
              <w:left w:val="single" w:color="auto" w:sz="4" w:space="0"/>
              <w:right w:val="single" w:color="auto" w:sz="4" w:space="0"/>
            </w:tcBorders>
            <w:noWrap w:val="0"/>
            <w:vAlign w:val="center"/>
          </w:tcPr>
          <w:p>
            <w:pPr>
              <w:widowControl/>
              <w:jc w:val="center"/>
              <w:textAlignment w:val="center"/>
              <w:rPr>
                <w:rFonts w:hint="eastAsia" w:ascii="宋体" w:hAnsi="宋体"/>
                <w:b/>
                <w:bCs/>
                <w:color w:val="000000"/>
                <w:sz w:val="24"/>
                <w:szCs w:val="22"/>
              </w:rPr>
            </w:pPr>
          </w:p>
        </w:tc>
        <w:tc>
          <w:tcPr>
            <w:tcW w:w="1593"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胡立颖</w:t>
            </w:r>
          </w:p>
        </w:tc>
        <w:tc>
          <w:tcPr>
            <w:tcW w:w="1656"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组员</w:t>
            </w:r>
          </w:p>
        </w:tc>
        <w:tc>
          <w:tcPr>
            <w:tcW w:w="2959"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13192265826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04" w:hRule="atLeast"/>
          <w:jc w:val="center"/>
        </w:trPr>
        <w:tc>
          <w:tcPr>
            <w:tcW w:w="2067" w:type="dxa"/>
            <w:gridSpan w:val="2"/>
            <w:vMerge w:val="restart"/>
            <w:tcBorders>
              <w:top w:val="single" w:color="auto" w:sz="4" w:space="0"/>
              <w:left w:val="single" w:color="auto" w:sz="4" w:space="0"/>
              <w:right w:val="single" w:color="auto" w:sz="4" w:space="0"/>
            </w:tcBorders>
            <w:noWrap w:val="0"/>
            <w:vAlign w:val="center"/>
          </w:tcPr>
          <w:p>
            <w:pPr>
              <w:widowControl/>
              <w:jc w:val="center"/>
              <w:textAlignment w:val="center"/>
              <w:rPr>
                <w:rFonts w:hint="eastAsia" w:ascii="宋体" w:hAnsi="宋体"/>
                <w:b/>
                <w:bCs/>
                <w:color w:val="000000"/>
                <w:sz w:val="24"/>
                <w:szCs w:val="22"/>
              </w:rPr>
            </w:pPr>
            <w:r>
              <w:rPr>
                <w:rFonts w:hint="eastAsia" w:ascii="宋体" w:hAnsi="宋体"/>
                <w:b/>
                <w:bCs/>
                <w:color w:val="000000"/>
                <w:sz w:val="24"/>
                <w:szCs w:val="22"/>
              </w:rPr>
              <w:t>信息传输组</w:t>
            </w:r>
          </w:p>
        </w:tc>
        <w:tc>
          <w:tcPr>
            <w:tcW w:w="1593"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吴伟业</w:t>
            </w:r>
          </w:p>
        </w:tc>
        <w:tc>
          <w:tcPr>
            <w:tcW w:w="1656"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组长</w:t>
            </w:r>
          </w:p>
        </w:tc>
        <w:tc>
          <w:tcPr>
            <w:tcW w:w="2959"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13702536238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04" w:hRule="atLeast"/>
          <w:jc w:val="center"/>
        </w:trPr>
        <w:tc>
          <w:tcPr>
            <w:tcW w:w="2067" w:type="dxa"/>
            <w:gridSpan w:val="2"/>
            <w:vMerge w:val="continue"/>
            <w:tcBorders>
              <w:left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p>
        </w:tc>
        <w:tc>
          <w:tcPr>
            <w:tcW w:w="1593"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蓝文渊</w:t>
            </w:r>
          </w:p>
        </w:tc>
        <w:tc>
          <w:tcPr>
            <w:tcW w:w="1656"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组员</w:t>
            </w:r>
          </w:p>
        </w:tc>
        <w:tc>
          <w:tcPr>
            <w:tcW w:w="2959"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18680171511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04" w:hRule="atLeast"/>
          <w:jc w:val="center"/>
        </w:trPr>
        <w:tc>
          <w:tcPr>
            <w:tcW w:w="2067" w:type="dxa"/>
            <w:gridSpan w:val="2"/>
            <w:vMerge w:val="continue"/>
            <w:tcBorders>
              <w:left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p>
        </w:tc>
        <w:tc>
          <w:tcPr>
            <w:tcW w:w="1593"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张俊</w:t>
            </w:r>
          </w:p>
        </w:tc>
        <w:tc>
          <w:tcPr>
            <w:tcW w:w="1656"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组员</w:t>
            </w:r>
          </w:p>
        </w:tc>
        <w:tc>
          <w:tcPr>
            <w:tcW w:w="2959"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18664420297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199" w:hRule="atLeast"/>
          <w:jc w:val="center"/>
        </w:trPr>
        <w:tc>
          <w:tcPr>
            <w:tcW w:w="3660" w:type="dxa"/>
            <w:gridSpan w:val="3"/>
            <w:tcBorders>
              <w:left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b/>
                <w:bCs/>
                <w:color w:val="000000"/>
                <w:sz w:val="24"/>
                <w:szCs w:val="22"/>
              </w:rPr>
              <w:t>公司24小时值班电话</w:t>
            </w:r>
          </w:p>
        </w:tc>
        <w:tc>
          <w:tcPr>
            <w:tcW w:w="4615" w:type="dxa"/>
            <w:gridSpan w:val="2"/>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0760-89926400</w:t>
            </w:r>
          </w:p>
        </w:tc>
      </w:tr>
    </w:tbl>
    <w:p>
      <w:pPr>
        <w:pStyle w:val="17"/>
        <w:ind w:firstLine="0" w:firstLineChars="0"/>
        <w:rPr>
          <w:rFonts w:ascii="Times New Roman" w:hAnsi="Times New Roman"/>
        </w:rPr>
      </w:pPr>
    </w:p>
    <w:p>
      <w:pPr>
        <w:pStyle w:val="17"/>
        <w:spacing w:before="120" w:beforeLines="50"/>
        <w:rPr>
          <w:rFonts w:ascii="Times New Roman" w:hAnsi="Times New Roman"/>
        </w:rPr>
      </w:pPr>
      <w:r>
        <w:rPr>
          <w:rFonts w:ascii="Times New Roman" w:hAnsi="Times New Roman"/>
        </w:rPr>
        <w:t>根据公司的组织机构绘制了紧急情况应对流程图如下图所示：</w:t>
      </w:r>
    </w:p>
    <w:p>
      <w:pPr>
        <w:rPr>
          <w:b/>
          <w:bCs/>
        </w:rPr>
      </w:pPr>
    </w:p>
    <w:p>
      <w:r>
        <w:pict>
          <v:group id="_x0000_s8126" o:spid="_x0000_s8126" o:spt="203" style="height:546pt;width:450pt;" coordorigin="1742,4276" coordsize="9000,10920" editas="canvas">
            <o:lock v:ext="edit"/>
            <v:shape id="_x0000_s8127" o:spid="_x0000_s8127" o:spt="75" type="#_x0000_t75" style="position:absolute;left:1742;top:4276;height:10920;width:9000;" filled="f" stroked="t" coordsize="21600,21600">
              <v:fill on="f" focussize="0,0"/>
              <v:stroke color="#000000" joinstyle="miter"/>
              <v:imagedata o:title=""/>
              <o:lock v:ext="edit" rotation="t" text="t" aspectratio="t"/>
            </v:shape>
            <v:shape id="_x0000_s8128" o:spid="_x0000_s8128" o:spt="71" type="#_x0000_t71" style="position:absolute;left:4622;top:4276;height:1560;width:3240;" fillcolor="#FFFFFF" filled="t" stroked="t" coordsize="21600,21600">
              <v:path/>
              <v:fill on="t" color2="#FFFFFF" focussize="0,0"/>
              <v:stroke color="#000000" joinstyle="miter"/>
              <v:imagedata o:title=""/>
              <o:lock v:ext="edit" aspectratio="f"/>
            </v:shape>
            <v:shape id="_x0000_s8129" o:spid="_x0000_s8129" o:spt="202" type="#_x0000_t202" style="position:absolute;left:5492;top:4745;height:468;width:1260;" fillcolor="#FFFFFF" filled="t" stroked="t" coordsize="21600,21600">
              <v:path/>
              <v:fill on="t" color2="#FFFFFF" focussize="0,0"/>
              <v:stroke color="#FFFFFF" joinstyle="miter"/>
              <v:imagedata o:title=""/>
              <o:lock v:ext="edit" aspectratio="f"/>
              <v:textbox inset="0mm,1.27mm,0mm,1.27mm">
                <w:txbxContent>
                  <w:p>
                    <w:pPr>
                      <w:spacing w:line="240" w:lineRule="exact"/>
                      <w:jc w:val="center"/>
                      <w:rPr>
                        <w:rFonts w:eastAsia="宋体"/>
                        <w:sz w:val="21"/>
                        <w:szCs w:val="21"/>
                      </w:rPr>
                    </w:pPr>
                    <w:r>
                      <w:rPr>
                        <w:rFonts w:hAnsi="宋体" w:eastAsia="宋体"/>
                        <w:sz w:val="21"/>
                        <w:szCs w:val="21"/>
                      </w:rPr>
                      <w:t>事故现场</w:t>
                    </w:r>
                  </w:p>
                </w:txbxContent>
              </v:textbox>
            </v:shape>
            <v:rect id="_x0000_s8130" o:spid="_x0000_s8130" o:spt="1" style="position:absolute;left:5702;top:6193;height:468;width:900;" fillcolor="#FFFFFF" filled="t" stroked="t" coordsize="21600,21600">
              <v:path/>
              <v:fill on="t" color2="#FFFFFF" focussize="0,0"/>
              <v:stroke color="#000000" joinstyle="miter"/>
              <v:imagedata o:title=""/>
              <o:lock v:ext="edit" aspectratio="f"/>
              <v:textbox>
                <w:txbxContent>
                  <w:p>
                    <w:pPr>
                      <w:spacing w:line="240" w:lineRule="exact"/>
                      <w:jc w:val="center"/>
                      <w:rPr>
                        <w:rFonts w:eastAsia="宋体"/>
                        <w:sz w:val="21"/>
                        <w:szCs w:val="21"/>
                      </w:rPr>
                    </w:pPr>
                    <w:r>
                      <w:rPr>
                        <w:rFonts w:hAnsi="宋体" w:eastAsia="宋体"/>
                        <w:sz w:val="21"/>
                        <w:szCs w:val="21"/>
                      </w:rPr>
                      <w:t>接警</w:t>
                    </w:r>
                  </w:p>
                </w:txbxContent>
              </v:textbox>
            </v:rect>
            <v:rect id="_x0000_s8131" o:spid="_x0000_s8131" o:spt="1" style="position:absolute;left:4802;top:7281;height:468;width:2880;" fillcolor="#FFFFFF" filled="t" stroked="t" coordsize="21600,21600">
              <v:path/>
              <v:fill on="t" color2="#FFFFFF" focussize="0,0"/>
              <v:stroke color="#000000" joinstyle="miter"/>
              <v:imagedata o:title=""/>
              <o:lock v:ext="edit" aspectratio="f"/>
              <v:textbox inset="0mm,1.27mm,0mm,1.27mm">
                <w:txbxContent>
                  <w:p>
                    <w:pPr>
                      <w:spacing w:line="240" w:lineRule="exact"/>
                      <w:jc w:val="center"/>
                      <w:rPr>
                        <w:rFonts w:eastAsia="宋体"/>
                        <w:sz w:val="21"/>
                        <w:szCs w:val="21"/>
                      </w:rPr>
                    </w:pPr>
                    <w:r>
                      <w:rPr>
                        <w:rFonts w:hAnsi="宋体" w:eastAsia="宋体"/>
                        <w:sz w:val="21"/>
                        <w:szCs w:val="21"/>
                      </w:rPr>
                      <w:t>向应急救援</w:t>
                    </w:r>
                    <w:r>
                      <w:rPr>
                        <w:rFonts w:hint="eastAsia" w:hAnsi="宋体"/>
                        <w:sz w:val="21"/>
                        <w:szCs w:val="21"/>
                        <w:lang w:eastAsia="zh-CN"/>
                      </w:rPr>
                      <w:t>指挥部</w:t>
                    </w:r>
                    <w:r>
                      <w:rPr>
                        <w:rFonts w:hAnsi="宋体" w:eastAsia="宋体"/>
                        <w:sz w:val="21"/>
                        <w:szCs w:val="21"/>
                      </w:rPr>
                      <w:t>报告</w:t>
                    </w:r>
                  </w:p>
                </w:txbxContent>
              </v:textbox>
            </v:rect>
            <v:rect id="_x0000_s8132" o:spid="_x0000_s8132" o:spt="1" style="position:absolute;left:5342;top:8363;height:905;width:1620;" fillcolor="#FFFFFF" filled="t" stroked="t" coordsize="21600,21600">
              <v:path/>
              <v:fill on="t" color2="#FFFFFF" focussize="0,0"/>
              <v:stroke color="#000000" joinstyle="miter"/>
              <v:imagedata o:title=""/>
              <o:lock v:ext="edit" aspectratio="f"/>
              <v:textbox inset="0mm,1.27mm,0mm,1.27mm">
                <w:txbxContent>
                  <w:p>
                    <w:pPr>
                      <w:spacing w:line="360" w:lineRule="auto"/>
                      <w:jc w:val="center"/>
                      <w:rPr>
                        <w:rFonts w:eastAsia="宋体"/>
                        <w:sz w:val="21"/>
                        <w:szCs w:val="21"/>
                      </w:rPr>
                    </w:pPr>
                    <w:r>
                      <w:rPr>
                        <w:rFonts w:hAnsi="宋体" w:eastAsia="宋体"/>
                        <w:sz w:val="21"/>
                        <w:szCs w:val="21"/>
                      </w:rPr>
                      <w:t>警情判断是否启动本预案？</w:t>
                    </w:r>
                  </w:p>
                </w:txbxContent>
              </v:textbox>
            </v:rect>
            <v:rect id="_x0000_s8133" o:spid="_x0000_s8133" o:spt="1" style="position:absolute;left:5522;top:9916;height:468;width:1440;" fillcolor="#FFFFFF" filled="t" stroked="t" coordsize="21600,21600">
              <v:path/>
              <v:fill on="t" color2="#FFFFFF" focussize="0,0"/>
              <v:stroke color="#000000" joinstyle="miter"/>
              <v:imagedata o:title=""/>
              <o:lock v:ext="edit" aspectratio="f"/>
              <v:textbox>
                <w:txbxContent>
                  <w:p>
                    <w:pPr>
                      <w:spacing w:line="240" w:lineRule="exact"/>
                      <w:jc w:val="center"/>
                      <w:rPr>
                        <w:rFonts w:eastAsia="宋体"/>
                        <w:sz w:val="21"/>
                        <w:szCs w:val="21"/>
                      </w:rPr>
                    </w:pPr>
                    <w:r>
                      <w:rPr>
                        <w:rFonts w:hAnsi="宋体" w:eastAsia="宋体"/>
                        <w:sz w:val="21"/>
                        <w:szCs w:val="21"/>
                      </w:rPr>
                      <w:t>启动预案</w:t>
                    </w:r>
                  </w:p>
                </w:txbxContent>
              </v:textbox>
            </v:rect>
            <v:rect id="_x0000_s8134" o:spid="_x0000_s8134" o:spt="1" style="position:absolute;left:5297;top:11004;height:468;width:2025;" fillcolor="#FFFFFF" filled="t" stroked="t" coordsize="21600,21600">
              <v:path/>
              <v:fill on="t" color2="#FFFFFF" focussize="0,0"/>
              <v:stroke color="#000000" joinstyle="miter"/>
              <v:imagedata o:title=""/>
              <o:lock v:ext="edit" aspectratio="f"/>
              <v:textbox inset="0mm,1.27mm,0mm,1.27mm">
                <w:txbxContent>
                  <w:p>
                    <w:pPr>
                      <w:spacing w:line="240" w:lineRule="exact"/>
                      <w:jc w:val="center"/>
                      <w:rPr>
                        <w:rFonts w:eastAsia="宋体"/>
                        <w:sz w:val="21"/>
                        <w:szCs w:val="21"/>
                      </w:rPr>
                    </w:pPr>
                    <w:r>
                      <w:rPr>
                        <w:rFonts w:hAnsi="宋体" w:eastAsia="宋体"/>
                        <w:sz w:val="21"/>
                        <w:szCs w:val="21"/>
                      </w:rPr>
                      <w:t>救援抢险行动</w:t>
                    </w:r>
                  </w:p>
                </w:txbxContent>
              </v:textbox>
            </v:rect>
            <v:rect id="_x0000_s8135" o:spid="_x0000_s8135" o:spt="1" style="position:absolute;left:5522;top:12086;height:468;width:1440;" fillcolor="#FFFFFF" filled="t" stroked="t" coordsize="21600,21600">
              <v:path/>
              <v:fill on="t" color2="#FFFFFF" focussize="0,0"/>
              <v:stroke color="#000000" joinstyle="miter"/>
              <v:imagedata o:title=""/>
              <o:lock v:ext="edit" aspectratio="f"/>
              <v:textbox inset="0mm,1.27mm,0mm,1.27mm">
                <w:txbxContent>
                  <w:p>
                    <w:pPr>
                      <w:spacing w:line="240" w:lineRule="exact"/>
                      <w:jc w:val="center"/>
                      <w:rPr>
                        <w:rFonts w:hint="eastAsia" w:eastAsia="宋体"/>
                        <w:sz w:val="21"/>
                        <w:szCs w:val="21"/>
                      </w:rPr>
                    </w:pPr>
                    <w:r>
                      <w:rPr>
                        <w:rFonts w:hAnsi="宋体" w:eastAsia="宋体"/>
                        <w:sz w:val="21"/>
                        <w:szCs w:val="21"/>
                      </w:rPr>
                      <w:t>控制事态</w:t>
                    </w:r>
                    <w:r>
                      <w:rPr>
                        <w:rFonts w:hint="eastAsia" w:hAnsi="宋体" w:eastAsia="宋体"/>
                        <w:sz w:val="21"/>
                        <w:szCs w:val="21"/>
                      </w:rPr>
                      <w:t>？</w:t>
                    </w:r>
                  </w:p>
                </w:txbxContent>
              </v:textbox>
            </v:rect>
            <v:rect id="_x0000_s8136" o:spid="_x0000_s8136" o:spt="1" style="position:absolute;left:5522;top:13225;height:468;width:1440;" fillcolor="#FFFFFF" filled="t" stroked="t" coordsize="21600,21600">
              <v:path/>
              <v:fill on="t" color2="#FFFFFF" focussize="0,0"/>
              <v:stroke color="#000000" joinstyle="miter"/>
              <v:imagedata o:title=""/>
              <o:lock v:ext="edit" aspectratio="f"/>
              <v:textbox>
                <w:txbxContent>
                  <w:p>
                    <w:pPr>
                      <w:spacing w:line="240" w:lineRule="exact"/>
                      <w:jc w:val="center"/>
                      <w:rPr>
                        <w:rFonts w:eastAsia="宋体"/>
                        <w:sz w:val="21"/>
                        <w:szCs w:val="21"/>
                      </w:rPr>
                    </w:pPr>
                    <w:r>
                      <w:rPr>
                        <w:rFonts w:hAnsi="宋体" w:eastAsia="宋体"/>
                        <w:sz w:val="21"/>
                        <w:szCs w:val="21"/>
                      </w:rPr>
                      <w:t>后期处置</w:t>
                    </w:r>
                  </w:p>
                </w:txbxContent>
              </v:textbox>
            </v:rect>
            <v:rect id="_x0000_s8137" o:spid="_x0000_s8137" o:spt="1" style="position:absolute;left:5342;top:14367;height:780;width:1980;" fillcolor="#FFFFFF" filled="t" stroked="t" coordsize="21600,21600">
              <v:path/>
              <v:fill on="t" color2="#FFFFFF" focussize="0,0"/>
              <v:stroke color="#000000" joinstyle="miter"/>
              <v:imagedata o:title=""/>
              <o:lock v:ext="edit" aspectratio="f"/>
              <v:textbox>
                <w:txbxContent>
                  <w:p>
                    <w:pPr>
                      <w:spacing w:line="240" w:lineRule="exact"/>
                      <w:rPr>
                        <w:rFonts w:eastAsia="宋体"/>
                        <w:sz w:val="21"/>
                        <w:szCs w:val="21"/>
                      </w:rPr>
                    </w:pPr>
                    <w:r>
                      <w:rPr>
                        <w:rFonts w:hAnsi="宋体" w:eastAsia="宋体"/>
                        <w:sz w:val="21"/>
                        <w:szCs w:val="21"/>
                      </w:rPr>
                      <w:t>结束应急救援行动，关闭预案</w:t>
                    </w:r>
                  </w:p>
                  <w:p>
                    <w:pPr>
                      <w:adjustRightInd w:val="0"/>
                      <w:snapToGrid w:val="0"/>
                      <w:spacing w:line="240" w:lineRule="atLeast"/>
                      <w:rPr>
                        <w:rFonts w:hint="eastAsia" w:ascii="宋体" w:hAnsi="宋体" w:eastAsia="宋体"/>
                        <w:sz w:val="21"/>
                        <w:szCs w:val="21"/>
                      </w:rPr>
                    </w:pPr>
                  </w:p>
                </w:txbxContent>
              </v:textbox>
            </v:rect>
            <v:shape id="_x0000_s8138" o:spid="_x0000_s8138" style="position:absolute;left:6242;top:5468;height:780;width:1;" filled="f" stroked="t" coordsize="1,780" path="m0,0hal1,780hae">
              <v:path arrowok="t"/>
              <v:fill on="f" focussize="0,0"/>
              <v:stroke color="#000000" endarrow="block"/>
              <v:imagedata o:title=""/>
              <o:lock v:ext="edit" aspectratio="f"/>
            </v:shape>
            <v:shape id="_x0000_s8139" o:spid="_x0000_s8139" style="position:absolute;left:6221;top:6708;height:540;width:15;" filled="f" stroked="t" coordsize="15,540" path="m15,0hal0,540hae">
              <v:path arrowok="t"/>
              <v:fill on="f" focussize="0,0"/>
              <v:stroke color="#000000" endarrow="block"/>
              <v:imagedata o:title=""/>
              <o:lock v:ext="edit" aspectratio="f"/>
            </v:shape>
            <v:shape id="_x0000_s8140" o:spid="_x0000_s8140" style="position:absolute;left:6236;top:7744;height:615;width:1;" filled="f" stroked="t" coordsize="1,615" path="m0,0hal0,615hae">
              <v:path arrowok="t"/>
              <v:fill on="f" focussize="0,0"/>
              <v:stroke color="#000000" endarrow="block"/>
              <v:imagedata o:title=""/>
              <o:lock v:ext="edit" aspectratio="f"/>
            </v:shape>
            <v:shape id="_x0000_s8141" o:spid="_x0000_s8141" style="position:absolute;left:6243;top:9273;height:697;width:8;" filled="f" stroked="t" coordsize="8,697" path="m8,0hal0,697hae">
              <v:path arrowok="t"/>
              <v:fill on="f" focussize="0,0"/>
              <v:stroke color="#000000" endarrow="block"/>
              <v:imagedata o:title=""/>
              <o:lock v:ext="edit" aspectratio="f"/>
            </v:shape>
            <v:shape id="_x0000_s8142" o:spid="_x0000_s8142" style="position:absolute;left:6236;top:10428;height:555;width:15;" filled="f" stroked="t" coordsize="15,555" path="m0,0hal15,555hae">
              <v:path arrowok="t"/>
              <v:fill on="f" focussize="0,0"/>
              <v:stroke color="#000000" endarrow="block"/>
              <v:imagedata o:title=""/>
              <o:lock v:ext="edit" aspectratio="f"/>
            </v:shape>
            <v:shape id="_x0000_s8143" o:spid="_x0000_s8143" style="position:absolute;left:6221;top:11494;height:570;width:1;" filled="f" stroked="t" coordsize="1,570" path="m0,0hal0,570hae">
              <v:path arrowok="t"/>
              <v:fill on="f" focussize="0,0"/>
              <v:stroke color="#000000" endarrow="block"/>
              <v:imagedata o:title=""/>
              <o:lock v:ext="edit" aspectratio="f"/>
            </v:shape>
            <v:shape id="_x0000_s8144" o:spid="_x0000_s8144" style="position:absolute;left:6236;top:12543;height:615;width:1;" filled="f" stroked="t" coordsize="1,615" path="m0,0hal0,615hae">
              <v:path arrowok="t"/>
              <v:fill on="f" focussize="0,0"/>
              <v:stroke color="#000000" endarrow="block"/>
              <v:imagedata o:title=""/>
              <o:lock v:ext="edit" aspectratio="f"/>
            </v:shape>
            <v:shape id="_x0000_s8145" o:spid="_x0000_s8145" style="position:absolute;left:6236;top:13699;height:645;width:1;" filled="f" stroked="t" coordsize="1,645" path="m0,0hal0,645hae">
              <v:path arrowok="t"/>
              <v:fill on="f" focussize="0,0"/>
              <v:stroke color="#000000" endarrow="block"/>
              <v:imagedata o:title=""/>
              <o:lock v:ext="edit" aspectratio="f"/>
            </v:shape>
            <v:line id="_x0000_s8146" o:spid="_x0000_s8146" o:spt="20" style="position:absolute;left:4802;top:13483;flip:x;height:0;width:720;" filled="f" stroked="t" coordsize="21600,21600">
              <v:path arrowok="t"/>
              <v:fill on="f" focussize="0,0"/>
              <v:stroke color="#000000" endarrow="block"/>
              <v:imagedata o:title=""/>
              <o:lock v:ext="edit" aspectratio="f"/>
            </v:line>
            <v:rect id="_x0000_s8147" o:spid="_x0000_s8147" o:spt="1" style="position:absolute;left:2642;top:12811;height:468;width:1440;" fillcolor="#FFFFFF" filled="t" stroked="t" coordsize="21600,21600">
              <v:path/>
              <v:fill on="t" color2="#FFFFFF" focussize="0,0"/>
              <v:stroke color="#000000" joinstyle="miter"/>
              <v:imagedata o:title=""/>
              <o:lock v:ext="edit" aspectratio="f"/>
              <v:textbox>
                <w:txbxContent>
                  <w:p>
                    <w:pPr>
                      <w:spacing w:line="240" w:lineRule="exact"/>
                      <w:jc w:val="center"/>
                      <w:rPr>
                        <w:rFonts w:eastAsia="宋体"/>
                        <w:sz w:val="21"/>
                        <w:szCs w:val="21"/>
                      </w:rPr>
                    </w:pPr>
                    <w:r>
                      <w:rPr>
                        <w:rFonts w:hAnsi="宋体" w:eastAsia="宋体"/>
                        <w:sz w:val="21"/>
                        <w:szCs w:val="21"/>
                      </w:rPr>
                      <w:t>解除警戒</w:t>
                    </w:r>
                  </w:p>
                </w:txbxContent>
              </v:textbox>
            </v:rect>
            <v:rect id="_x0000_s8148" o:spid="_x0000_s8148" o:spt="1" style="position:absolute;left:2642;top:13327;height:468;width:1440;" fillcolor="#FFFFFF" filled="t" stroked="t" coordsize="21600,21600">
              <v:path/>
              <v:fill on="t" color2="#FFFFFF" focussize="0,0"/>
              <v:stroke color="#000000" joinstyle="miter"/>
              <v:imagedata o:title=""/>
              <o:lock v:ext="edit" aspectratio="f"/>
              <v:textbox>
                <w:txbxContent>
                  <w:p>
                    <w:pPr>
                      <w:spacing w:line="240" w:lineRule="exact"/>
                      <w:jc w:val="center"/>
                      <w:rPr>
                        <w:rFonts w:eastAsia="宋体"/>
                        <w:sz w:val="21"/>
                        <w:szCs w:val="21"/>
                      </w:rPr>
                    </w:pPr>
                    <w:r>
                      <w:rPr>
                        <w:rFonts w:hAnsi="宋体" w:eastAsia="宋体"/>
                        <w:sz w:val="21"/>
                        <w:szCs w:val="21"/>
                      </w:rPr>
                      <w:t>善后处理</w:t>
                    </w:r>
                  </w:p>
                </w:txbxContent>
              </v:textbox>
            </v:rect>
            <v:rect id="_x0000_s8149" o:spid="_x0000_s8149" o:spt="1" style="position:absolute;left:2642;top:13896;height:468;width:1440;" fillcolor="#FFFFFF" filled="t" stroked="t" coordsize="21600,21600">
              <v:path/>
              <v:fill on="t" color2="#FFFFFF" focussize="0,0"/>
              <v:stroke color="#000000" joinstyle="miter"/>
              <v:imagedata o:title=""/>
              <o:lock v:ext="edit" aspectratio="f"/>
              <v:textbox>
                <w:txbxContent>
                  <w:p>
                    <w:pPr>
                      <w:spacing w:line="240" w:lineRule="exact"/>
                      <w:jc w:val="center"/>
                      <w:rPr>
                        <w:rFonts w:eastAsia="宋体"/>
                        <w:sz w:val="21"/>
                        <w:szCs w:val="21"/>
                      </w:rPr>
                    </w:pPr>
                    <w:r>
                      <w:rPr>
                        <w:rFonts w:hAnsi="宋体" w:eastAsia="宋体"/>
                        <w:sz w:val="21"/>
                        <w:szCs w:val="21"/>
                      </w:rPr>
                      <w:t>事故调查</w:t>
                    </w:r>
                  </w:p>
                </w:txbxContent>
              </v:textbox>
            </v:rect>
            <v:line id="_x0000_s8150" o:spid="_x0000_s8150" o:spt="20" style="position:absolute;left:7322;top:14568;height:0;width:1080;" filled="f" stroked="t" coordsize="21600,21600">
              <v:path arrowok="t"/>
              <v:fill on="f" focussize="0,0"/>
              <v:stroke color="#000000" endarrow="block"/>
              <v:imagedata o:title=""/>
              <o:lock v:ext="edit" aspectratio="f"/>
            </v:line>
            <v:rect id="_x0000_s8151" o:spid="_x0000_s8151" o:spt="1" style="position:absolute;left:8387;top:14367;height:468;width:1440;" fillcolor="#FFFFFF" filled="t" stroked="t" coordsize="21600,21600">
              <v:path/>
              <v:fill on="t" color2="#FFFFFF" focussize="0,0"/>
              <v:stroke color="#000000" joinstyle="miter"/>
              <v:imagedata o:title=""/>
              <o:lock v:ext="edit" aspectratio="f"/>
              <v:textbox>
                <w:txbxContent>
                  <w:p>
                    <w:pPr>
                      <w:spacing w:line="240" w:lineRule="exact"/>
                      <w:jc w:val="center"/>
                      <w:rPr>
                        <w:rFonts w:eastAsia="宋体"/>
                        <w:sz w:val="21"/>
                        <w:szCs w:val="21"/>
                      </w:rPr>
                    </w:pPr>
                    <w:r>
                      <w:rPr>
                        <w:rFonts w:hAnsi="宋体" w:eastAsia="宋体"/>
                        <w:sz w:val="21"/>
                        <w:szCs w:val="21"/>
                      </w:rPr>
                      <w:t>总结</w:t>
                    </w:r>
                  </w:p>
                </w:txbxContent>
              </v:textbox>
            </v:rect>
            <v:shape id="_x0000_s8152" o:spid="_x0000_s8152" style="position:absolute;left:4766;top:12909;height:1254;width:6;" filled="f" stroked="t" coordsize="6,1254" path="m6,0hal0,1254hae">
              <v:path arrowok="t"/>
              <v:fill on="f" focussize="0,0"/>
              <v:stroke color="#000000"/>
              <v:imagedata o:title=""/>
              <o:lock v:ext="edit" aspectratio="f"/>
            </v:shape>
            <v:line id="_x0000_s8153" o:spid="_x0000_s8153" o:spt="20" style="position:absolute;left:4082;top:12913;flip:x;height:0;width:720;" filled="f" stroked="t" coordsize="21600,21600">
              <v:path arrowok="t"/>
              <v:fill on="f" focussize="0,0"/>
              <v:stroke color="#000000" endarrow="block"/>
              <v:imagedata o:title=""/>
              <o:lock v:ext="edit" aspectratio="f"/>
            </v:line>
            <v:line id="_x0000_s8154" o:spid="_x0000_s8154" o:spt="20" style="position:absolute;left:4082;top:13483;flip:x;height:0;width:720;" filled="f" stroked="t" coordsize="21600,21600">
              <v:path arrowok="t"/>
              <v:fill on="f" focussize="0,0"/>
              <v:stroke color="#000000" endarrow="block"/>
              <v:imagedata o:title=""/>
              <o:lock v:ext="edit" aspectratio="f"/>
            </v:line>
            <v:line id="_x0000_s8155" o:spid="_x0000_s8155" o:spt="20" style="position:absolute;left:4082;top:14154;flip:x;height:0;width:720;" filled="f" stroked="t" coordsize="21600,21600">
              <v:path arrowok="t"/>
              <v:fill on="f" focussize="0,0"/>
              <v:stroke color="#000000" endarrow="block"/>
              <v:imagedata o:title=""/>
              <o:lock v:ext="edit" aspectratio="f"/>
            </v:line>
            <v:rect id="_x0000_s8156" o:spid="_x0000_s8156" o:spt="1" style="position:absolute;left:6422;top:12655;height:468;width:540;" fillcolor="#FFFFFF" filled="t" stroked="t" coordsize="21600,21600">
              <v:path/>
              <v:fill on="t" color2="#FFFFFF" focussize="0,0"/>
              <v:stroke color="#FFFFFF" joinstyle="miter"/>
              <v:imagedata o:title=""/>
              <o:lock v:ext="edit" aspectratio="f"/>
              <v:textbox>
                <w:txbxContent>
                  <w:p>
                    <w:pPr>
                      <w:spacing w:line="240" w:lineRule="exact"/>
                      <w:jc w:val="center"/>
                      <w:rPr>
                        <w:rFonts w:eastAsia="宋体"/>
                        <w:sz w:val="21"/>
                        <w:szCs w:val="21"/>
                      </w:rPr>
                    </w:pPr>
                    <w:r>
                      <w:rPr>
                        <w:rFonts w:hAnsi="宋体" w:eastAsia="宋体"/>
                        <w:sz w:val="21"/>
                        <w:szCs w:val="21"/>
                      </w:rPr>
                      <w:t>是</w:t>
                    </w:r>
                  </w:p>
                </w:txbxContent>
              </v:textbox>
            </v:rect>
            <v:rect id="_x0000_s8157" o:spid="_x0000_s8157" o:spt="1" style="position:absolute;left:2267;top:10935;height:468;width:1815;" fillcolor="#FFFFFF" filled="t" stroked="t" coordsize="21600,21600">
              <v:path/>
              <v:fill on="t" color2="#FFFFFF" focussize="0,0"/>
              <v:stroke color="#000000" joinstyle="miter"/>
              <v:imagedata o:title=""/>
              <o:lock v:ext="edit" aspectratio="f"/>
              <v:textbox>
                <w:txbxContent>
                  <w:p>
                    <w:pPr>
                      <w:spacing w:line="240" w:lineRule="exact"/>
                      <w:jc w:val="center"/>
                      <w:rPr>
                        <w:rFonts w:eastAsia="宋体"/>
                        <w:sz w:val="21"/>
                        <w:szCs w:val="21"/>
                      </w:rPr>
                    </w:pPr>
                    <w:r>
                      <w:rPr>
                        <w:rFonts w:hint="eastAsia" w:hAnsi="宋体" w:eastAsia="宋体"/>
                        <w:sz w:val="21"/>
                        <w:szCs w:val="21"/>
                      </w:rPr>
                      <w:t>向</w:t>
                    </w:r>
                    <w:r>
                      <w:rPr>
                        <w:rFonts w:hint="eastAsia" w:hAnsi="宋体"/>
                        <w:sz w:val="21"/>
                        <w:szCs w:val="21"/>
                        <w:lang w:eastAsia="zh-CN"/>
                      </w:rPr>
                      <w:t>上级</w:t>
                    </w:r>
                    <w:r>
                      <w:rPr>
                        <w:rFonts w:hAnsi="宋体" w:eastAsia="宋体"/>
                        <w:sz w:val="21"/>
                        <w:szCs w:val="21"/>
                      </w:rPr>
                      <w:t>申请增援</w:t>
                    </w:r>
                  </w:p>
                </w:txbxContent>
              </v:textbox>
            </v:rect>
            <v:rect id="_x0000_s8158" o:spid="_x0000_s8158" o:spt="1" style="position:absolute;left:4622;top:11920;height:468;width:540;" fillcolor="#FFFFFF" filled="t" stroked="t" coordsize="21600,21600">
              <v:path/>
              <v:fill on="t" color2="#FFFFFF" focussize="0,0"/>
              <v:stroke color="#FFFFFF" joinstyle="miter"/>
              <v:imagedata o:title=""/>
              <o:lock v:ext="edit" aspectratio="f"/>
              <v:textbox>
                <w:txbxContent>
                  <w:p>
                    <w:pPr>
                      <w:spacing w:line="240" w:lineRule="exact"/>
                      <w:jc w:val="center"/>
                      <w:rPr>
                        <w:rFonts w:eastAsia="宋体"/>
                        <w:sz w:val="21"/>
                        <w:szCs w:val="21"/>
                      </w:rPr>
                    </w:pPr>
                    <w:r>
                      <w:rPr>
                        <w:rFonts w:hAnsi="宋体" w:eastAsia="宋体"/>
                        <w:sz w:val="21"/>
                        <w:szCs w:val="21"/>
                      </w:rPr>
                      <w:t>否</w:t>
                    </w:r>
                  </w:p>
                </w:txbxContent>
              </v:textbox>
            </v:rect>
            <v:line id="_x0000_s8159" o:spid="_x0000_s8159" o:spt="20" style="position:absolute;left:4802;top:10018;flip:x;height:0;width:720;" filled="f" stroked="t" coordsize="21600,21600">
              <v:path arrowok="t"/>
              <v:fill on="f" focussize="0,0"/>
              <v:stroke color="#000000" endarrow="block"/>
              <v:imagedata o:title=""/>
              <o:lock v:ext="edit" aspectratio="f"/>
            </v:line>
            <v:rect id="_x0000_s8160" o:spid="_x0000_s8160" o:spt="1" style="position:absolute;left:2268;top:8956;height:624;width:1814;" fillcolor="#FFFFFF" filled="t" stroked="t" coordsize="21600,21600">
              <v:path/>
              <v:fill on="t" color2="#FFFFFF" focussize="0,0"/>
              <v:stroke color="#000000" joinstyle="miter"/>
              <v:imagedata o:title=""/>
              <o:lock v:ext="edit" aspectratio="f"/>
              <v:textbox inset="0mm,1.27mm,0mm,1.27mm">
                <w:txbxContent>
                  <w:p>
                    <w:pPr>
                      <w:jc w:val="center"/>
                      <w:rPr>
                        <w:rFonts w:hint="eastAsia" w:ascii="宋体" w:hAnsi="宋体" w:eastAsia="宋体"/>
                        <w:sz w:val="21"/>
                        <w:szCs w:val="21"/>
                        <w:lang w:eastAsia="zh-CN"/>
                      </w:rPr>
                    </w:pPr>
                    <w:r>
                      <w:rPr>
                        <w:rFonts w:hint="eastAsia" w:ascii="宋体" w:hAnsi="宋体"/>
                        <w:sz w:val="21"/>
                        <w:szCs w:val="21"/>
                        <w:lang w:eastAsia="zh-CN"/>
                      </w:rPr>
                      <w:t>现场应急指挥部</w:t>
                    </w:r>
                  </w:p>
                </w:txbxContent>
              </v:textbox>
            </v:rect>
            <v:rect id="_x0000_s8161" o:spid="_x0000_s8161" o:spt="1" style="position:absolute;left:2282;top:9760;height:468;width:1800;" fillcolor="#FFFFFF" filled="t" stroked="t" coordsize="21600,21600">
              <v:path/>
              <v:fill on="t" color2="#FFFFFF" focussize="0,0"/>
              <v:stroke color="#000000" joinstyle="miter"/>
              <v:imagedata o:title=""/>
              <o:lock v:ext="edit" aspectratio="f"/>
              <v:textbox>
                <w:txbxContent>
                  <w:p>
                    <w:pPr>
                      <w:spacing w:line="240" w:lineRule="exact"/>
                      <w:jc w:val="center"/>
                      <w:rPr>
                        <w:rFonts w:eastAsia="宋体"/>
                        <w:sz w:val="21"/>
                        <w:szCs w:val="21"/>
                      </w:rPr>
                    </w:pPr>
                    <w:r>
                      <w:rPr>
                        <w:rFonts w:hAnsi="宋体" w:eastAsia="宋体"/>
                        <w:sz w:val="21"/>
                        <w:szCs w:val="21"/>
                      </w:rPr>
                      <w:t>信息网络开通</w:t>
                    </w:r>
                  </w:p>
                </w:txbxContent>
              </v:textbox>
            </v:rect>
            <v:rect id="_x0000_s8162" o:spid="_x0000_s8162" o:spt="1" style="position:absolute;left:2282;top:10330;height:468;width:1800;" fillcolor="#FFFFFF" filled="t" stroked="t" coordsize="21600,21600">
              <v:path/>
              <v:fill on="t" color2="#FFFFFF" focussize="0,0"/>
              <v:stroke color="#000000" joinstyle="miter"/>
              <v:imagedata o:title=""/>
              <o:lock v:ext="edit" aspectratio="f"/>
              <v:textbox inset="0mm,1.27mm,0mm,1.27mm">
                <w:txbxContent>
                  <w:p>
                    <w:pPr>
                      <w:spacing w:line="240" w:lineRule="exact"/>
                      <w:jc w:val="center"/>
                      <w:rPr>
                        <w:rFonts w:eastAsia="宋体"/>
                        <w:sz w:val="21"/>
                        <w:szCs w:val="21"/>
                      </w:rPr>
                    </w:pPr>
                    <w:r>
                      <w:rPr>
                        <w:rFonts w:hAnsi="宋体" w:eastAsia="宋体"/>
                        <w:sz w:val="21"/>
                        <w:szCs w:val="21"/>
                      </w:rPr>
                      <w:t>应急资源调配</w:t>
                    </w:r>
                  </w:p>
                </w:txbxContent>
              </v:textbox>
            </v:rect>
            <v:shape id="_x0000_s8163" o:spid="_x0000_s8163" style="position:absolute;left:4796;top:9346;height:1262;width:6;" filled="f" stroked="t" coordsize="6,1262" path="m6,0hal0,1262hae">
              <v:path arrowok="t"/>
              <v:fill on="f" focussize="0,0"/>
              <v:stroke color="#000000"/>
              <v:imagedata o:title=""/>
              <o:lock v:ext="edit" aspectratio="f"/>
            </v:shape>
            <v:line id="_x0000_s8164" o:spid="_x0000_s8164" o:spt="20" style="position:absolute;left:4082;top:9346;flip:x;height:0;width:720;" filled="f" stroked="t" coordsize="21600,21600">
              <v:path arrowok="t"/>
              <v:fill on="f" focussize="0,0"/>
              <v:stroke color="#000000" endarrow="block"/>
              <v:imagedata o:title=""/>
              <o:lock v:ext="edit" aspectratio="f"/>
            </v:line>
            <v:line id="_x0000_s8165" o:spid="_x0000_s8165" o:spt="20" style="position:absolute;left:4082;top:10018;flip:x;height:0;width:720;" filled="f" stroked="t" coordsize="21600,21600">
              <v:path arrowok="t"/>
              <v:fill on="f" focussize="0,0"/>
              <v:stroke color="#000000" endarrow="block"/>
              <v:imagedata o:title=""/>
              <o:lock v:ext="edit" aspectratio="f"/>
            </v:line>
            <v:line id="_x0000_s8166" o:spid="_x0000_s8166" o:spt="20" style="position:absolute;left:4082;top:10587;flip:x;height:0;width:720;" filled="f" stroked="t" coordsize="21600,21600">
              <v:path arrowok="t"/>
              <v:fill on="f" focussize="0,0"/>
              <v:stroke color="#000000" endarrow="block"/>
              <v:imagedata o:title=""/>
              <o:lock v:ext="edit" aspectratio="f"/>
            </v:line>
            <v:rect id="_x0000_s8167" o:spid="_x0000_s8167" o:spt="1" style="position:absolute;left:8942;top:9424;height:468;width:1440;" fillcolor="#FFFFFF" filled="t" stroked="t" coordsize="21600,21600">
              <v:path/>
              <v:fill on="t" color2="#FFFFFF" focussize="0,0"/>
              <v:stroke color="#000000" joinstyle="miter"/>
              <v:imagedata o:title=""/>
              <o:lock v:ext="edit" aspectratio="f"/>
              <v:textbox>
                <w:txbxContent>
                  <w:p>
                    <w:pPr>
                      <w:jc w:val="center"/>
                      <w:rPr>
                        <w:rFonts w:hint="eastAsia"/>
                        <w:lang w:eastAsia="zh-CN"/>
                      </w:rPr>
                    </w:pPr>
                    <w:r>
                      <w:rPr>
                        <w:rFonts w:hint="eastAsia" w:hAnsi="宋体"/>
                        <w:sz w:val="21"/>
                        <w:szCs w:val="21"/>
                        <w:lang w:eastAsia="zh-CN"/>
                      </w:rPr>
                      <w:t>警戒疏散</w:t>
                    </w:r>
                  </w:p>
                </w:txbxContent>
              </v:textbox>
            </v:rect>
            <v:rect id="_x0000_s8168" o:spid="_x0000_s8168" o:spt="1" style="position:absolute;left:8942;top:10048;height:468;width:1440;" fillcolor="#FFFFFF" filled="t" stroked="t" coordsize="21600,21600">
              <v:path/>
              <v:fill on="t" color2="#FFFFFF" focussize="0,0"/>
              <v:stroke color="#000000" joinstyle="miter"/>
              <v:imagedata o:title=""/>
              <o:lock v:ext="edit" aspectratio="f"/>
              <v:textbox>
                <w:txbxContent>
                  <w:p>
                    <w:pPr>
                      <w:spacing w:line="240" w:lineRule="exact"/>
                      <w:jc w:val="center"/>
                      <w:rPr>
                        <w:rFonts w:hint="eastAsia" w:eastAsia="宋体"/>
                        <w:sz w:val="21"/>
                        <w:szCs w:val="21"/>
                        <w:lang w:eastAsia="zh-CN"/>
                      </w:rPr>
                    </w:pPr>
                    <w:r>
                      <w:rPr>
                        <w:rFonts w:hint="eastAsia" w:hAnsi="宋体"/>
                        <w:sz w:val="21"/>
                        <w:szCs w:val="21"/>
                        <w:lang w:eastAsia="zh-CN"/>
                      </w:rPr>
                      <w:t>泄露控制</w:t>
                    </w:r>
                  </w:p>
                  <w:p/>
                </w:txbxContent>
              </v:textbox>
            </v:rect>
            <v:rect id="_x0000_s8169" o:spid="_x0000_s8169" o:spt="1" style="position:absolute;left:8942;top:10758;height:468;width:1425;" fillcolor="#FFFFFF" filled="t" stroked="t" coordsize="21600,21600">
              <v:path/>
              <v:fill on="t" color2="#FFFFFF" focussize="0,0"/>
              <v:stroke color="#000000" joinstyle="miter"/>
              <v:imagedata o:title=""/>
              <o:lock v:ext="edit" aspectratio="f"/>
              <v:textbox inset="0mm,1.27mm,0mm,1.27mm">
                <w:txbxContent>
                  <w:p>
                    <w:pPr>
                      <w:spacing w:line="240" w:lineRule="exact"/>
                      <w:jc w:val="center"/>
                      <w:rPr>
                        <w:rFonts w:eastAsia="宋体"/>
                        <w:sz w:val="21"/>
                        <w:szCs w:val="21"/>
                      </w:rPr>
                    </w:pPr>
                    <w:r>
                      <w:rPr>
                        <w:rFonts w:hint="eastAsia" w:hAnsi="宋体"/>
                        <w:sz w:val="21"/>
                        <w:szCs w:val="21"/>
                        <w:lang w:eastAsia="zh-CN"/>
                      </w:rPr>
                      <w:t>灭火抢修</w:t>
                    </w:r>
                  </w:p>
                  <w:p>
                    <w:pPr>
                      <w:rPr>
                        <w:rFonts w:hint="eastAsia"/>
                        <w:lang w:eastAsia="zh-CN"/>
                      </w:rPr>
                    </w:pPr>
                  </w:p>
                </w:txbxContent>
              </v:textbox>
            </v:rect>
            <v:rect id="_x0000_s8170" o:spid="_x0000_s8170" o:spt="1" style="position:absolute;left:8942;top:11452;height:468;width:1440;" fillcolor="#FFFFFF" filled="t" stroked="t" coordsize="21600,21600">
              <v:path/>
              <v:fill on="t" color2="#FFFFFF" focussize="0,0"/>
              <v:stroke color="#000000" joinstyle="miter"/>
              <v:imagedata o:title=""/>
              <o:lock v:ext="edit" aspectratio="f"/>
              <v:textbox>
                <w:txbxContent>
                  <w:p>
                    <w:pPr>
                      <w:spacing w:line="240" w:lineRule="exact"/>
                      <w:jc w:val="center"/>
                      <w:rPr>
                        <w:rFonts w:eastAsia="宋体"/>
                        <w:sz w:val="21"/>
                        <w:szCs w:val="21"/>
                      </w:rPr>
                    </w:pPr>
                    <w:r>
                      <w:rPr>
                        <w:rFonts w:hAnsi="宋体" w:eastAsia="宋体"/>
                        <w:sz w:val="21"/>
                        <w:szCs w:val="21"/>
                      </w:rPr>
                      <w:t>医疗救护</w:t>
                    </w:r>
                  </w:p>
                </w:txbxContent>
              </v:textbox>
            </v:rect>
            <v:rect id="_x0000_s8171" o:spid="_x0000_s8171" o:spt="1" style="position:absolute;left:8942;top:12076;height:468;width:1440;" fillcolor="#FFFFFF" filled="t" stroked="t" coordsize="21600,21600">
              <v:path/>
              <v:fill on="t" color2="#FFFFFF" focussize="0,0"/>
              <v:stroke color="#000000" joinstyle="miter"/>
              <v:imagedata o:title=""/>
              <o:lock v:ext="edit" aspectratio="f"/>
              <v:textbox>
                <w:txbxContent>
                  <w:p>
                    <w:pPr>
                      <w:spacing w:line="240" w:lineRule="exact"/>
                      <w:jc w:val="center"/>
                      <w:rPr>
                        <w:rFonts w:hint="eastAsia" w:eastAsia="宋体"/>
                        <w:sz w:val="21"/>
                        <w:szCs w:val="21"/>
                        <w:lang w:eastAsia="zh-CN"/>
                      </w:rPr>
                    </w:pPr>
                    <w:r>
                      <w:rPr>
                        <w:rFonts w:hAnsi="宋体" w:eastAsia="宋体"/>
                        <w:sz w:val="21"/>
                        <w:szCs w:val="21"/>
                      </w:rPr>
                      <w:t>人</w:t>
                    </w:r>
                    <w:r>
                      <w:rPr>
                        <w:rFonts w:hint="eastAsia" w:hAnsi="宋体"/>
                        <w:sz w:val="21"/>
                        <w:szCs w:val="21"/>
                        <w:lang w:eastAsia="zh-CN"/>
                      </w:rPr>
                      <w:t>员清点</w:t>
                    </w:r>
                  </w:p>
                </w:txbxContent>
              </v:textbox>
            </v:rect>
            <v:rect id="_x0000_s8172" o:spid="_x0000_s8172" o:spt="1" style="position:absolute;left:8942;top:12700;height:468;width:1440;" fillcolor="#FFFFFF" filled="t" stroked="t" coordsize="21600,21600">
              <v:path/>
              <v:fill on="t" color2="#FFFFFF" focussize="0,0"/>
              <v:stroke color="#000000" joinstyle="miter"/>
              <v:imagedata o:title=""/>
              <o:lock v:ext="edit" aspectratio="f"/>
              <v:textbox>
                <w:txbxContent>
                  <w:p>
                    <w:pPr>
                      <w:spacing w:line="240" w:lineRule="exact"/>
                      <w:jc w:val="center"/>
                      <w:rPr>
                        <w:rFonts w:eastAsia="宋体"/>
                        <w:sz w:val="21"/>
                        <w:szCs w:val="21"/>
                      </w:rPr>
                    </w:pPr>
                    <w:r>
                      <w:rPr>
                        <w:rFonts w:hAnsi="宋体" w:eastAsia="宋体"/>
                        <w:sz w:val="21"/>
                        <w:szCs w:val="21"/>
                      </w:rPr>
                      <w:t>现场监测</w:t>
                    </w:r>
                  </w:p>
                </w:txbxContent>
              </v:textbox>
            </v:rect>
            <v:rect id="_x0000_s8173" o:spid="_x0000_s8173" o:spt="1" style="position:absolute;left:8942;top:13324;height:468;width:1440;" fillcolor="#FFFFFF" filled="t" stroked="t" coordsize="21600,21600">
              <v:path/>
              <v:fill on="t" color2="#FFFFFF" focussize="0,0"/>
              <v:stroke color="#000000" joinstyle="miter"/>
              <v:imagedata o:title=""/>
              <o:lock v:ext="edit" aspectratio="f"/>
              <v:textbox>
                <w:txbxContent>
                  <w:p>
                    <w:pPr>
                      <w:spacing w:line="240" w:lineRule="exact"/>
                      <w:jc w:val="center"/>
                      <w:rPr>
                        <w:rFonts w:eastAsia="宋体"/>
                        <w:sz w:val="21"/>
                        <w:szCs w:val="21"/>
                      </w:rPr>
                    </w:pPr>
                    <w:r>
                      <w:rPr>
                        <w:rFonts w:hint="eastAsia" w:hAnsi="宋体"/>
                        <w:sz w:val="21"/>
                        <w:szCs w:val="21"/>
                        <w:lang w:eastAsia="zh-CN"/>
                      </w:rPr>
                      <w:t>技术</w:t>
                    </w:r>
                    <w:r>
                      <w:rPr>
                        <w:rFonts w:hAnsi="宋体" w:eastAsia="宋体"/>
                        <w:sz w:val="21"/>
                        <w:szCs w:val="21"/>
                      </w:rPr>
                      <w:t>支持</w:t>
                    </w:r>
                  </w:p>
                </w:txbxContent>
              </v:textbox>
            </v:rect>
            <v:rect id="_x0000_s8174" o:spid="_x0000_s8174" o:spt="1" style="position:absolute;left:8042;top:7278;height:468;width:1440;" fillcolor="#FFFFFF" filled="t" stroked="t" coordsize="21600,21600">
              <v:path/>
              <v:fill on="t" color2="#FFFFFF" focussize="0,0"/>
              <v:stroke color="#000000" joinstyle="miter"/>
              <v:imagedata o:title=""/>
              <o:lock v:ext="edit" aspectratio="f"/>
              <v:textbox>
                <w:txbxContent>
                  <w:p>
                    <w:pPr>
                      <w:spacing w:line="240" w:lineRule="exact"/>
                      <w:jc w:val="center"/>
                      <w:rPr>
                        <w:rFonts w:eastAsia="宋体"/>
                        <w:sz w:val="21"/>
                        <w:szCs w:val="21"/>
                      </w:rPr>
                    </w:pPr>
                    <w:r>
                      <w:rPr>
                        <w:rFonts w:hAnsi="宋体" w:eastAsia="宋体"/>
                        <w:sz w:val="21"/>
                        <w:szCs w:val="21"/>
                      </w:rPr>
                      <w:t>信息反馈</w:t>
                    </w:r>
                  </w:p>
                </w:txbxContent>
              </v:textbox>
            </v:rect>
            <v:line id="_x0000_s8175" o:spid="_x0000_s8175" o:spt="20" style="position:absolute;left:6602;top:6295;flip:x;height:0;width:2160;" filled="f" stroked="t" coordsize="21600,21600">
              <v:path arrowok="t"/>
              <v:fill on="f" focussize="0,0"/>
              <v:stroke color="#000000" endarrow="block"/>
              <v:imagedata o:title=""/>
              <o:lock v:ext="edit" aspectratio="f"/>
            </v:line>
            <v:line id="_x0000_s8176" o:spid="_x0000_s8176" o:spt="20" style="position:absolute;left:8042;top:9580;height:4056;width:1;" filled="f" stroked="t" coordsize="21600,21600">
              <v:path arrowok="t"/>
              <v:fill on="f" focussize="0,0"/>
              <v:stroke color="#000000"/>
              <v:imagedata o:title=""/>
              <o:lock v:ext="edit" aspectratio="f"/>
            </v:line>
            <v:line id="_x0000_s8177" o:spid="_x0000_s8177" o:spt="20" style="position:absolute;left:8042;top:9580;height:0;width:900;" filled="f" stroked="t" coordsize="21600,21600">
              <v:path arrowok="t"/>
              <v:fill on="f" focussize="0,0"/>
              <v:stroke color="#000000" endarrow="block"/>
              <v:imagedata o:title=""/>
              <o:lock v:ext="edit" aspectratio="f"/>
            </v:line>
            <v:line id="_x0000_s8178" o:spid="_x0000_s8178" o:spt="20" style="position:absolute;left:8042;top:10204;height:0;width:900;" filled="f" stroked="t" coordsize="21600,21600">
              <v:path arrowok="t"/>
              <v:fill on="f" focussize="0,0"/>
              <v:stroke color="#000000" endarrow="block"/>
              <v:imagedata o:title=""/>
              <o:lock v:ext="edit" aspectratio="f"/>
            </v:line>
            <v:line id="_x0000_s8179" o:spid="_x0000_s8179" o:spt="20" style="position:absolute;left:8042;top:10984;height:1;width:900;" filled="f" stroked="t" coordsize="21600,21600">
              <v:path arrowok="t"/>
              <v:fill on="f" focussize="0,0"/>
              <v:stroke color="#000000" endarrow="block"/>
              <v:imagedata o:title=""/>
              <o:lock v:ext="edit" aspectratio="f"/>
            </v:line>
            <v:line id="_x0000_s8180" o:spid="_x0000_s8180" o:spt="20" style="position:absolute;left:8042;top:11764;height:0;width:900;" filled="f" stroked="t" coordsize="21600,21600">
              <v:path arrowok="t"/>
              <v:fill on="f" focussize="0,0"/>
              <v:stroke color="#000000" endarrow="block"/>
              <v:imagedata o:title=""/>
              <o:lock v:ext="edit" aspectratio="f"/>
            </v:line>
            <v:line id="_x0000_s8181" o:spid="_x0000_s8181" o:spt="20" style="position:absolute;left:8042;top:12388;height:1;width:900;" filled="f" stroked="t" coordsize="21600,21600">
              <v:path arrowok="t"/>
              <v:fill on="f" focussize="0,0"/>
              <v:stroke color="#000000" endarrow="block"/>
              <v:imagedata o:title=""/>
              <o:lock v:ext="edit" aspectratio="f"/>
            </v:line>
            <v:line id="_x0000_s8182" o:spid="_x0000_s8182" o:spt="20" style="position:absolute;left:8042;top:13012;height:0;width:900;" filled="f" stroked="t" coordsize="21600,21600">
              <v:path arrowok="t"/>
              <v:fill on="f" focussize="0,0"/>
              <v:stroke color="#000000" endarrow="block"/>
              <v:imagedata o:title=""/>
              <o:lock v:ext="edit" aspectratio="f"/>
            </v:line>
            <v:line id="_x0000_s8183" o:spid="_x0000_s8183" o:spt="20" style="position:absolute;left:8042;top:13636;height:0;width:900;" filled="f" stroked="t" coordsize="21600,21600">
              <v:path arrowok="t"/>
              <v:fill on="f" focussize="0,0"/>
              <v:stroke color="#000000" endarrow="block"/>
              <v:imagedata o:title=""/>
              <o:lock v:ext="edit" aspectratio="f"/>
            </v:line>
            <v:line id="_x0000_s8184" o:spid="_x0000_s8184" o:spt="20" style="position:absolute;left:3542;top:12388;flip:x;height:0;width:1980;" filled="f" stroked="t" coordsize="21600,21600">
              <v:path arrowok="t"/>
              <v:fill on="f" focussize="0,0"/>
              <v:stroke color="#000000"/>
              <v:imagedata o:title=""/>
              <o:lock v:ext="edit" aspectratio="f"/>
            </v:line>
            <v:line id="_x0000_s8185" o:spid="_x0000_s8185" o:spt="20" style="position:absolute;left:3542;top:11452;flip:y;height:936;width:1;" filled="f" stroked="t" coordsize="21600,21600">
              <v:path arrowok="t"/>
              <v:fill on="f" focussize="0,0"/>
              <v:stroke color="#000000" endarrow="block"/>
              <v:imagedata o:title=""/>
              <o:lock v:ext="edit" aspectratio="f"/>
            </v:line>
            <v:line id="_x0000_s8186" o:spid="_x0000_s8186" o:spt="20" style="position:absolute;left:6962;top:8956;height:0;width:1800;" filled="f" stroked="t" coordsize="21600,21600">
              <v:path arrowok="t"/>
              <v:fill on="f" focussize="0,0"/>
              <v:stroke color="#000000"/>
              <v:imagedata o:title=""/>
              <o:lock v:ext="edit" aspectratio="f"/>
            </v:line>
            <v:line id="_x0000_s8187" o:spid="_x0000_s8187" o:spt="20" style="position:absolute;left:8762;top:7708;flip:y;height:1248;width:0;" filled="f" stroked="t" coordsize="21600,21600">
              <v:path arrowok="t"/>
              <v:fill on="f" focussize="0,0"/>
              <v:stroke color="#000000" endarrow="block"/>
              <v:imagedata o:title=""/>
              <o:lock v:ext="edit" aspectratio="f"/>
            </v:line>
            <v:line id="_x0000_s8188" o:spid="_x0000_s8188" o:spt="20" style="position:absolute;left:8762;top:6304;flip:y;height:936;width:0;" filled="f" stroked="t" coordsize="21600,21600">
              <v:path arrowok="t"/>
              <v:fill on="f" focussize="0,0"/>
              <v:stroke color="#000000"/>
              <v:imagedata o:title=""/>
              <o:lock v:ext="edit" aspectratio="f"/>
            </v:line>
            <v:line id="_x0000_s8189" o:spid="_x0000_s8189" o:spt="20" style="position:absolute;left:7322;top:11296;height:0;width:720;" filled="f" stroked="t" coordsize="21600,21600">
              <v:path arrowok="t"/>
              <v:fill on="f" focussize="0,0"/>
              <v:stroke color="#000000"/>
              <v:imagedata o:title=""/>
              <o:lock v:ext="edit" aspectratio="f"/>
            </v:line>
            <v:line id="_x0000_s8190" o:spid="_x0000_s8190" o:spt="20" style="position:absolute;left:4127;top:11236;height:1;width:1170;" filled="f" stroked="t" coordsize="21600,21600">
              <v:path arrowok="t"/>
              <v:fill on="f" focussize="0,0"/>
              <v:stroke color="#000000" endarrow="block"/>
              <v:imagedata o:title=""/>
              <o:lock v:ext="edit" aspectratio="f"/>
            </v:line>
            <w10:wrap type="none"/>
            <w10:anchorlock/>
          </v:group>
        </w:pict>
      </w:r>
    </w:p>
    <w:p>
      <w:pPr>
        <w:ind w:firstLine="480"/>
      </w:pPr>
    </w:p>
    <w:p>
      <w:pPr>
        <w:tabs>
          <w:tab w:val="left" w:pos="3045"/>
        </w:tabs>
        <w:jc w:val="center"/>
        <w:rPr>
          <w:b/>
          <w:bCs/>
          <w:szCs w:val="28"/>
        </w:rPr>
      </w:pPr>
      <w:r>
        <w:rPr>
          <w:b/>
          <w:bCs/>
          <w:szCs w:val="28"/>
        </w:rPr>
        <w:t xml:space="preserve">图5-2   </w:t>
      </w:r>
      <w:r>
        <w:rPr>
          <w:rFonts w:hint="eastAsia"/>
          <w:b/>
          <w:bCs/>
          <w:szCs w:val="28"/>
          <w:lang w:eastAsia="zh-CN"/>
        </w:rPr>
        <w:t>应急响应</w:t>
      </w:r>
      <w:r>
        <w:rPr>
          <w:b/>
          <w:bCs/>
          <w:szCs w:val="28"/>
        </w:rPr>
        <w:t>流程图</w:t>
      </w:r>
    </w:p>
    <w:p>
      <w:pPr>
        <w:pStyle w:val="17"/>
        <w:rPr>
          <w:rFonts w:ascii="Times New Roman" w:hAnsi="Times New Roman"/>
        </w:rPr>
      </w:pPr>
    </w:p>
    <w:p>
      <w:pPr>
        <w:pStyle w:val="17"/>
        <w:rPr>
          <w:rFonts w:ascii="Times New Roman" w:hAnsi="Times New Roman"/>
        </w:rPr>
      </w:pPr>
    </w:p>
    <w:p>
      <w:pPr>
        <w:pStyle w:val="17"/>
        <w:rPr>
          <w:rFonts w:ascii="Times New Roman" w:hAnsi="Times New Roman"/>
        </w:rPr>
      </w:pPr>
    </w:p>
    <w:p>
      <w:pPr>
        <w:pStyle w:val="17"/>
        <w:rPr>
          <w:rFonts w:ascii="Times New Roman" w:hAnsi="Times New Roman"/>
        </w:rPr>
      </w:pPr>
    </w:p>
    <w:p>
      <w:pPr>
        <w:spacing w:before="120" w:beforeLines="50" w:after="120" w:afterLines="50" w:line="480" w:lineRule="exact"/>
        <w:ind w:firstLine="19" w:firstLineChars="7"/>
        <w:rPr>
          <w:b/>
        </w:rPr>
      </w:pPr>
      <w:r>
        <w:rPr>
          <w:b/>
        </w:rPr>
        <w:t>5.2 .2职责</w:t>
      </w:r>
    </w:p>
    <w:p>
      <w:pPr>
        <w:spacing w:before="120" w:beforeLines="50" w:after="120" w:afterLines="50" w:line="480" w:lineRule="exact"/>
        <w:ind w:firstLine="19" w:firstLineChars="7"/>
        <w:rPr>
          <w:b/>
        </w:rPr>
      </w:pPr>
      <w:r>
        <w:rPr>
          <w:b/>
        </w:rPr>
        <w:t xml:space="preserve">一、 </w:t>
      </w:r>
      <w:r>
        <w:rPr>
          <w:rFonts w:hint="eastAsia"/>
          <w:b/>
          <w:lang w:eastAsia="zh-CN"/>
        </w:rPr>
        <w:t>应急指挥部</w:t>
      </w:r>
      <w:r>
        <w:rPr>
          <w:b/>
        </w:rPr>
        <w:t>职责</w:t>
      </w:r>
    </w:p>
    <w:p>
      <w:pPr>
        <w:numPr>
          <w:ilvl w:val="0"/>
          <w:numId w:val="0"/>
        </w:numPr>
        <w:spacing w:line="360" w:lineRule="auto"/>
        <w:ind w:leftChars="0" w:firstLine="552" w:firstLineChars="200"/>
        <w:rPr>
          <w:rFonts w:hint="eastAsia"/>
          <w:szCs w:val="21"/>
        </w:rPr>
      </w:pPr>
      <w:r>
        <w:rPr>
          <w:rFonts w:hint="eastAsia"/>
          <w:szCs w:val="21"/>
        </w:rPr>
        <w:t>应急指挥组由黄南平担任组长、郭子朋</w:t>
      </w:r>
      <w:r>
        <w:rPr>
          <w:rFonts w:hint="eastAsia"/>
          <w:szCs w:val="21"/>
          <w:lang w:eastAsia="zh-CN"/>
        </w:rPr>
        <w:t>和吕庆洪</w:t>
      </w:r>
      <w:r>
        <w:rPr>
          <w:rFonts w:hint="eastAsia"/>
          <w:szCs w:val="21"/>
        </w:rPr>
        <w:t>担任副组长，公司主要职能部门的负责人担任小组成员。应急指挥小组主要职责如下：</w:t>
      </w:r>
    </w:p>
    <w:p>
      <w:pPr>
        <w:numPr>
          <w:ilvl w:val="0"/>
          <w:numId w:val="3"/>
        </w:numPr>
        <w:spacing w:line="360" w:lineRule="auto"/>
        <w:rPr>
          <w:rFonts w:hint="eastAsia"/>
          <w:szCs w:val="21"/>
        </w:rPr>
      </w:pPr>
      <w:r>
        <w:rPr>
          <w:rFonts w:hint="eastAsia"/>
          <w:szCs w:val="21"/>
        </w:rPr>
        <w:t>在日常工作中，负责制订和管理突发环境事件应急预案，配置应急人员、应急装备，对外签订相关应急支援协议，并制定应急演习工作计划和组织应急演习等；</w:t>
      </w:r>
    </w:p>
    <w:p>
      <w:pPr>
        <w:numPr>
          <w:ilvl w:val="0"/>
          <w:numId w:val="3"/>
        </w:numPr>
        <w:spacing w:line="360" w:lineRule="auto"/>
        <w:rPr>
          <w:rFonts w:hint="eastAsia"/>
          <w:szCs w:val="21"/>
        </w:rPr>
      </w:pPr>
      <w:r>
        <w:rPr>
          <w:rFonts w:hint="eastAsia"/>
          <w:szCs w:val="21"/>
        </w:rPr>
        <w:t>在突发环境事件发生时，负责应急指挥、调度、协调等工作，包括就是否需要外部应急/救援力量做出决策；</w:t>
      </w:r>
    </w:p>
    <w:p>
      <w:pPr>
        <w:numPr>
          <w:ilvl w:val="0"/>
          <w:numId w:val="3"/>
        </w:numPr>
        <w:spacing w:line="360" w:lineRule="auto"/>
        <w:rPr>
          <w:rFonts w:hint="eastAsia"/>
          <w:szCs w:val="21"/>
        </w:rPr>
      </w:pPr>
      <w:r>
        <w:rPr>
          <w:rFonts w:hint="eastAsia"/>
          <w:szCs w:val="21"/>
        </w:rPr>
        <w:t xml:space="preserve">第一时间接警，启动紧急联络网，对整体行动进行指挥并保持联络，并根据事故等级，下达启动应急预案指令，同时向地方政府和上级应急处理指挥部报告； </w:t>
      </w:r>
    </w:p>
    <w:p>
      <w:pPr>
        <w:numPr>
          <w:ilvl w:val="0"/>
          <w:numId w:val="3"/>
        </w:numPr>
        <w:spacing w:line="360" w:lineRule="auto"/>
        <w:rPr>
          <w:rFonts w:hint="eastAsia"/>
          <w:szCs w:val="21"/>
        </w:rPr>
      </w:pPr>
      <w:r>
        <w:rPr>
          <w:rFonts w:hint="eastAsia"/>
          <w:szCs w:val="21"/>
        </w:rPr>
        <w:t xml:space="preserve">负责制定突发环境事件的应急方案并组织现场实施，做好事故处置、控制和善后工作，消除突发环境事件影响； </w:t>
      </w:r>
    </w:p>
    <w:p>
      <w:pPr>
        <w:numPr>
          <w:ilvl w:val="0"/>
          <w:numId w:val="3"/>
        </w:numPr>
        <w:spacing w:line="360" w:lineRule="auto"/>
        <w:rPr>
          <w:rFonts w:hint="eastAsia"/>
          <w:szCs w:val="21"/>
        </w:rPr>
      </w:pPr>
      <w:r>
        <w:rPr>
          <w:rFonts w:hint="eastAsia"/>
          <w:szCs w:val="21"/>
        </w:rPr>
        <w:t>落实突发环境事件应急处理指挥部的指令；</w:t>
      </w:r>
    </w:p>
    <w:p>
      <w:pPr>
        <w:numPr>
          <w:ilvl w:val="0"/>
          <w:numId w:val="3"/>
        </w:numPr>
        <w:spacing w:line="360" w:lineRule="auto"/>
        <w:rPr>
          <w:rFonts w:hint="eastAsia"/>
          <w:szCs w:val="21"/>
        </w:rPr>
      </w:pPr>
      <w:r>
        <w:rPr>
          <w:rFonts w:hint="eastAsia"/>
          <w:szCs w:val="21"/>
        </w:rPr>
        <w:t>当紧急情况解除后，发出解除警报的信息；</w:t>
      </w:r>
    </w:p>
    <w:p>
      <w:pPr>
        <w:numPr>
          <w:ilvl w:val="0"/>
          <w:numId w:val="3"/>
        </w:numPr>
        <w:spacing w:line="360" w:lineRule="auto"/>
        <w:rPr>
          <w:rFonts w:hint="eastAsia"/>
          <w:szCs w:val="21"/>
        </w:rPr>
      </w:pPr>
      <w:r>
        <w:rPr>
          <w:rFonts w:hint="eastAsia"/>
          <w:szCs w:val="21"/>
        </w:rPr>
        <w:t>组织事故调查，评估事故损失情况，总结经验教训；</w:t>
      </w:r>
    </w:p>
    <w:p>
      <w:pPr>
        <w:numPr>
          <w:ilvl w:val="0"/>
          <w:numId w:val="3"/>
        </w:numPr>
        <w:spacing w:line="360" w:lineRule="auto"/>
        <w:rPr>
          <w:rFonts w:hint="eastAsia"/>
          <w:szCs w:val="21"/>
        </w:rPr>
      </w:pPr>
      <w:r>
        <w:rPr>
          <w:rFonts w:hint="eastAsia"/>
          <w:szCs w:val="21"/>
        </w:rPr>
        <w:t>督促做好重大紧急事故的预防措施和紧急救援的各项准备工作。</w:t>
      </w:r>
    </w:p>
    <w:p>
      <w:pPr>
        <w:spacing w:before="120" w:beforeLines="50" w:after="120" w:afterLines="50" w:line="480" w:lineRule="exact"/>
        <w:ind w:firstLine="19" w:firstLineChars="7"/>
        <w:rPr>
          <w:b/>
          <w:color w:val="FFC000"/>
        </w:rPr>
      </w:pPr>
      <w:r>
        <w:rPr>
          <w:b/>
        </w:rPr>
        <w:t>二、</w:t>
      </w:r>
      <w:r>
        <w:rPr>
          <w:rFonts w:hint="eastAsia"/>
          <w:b/>
          <w:lang w:eastAsia="zh-CN"/>
        </w:rPr>
        <w:t>应急抢险组</w:t>
      </w:r>
      <w:r>
        <w:rPr>
          <w:b/>
        </w:rPr>
        <w:t>的职责</w:t>
      </w:r>
    </w:p>
    <w:p>
      <w:pPr>
        <w:numPr>
          <w:ilvl w:val="0"/>
          <w:numId w:val="4"/>
        </w:numPr>
        <w:spacing w:line="360" w:lineRule="auto"/>
        <w:ind w:left="856" w:hanging="856"/>
        <w:rPr>
          <w:rFonts w:hint="eastAsia"/>
          <w:szCs w:val="21"/>
        </w:rPr>
      </w:pPr>
      <w:r>
        <w:rPr>
          <w:rFonts w:hint="eastAsia"/>
          <w:szCs w:val="21"/>
        </w:rPr>
        <w:t>组织现场救援队伍，并采取</w:t>
      </w:r>
      <w:r>
        <w:rPr>
          <w:rFonts w:hint="eastAsia"/>
          <w:szCs w:val="21"/>
          <w:lang w:eastAsia="zh-CN"/>
        </w:rPr>
        <w:t>抢险</w:t>
      </w:r>
      <w:r>
        <w:rPr>
          <w:rFonts w:hint="eastAsia"/>
          <w:szCs w:val="21"/>
        </w:rPr>
        <w:t>行动，控制现场局面；</w:t>
      </w:r>
    </w:p>
    <w:p>
      <w:pPr>
        <w:numPr>
          <w:ilvl w:val="0"/>
          <w:numId w:val="4"/>
        </w:numPr>
        <w:spacing w:line="360" w:lineRule="auto"/>
        <w:ind w:left="856" w:hanging="856"/>
        <w:rPr>
          <w:rFonts w:hint="eastAsia"/>
          <w:szCs w:val="21"/>
        </w:rPr>
      </w:pPr>
      <w:r>
        <w:rPr>
          <w:rFonts w:hint="eastAsia"/>
          <w:szCs w:val="21"/>
        </w:rPr>
        <w:t>利用现场器材或设施进行现场应急</w:t>
      </w:r>
      <w:r>
        <w:rPr>
          <w:rFonts w:hint="eastAsia"/>
          <w:szCs w:val="21"/>
          <w:lang w:eastAsia="zh-CN"/>
        </w:rPr>
        <w:t>抢险</w:t>
      </w:r>
      <w:r>
        <w:rPr>
          <w:rFonts w:hint="eastAsia"/>
          <w:szCs w:val="21"/>
        </w:rPr>
        <w:t>；</w:t>
      </w:r>
    </w:p>
    <w:p>
      <w:pPr>
        <w:numPr>
          <w:ilvl w:val="0"/>
          <w:numId w:val="4"/>
        </w:numPr>
        <w:spacing w:line="360" w:lineRule="auto"/>
        <w:ind w:left="856" w:hanging="856"/>
        <w:rPr>
          <w:rFonts w:hint="eastAsia"/>
          <w:szCs w:val="21"/>
        </w:rPr>
      </w:pPr>
      <w:r>
        <w:rPr>
          <w:rFonts w:hint="eastAsia"/>
          <w:szCs w:val="21"/>
          <w:lang w:eastAsia="zh-CN"/>
        </w:rPr>
        <w:t>事故发生时负责机械设备和电气设备的紧急处理，设备抢修，切断电源和恢复供电等；</w:t>
      </w:r>
    </w:p>
    <w:p>
      <w:pPr>
        <w:numPr>
          <w:ilvl w:val="0"/>
          <w:numId w:val="4"/>
        </w:numPr>
        <w:spacing w:line="360" w:lineRule="auto"/>
        <w:ind w:left="856" w:hanging="856"/>
        <w:rPr>
          <w:rFonts w:hint="eastAsia"/>
          <w:szCs w:val="21"/>
        </w:rPr>
      </w:pPr>
      <w:r>
        <w:rPr>
          <w:rFonts w:hint="eastAsia"/>
          <w:szCs w:val="21"/>
        </w:rPr>
        <w:t>在可能的情况下，将贵重物品、文件以优先顺序搬出，危险品搬到安全地带；</w:t>
      </w:r>
    </w:p>
    <w:p>
      <w:pPr>
        <w:numPr>
          <w:ilvl w:val="0"/>
          <w:numId w:val="4"/>
        </w:numPr>
        <w:spacing w:line="360" w:lineRule="auto"/>
        <w:ind w:left="856" w:hanging="856"/>
        <w:rPr>
          <w:rFonts w:hint="eastAsia"/>
          <w:szCs w:val="21"/>
        </w:rPr>
      </w:pPr>
      <w:r>
        <w:rPr>
          <w:rFonts w:hint="eastAsia"/>
          <w:szCs w:val="21"/>
        </w:rPr>
        <w:t xml:space="preserve">负责突发环境事件现场调查取证；调查分析主要污染物种类、污染程度和范围，对周边生态环境影响； </w:t>
      </w:r>
    </w:p>
    <w:p>
      <w:pPr>
        <w:numPr>
          <w:ilvl w:val="0"/>
          <w:numId w:val="4"/>
        </w:numPr>
        <w:spacing w:line="360" w:lineRule="auto"/>
        <w:ind w:left="856" w:hanging="856"/>
        <w:rPr>
          <w:rFonts w:hint="eastAsia"/>
          <w:szCs w:val="21"/>
        </w:rPr>
      </w:pPr>
      <w:r>
        <w:rPr>
          <w:rFonts w:hint="eastAsia"/>
          <w:szCs w:val="21"/>
        </w:rPr>
        <w:t xml:space="preserve">进行突发环境事件经济损失评估，并对应急预案进行及时总结，协助领导小组完成突发环境事件应急预案的修改或完善工作； </w:t>
      </w:r>
    </w:p>
    <w:p>
      <w:pPr>
        <w:spacing w:before="120" w:beforeLines="50" w:after="120" w:afterLines="50" w:line="480" w:lineRule="exact"/>
        <w:ind w:firstLine="19" w:firstLineChars="7"/>
        <w:rPr>
          <w:b/>
          <w:color w:val="FFC000"/>
        </w:rPr>
      </w:pPr>
      <w:r>
        <w:rPr>
          <w:b/>
        </w:rPr>
        <w:t>三、</w:t>
      </w:r>
      <w:r>
        <w:rPr>
          <w:rFonts w:hint="eastAsia"/>
          <w:b/>
          <w:lang w:eastAsia="zh-CN"/>
        </w:rPr>
        <w:t>安全后勤组</w:t>
      </w:r>
      <w:r>
        <w:rPr>
          <w:b/>
        </w:rPr>
        <w:t>的职责</w:t>
      </w:r>
    </w:p>
    <w:p>
      <w:pPr>
        <w:numPr>
          <w:ilvl w:val="0"/>
          <w:numId w:val="0"/>
        </w:numPr>
        <w:tabs>
          <w:tab w:val="left" w:pos="882"/>
        </w:tabs>
        <w:spacing w:line="360" w:lineRule="auto"/>
        <w:ind w:left="22" w:leftChars="0" w:firstLine="552" w:firstLineChars="200"/>
        <w:rPr>
          <w:rFonts w:hint="eastAsia"/>
          <w:szCs w:val="21"/>
          <w:lang w:eastAsia="zh-CN"/>
        </w:rPr>
      </w:pPr>
      <w:r>
        <w:rPr>
          <w:szCs w:val="21"/>
        </w:rPr>
        <w:t>1、</w:t>
      </w:r>
      <w:r>
        <w:rPr>
          <w:rFonts w:hint="eastAsia"/>
          <w:szCs w:val="21"/>
          <w:lang w:eastAsia="zh-CN"/>
        </w:rPr>
        <w:t>疏散警戒小组：</w:t>
      </w:r>
    </w:p>
    <w:p>
      <w:pPr>
        <w:numPr>
          <w:ilvl w:val="0"/>
          <w:numId w:val="5"/>
        </w:numPr>
        <w:tabs>
          <w:tab w:val="left" w:pos="882"/>
          <w:tab w:val="clear" w:pos="742"/>
        </w:tabs>
        <w:spacing w:line="360" w:lineRule="auto"/>
        <w:ind w:left="882" w:hanging="860"/>
        <w:rPr>
          <w:rFonts w:hint="eastAsia"/>
          <w:szCs w:val="21"/>
          <w:lang w:eastAsia="zh-CN"/>
        </w:rPr>
      </w:pPr>
      <w:r>
        <w:rPr>
          <w:rFonts w:hint="eastAsia"/>
          <w:szCs w:val="21"/>
          <w:lang w:eastAsia="zh-CN"/>
        </w:rPr>
        <w:t>听到疏散信号后，指挥人员疏散；</w:t>
      </w:r>
    </w:p>
    <w:p>
      <w:pPr>
        <w:numPr>
          <w:ilvl w:val="0"/>
          <w:numId w:val="5"/>
        </w:numPr>
        <w:tabs>
          <w:tab w:val="left" w:pos="882"/>
          <w:tab w:val="clear" w:pos="742"/>
        </w:tabs>
        <w:spacing w:line="360" w:lineRule="auto"/>
        <w:ind w:left="882" w:hanging="860"/>
        <w:rPr>
          <w:rFonts w:hint="eastAsia"/>
          <w:szCs w:val="21"/>
          <w:lang w:eastAsia="zh-CN"/>
        </w:rPr>
      </w:pPr>
      <w:r>
        <w:rPr>
          <w:rFonts w:hint="eastAsia"/>
          <w:szCs w:val="21"/>
          <w:lang w:eastAsia="zh-CN"/>
        </w:rPr>
        <w:t>保证所有人（员工/参观者/承包商/其他外来人员）已经从工作区域疏散；</w:t>
      </w:r>
    </w:p>
    <w:p>
      <w:pPr>
        <w:numPr>
          <w:ilvl w:val="0"/>
          <w:numId w:val="5"/>
        </w:numPr>
        <w:tabs>
          <w:tab w:val="left" w:pos="882"/>
          <w:tab w:val="clear" w:pos="742"/>
        </w:tabs>
        <w:spacing w:line="360" w:lineRule="auto"/>
        <w:ind w:left="882" w:hanging="860"/>
        <w:rPr>
          <w:rFonts w:hint="eastAsia"/>
          <w:szCs w:val="21"/>
          <w:lang w:eastAsia="zh-CN"/>
        </w:rPr>
      </w:pPr>
      <w:r>
        <w:rPr>
          <w:rFonts w:hint="eastAsia"/>
          <w:szCs w:val="21"/>
          <w:lang w:eastAsia="zh-CN"/>
        </w:rPr>
        <w:t>疏散后负责各部门列队站，指挥各部门负责人清点人数后汇总；</w:t>
      </w:r>
    </w:p>
    <w:p>
      <w:pPr>
        <w:numPr>
          <w:ilvl w:val="0"/>
          <w:numId w:val="5"/>
        </w:numPr>
        <w:tabs>
          <w:tab w:val="left" w:pos="882"/>
          <w:tab w:val="clear" w:pos="742"/>
        </w:tabs>
        <w:spacing w:line="360" w:lineRule="auto"/>
        <w:ind w:left="882" w:hanging="860"/>
        <w:rPr>
          <w:rFonts w:hint="eastAsia"/>
          <w:szCs w:val="21"/>
          <w:lang w:eastAsia="zh-CN"/>
        </w:rPr>
      </w:pPr>
      <w:r>
        <w:rPr>
          <w:rFonts w:hint="eastAsia"/>
          <w:szCs w:val="21"/>
          <w:lang w:eastAsia="zh-CN"/>
        </w:rPr>
        <w:t>将疏散结果向指挥部报告；</w:t>
      </w:r>
    </w:p>
    <w:p>
      <w:pPr>
        <w:numPr>
          <w:ilvl w:val="0"/>
          <w:numId w:val="5"/>
        </w:numPr>
        <w:tabs>
          <w:tab w:val="left" w:pos="882"/>
          <w:tab w:val="clear" w:pos="742"/>
        </w:tabs>
        <w:spacing w:line="360" w:lineRule="auto"/>
        <w:ind w:left="882" w:hanging="860"/>
        <w:rPr>
          <w:rFonts w:hint="eastAsia"/>
          <w:szCs w:val="21"/>
          <w:lang w:eastAsia="zh-CN"/>
        </w:rPr>
      </w:pPr>
      <w:r>
        <w:rPr>
          <w:rFonts w:hint="eastAsia"/>
          <w:szCs w:val="21"/>
          <w:lang w:eastAsia="zh-CN"/>
        </w:rPr>
        <w:t>在突发环境事件现场设置警戒线，不允许不必要人员和车辆进入，对突发环境事件现场外围区域进行保卫，建立应急救援“绿色通道”；</w:t>
      </w:r>
    </w:p>
    <w:p>
      <w:pPr>
        <w:numPr>
          <w:ilvl w:val="0"/>
          <w:numId w:val="5"/>
        </w:numPr>
        <w:tabs>
          <w:tab w:val="left" w:pos="882"/>
          <w:tab w:val="clear" w:pos="742"/>
        </w:tabs>
        <w:spacing w:line="360" w:lineRule="auto"/>
        <w:ind w:left="882" w:hanging="860"/>
        <w:rPr>
          <w:rFonts w:hint="eastAsia"/>
          <w:szCs w:val="21"/>
          <w:lang w:eastAsia="zh-CN"/>
        </w:rPr>
      </w:pPr>
      <w:r>
        <w:rPr>
          <w:rFonts w:hint="eastAsia"/>
          <w:szCs w:val="21"/>
          <w:lang w:eastAsia="zh-CN"/>
        </w:rPr>
        <w:t>外来救援组织到来时引导救援组织进入现场；</w:t>
      </w:r>
    </w:p>
    <w:p>
      <w:pPr>
        <w:numPr>
          <w:ilvl w:val="0"/>
          <w:numId w:val="5"/>
        </w:numPr>
        <w:tabs>
          <w:tab w:val="left" w:pos="882"/>
          <w:tab w:val="clear" w:pos="742"/>
        </w:tabs>
        <w:spacing w:line="360" w:lineRule="auto"/>
        <w:ind w:left="882" w:hanging="860"/>
        <w:rPr>
          <w:rFonts w:hint="eastAsia"/>
          <w:szCs w:val="21"/>
          <w:lang w:eastAsia="zh-CN"/>
        </w:rPr>
      </w:pPr>
      <w:r>
        <w:rPr>
          <w:rFonts w:hint="eastAsia"/>
          <w:szCs w:val="21"/>
          <w:lang w:eastAsia="zh-CN"/>
        </w:rPr>
        <w:t>配合医疗救护组或外来组织抢救被困伤员。</w:t>
      </w:r>
    </w:p>
    <w:p>
      <w:pPr>
        <w:numPr>
          <w:ilvl w:val="0"/>
          <w:numId w:val="0"/>
        </w:numPr>
        <w:tabs>
          <w:tab w:val="left" w:pos="882"/>
        </w:tabs>
        <w:spacing w:line="360" w:lineRule="auto"/>
        <w:ind w:left="22" w:leftChars="0" w:firstLine="552" w:firstLineChars="200"/>
        <w:rPr>
          <w:rFonts w:hint="eastAsia"/>
          <w:szCs w:val="21"/>
          <w:lang w:eastAsia="zh-CN"/>
        </w:rPr>
      </w:pPr>
      <w:r>
        <w:rPr>
          <w:rFonts w:hint="eastAsia"/>
          <w:szCs w:val="21"/>
          <w:lang w:eastAsia="zh-CN"/>
        </w:rPr>
        <w:t>2、医疗救助小组：</w:t>
      </w:r>
    </w:p>
    <w:p>
      <w:pPr>
        <w:numPr>
          <w:ilvl w:val="0"/>
          <w:numId w:val="0"/>
        </w:numPr>
        <w:tabs>
          <w:tab w:val="left" w:pos="882"/>
        </w:tabs>
        <w:spacing w:line="360" w:lineRule="auto"/>
        <w:ind w:left="22" w:leftChars="0"/>
        <w:rPr>
          <w:rFonts w:hint="eastAsia"/>
          <w:szCs w:val="21"/>
          <w:lang w:eastAsia="zh-CN"/>
        </w:rPr>
      </w:pPr>
      <w:r>
        <w:rPr>
          <w:rFonts w:hint="eastAsia"/>
          <w:szCs w:val="21"/>
          <w:lang w:eastAsia="zh-CN"/>
        </w:rPr>
        <w:t>（1）转移伤员至安全区域，并对伤员进行紧急处理；</w:t>
      </w:r>
    </w:p>
    <w:p>
      <w:pPr>
        <w:numPr>
          <w:ilvl w:val="0"/>
          <w:numId w:val="0"/>
        </w:numPr>
        <w:tabs>
          <w:tab w:val="left" w:pos="882"/>
        </w:tabs>
        <w:spacing w:line="360" w:lineRule="auto"/>
        <w:ind w:left="22" w:leftChars="0"/>
        <w:rPr>
          <w:rFonts w:hint="eastAsia"/>
          <w:szCs w:val="21"/>
          <w:lang w:eastAsia="zh-CN"/>
        </w:rPr>
      </w:pPr>
      <w:r>
        <w:rPr>
          <w:rFonts w:hint="eastAsia"/>
          <w:szCs w:val="21"/>
          <w:lang w:eastAsia="zh-CN"/>
        </w:rPr>
        <w:t>（</w:t>
      </w:r>
      <w:r>
        <w:rPr>
          <w:rFonts w:hint="eastAsia"/>
          <w:szCs w:val="21"/>
          <w:lang w:val="en-US" w:eastAsia="zh-CN"/>
        </w:rPr>
        <w:t>2</w:t>
      </w:r>
      <w:r>
        <w:rPr>
          <w:rFonts w:hint="eastAsia"/>
          <w:szCs w:val="21"/>
          <w:lang w:eastAsia="zh-CN"/>
        </w:rPr>
        <w:t>）必要时向指挥部申请请求外部120支援；</w:t>
      </w:r>
    </w:p>
    <w:p>
      <w:pPr>
        <w:numPr>
          <w:ilvl w:val="0"/>
          <w:numId w:val="0"/>
        </w:numPr>
        <w:tabs>
          <w:tab w:val="left" w:pos="882"/>
        </w:tabs>
        <w:spacing w:line="360" w:lineRule="auto"/>
        <w:ind w:left="22" w:leftChars="0"/>
        <w:rPr>
          <w:rFonts w:hint="eastAsia"/>
          <w:szCs w:val="21"/>
          <w:lang w:eastAsia="zh-CN"/>
        </w:rPr>
      </w:pPr>
      <w:r>
        <w:rPr>
          <w:rFonts w:hint="eastAsia"/>
          <w:szCs w:val="21"/>
          <w:lang w:eastAsia="zh-CN"/>
        </w:rPr>
        <w:t>（</w:t>
      </w:r>
      <w:r>
        <w:rPr>
          <w:rFonts w:hint="eastAsia"/>
          <w:szCs w:val="21"/>
          <w:lang w:val="en-US" w:eastAsia="zh-CN"/>
        </w:rPr>
        <w:t>3</w:t>
      </w:r>
      <w:r>
        <w:rPr>
          <w:rFonts w:hint="eastAsia"/>
          <w:szCs w:val="21"/>
          <w:lang w:eastAsia="zh-CN"/>
        </w:rPr>
        <w:t>）护送伤员到相应医院抢救，并向指挥部随时报告伤员病情变化情况。</w:t>
      </w:r>
    </w:p>
    <w:p>
      <w:pPr>
        <w:numPr>
          <w:ilvl w:val="0"/>
          <w:numId w:val="0"/>
        </w:numPr>
        <w:tabs>
          <w:tab w:val="left" w:pos="882"/>
        </w:tabs>
        <w:spacing w:line="360" w:lineRule="auto"/>
        <w:ind w:left="22" w:leftChars="0" w:firstLine="552" w:firstLineChars="200"/>
        <w:rPr>
          <w:rFonts w:hint="eastAsia"/>
          <w:szCs w:val="21"/>
          <w:lang w:eastAsia="zh-CN"/>
        </w:rPr>
      </w:pPr>
      <w:r>
        <w:rPr>
          <w:rFonts w:hint="eastAsia"/>
          <w:szCs w:val="21"/>
          <w:lang w:eastAsia="zh-CN"/>
        </w:rPr>
        <w:t>3、后勤保障小组</w:t>
      </w:r>
    </w:p>
    <w:p>
      <w:pPr>
        <w:numPr>
          <w:ilvl w:val="0"/>
          <w:numId w:val="0"/>
        </w:numPr>
        <w:tabs>
          <w:tab w:val="left" w:pos="882"/>
        </w:tabs>
        <w:spacing w:line="360" w:lineRule="auto"/>
        <w:ind w:left="22" w:leftChars="0"/>
        <w:rPr>
          <w:rFonts w:hint="eastAsia"/>
          <w:szCs w:val="21"/>
          <w:lang w:eastAsia="zh-CN"/>
        </w:rPr>
      </w:pPr>
      <w:r>
        <w:rPr>
          <w:rFonts w:hint="eastAsia"/>
          <w:szCs w:val="21"/>
          <w:lang w:eastAsia="zh-CN"/>
        </w:rPr>
        <w:t>（</w:t>
      </w:r>
      <w:r>
        <w:rPr>
          <w:rFonts w:hint="eastAsia"/>
          <w:szCs w:val="21"/>
          <w:lang w:val="en-US" w:eastAsia="zh-CN"/>
        </w:rPr>
        <w:t>1</w:t>
      </w:r>
      <w:r>
        <w:rPr>
          <w:rFonts w:hint="eastAsia"/>
          <w:szCs w:val="21"/>
          <w:lang w:eastAsia="zh-CN"/>
        </w:rPr>
        <w:t>）准备应急防护用品，放置在应急物资室，并定期清理和维护；</w:t>
      </w:r>
    </w:p>
    <w:p>
      <w:pPr>
        <w:numPr>
          <w:ilvl w:val="0"/>
          <w:numId w:val="0"/>
        </w:numPr>
        <w:tabs>
          <w:tab w:val="left" w:pos="882"/>
        </w:tabs>
        <w:spacing w:line="360" w:lineRule="auto"/>
        <w:ind w:left="22" w:leftChars="0"/>
        <w:rPr>
          <w:rFonts w:hint="eastAsia"/>
          <w:szCs w:val="21"/>
          <w:lang w:eastAsia="zh-CN"/>
        </w:rPr>
      </w:pPr>
      <w:r>
        <w:rPr>
          <w:rFonts w:hint="eastAsia"/>
          <w:szCs w:val="21"/>
          <w:lang w:eastAsia="zh-CN"/>
        </w:rPr>
        <w:t>（</w:t>
      </w:r>
      <w:r>
        <w:rPr>
          <w:rFonts w:hint="eastAsia"/>
          <w:szCs w:val="21"/>
          <w:lang w:val="en-US" w:eastAsia="zh-CN"/>
        </w:rPr>
        <w:t>2</w:t>
      </w:r>
      <w:r>
        <w:rPr>
          <w:rFonts w:hint="eastAsia"/>
          <w:szCs w:val="21"/>
          <w:lang w:eastAsia="zh-CN"/>
        </w:rPr>
        <w:t xml:space="preserve">）在突发环境事件发生时及时将有关应急装备、安全防护品、现场应急处置材料等应急物资运送到事故现场； </w:t>
      </w:r>
    </w:p>
    <w:p>
      <w:pPr>
        <w:numPr>
          <w:ilvl w:val="0"/>
          <w:numId w:val="0"/>
        </w:numPr>
        <w:tabs>
          <w:tab w:val="left" w:pos="882"/>
        </w:tabs>
        <w:spacing w:line="360" w:lineRule="auto"/>
        <w:ind w:left="22" w:leftChars="0"/>
        <w:rPr>
          <w:rFonts w:hint="eastAsia"/>
          <w:szCs w:val="21"/>
          <w:lang w:eastAsia="zh-CN"/>
        </w:rPr>
      </w:pPr>
      <w:r>
        <w:rPr>
          <w:rFonts w:hint="eastAsia"/>
          <w:szCs w:val="21"/>
          <w:lang w:eastAsia="zh-CN"/>
        </w:rPr>
        <w:t>（</w:t>
      </w:r>
      <w:r>
        <w:rPr>
          <w:rFonts w:hint="eastAsia"/>
          <w:szCs w:val="21"/>
          <w:lang w:val="en-US" w:eastAsia="zh-CN"/>
        </w:rPr>
        <w:t>3</w:t>
      </w:r>
      <w:r>
        <w:rPr>
          <w:rFonts w:hint="eastAsia"/>
          <w:szCs w:val="21"/>
          <w:lang w:eastAsia="zh-CN"/>
        </w:rPr>
        <w:t xml:space="preserve">）负责厂区内的治安警戒、治安管理和安全保卫工作，预防和打击违法犯罪活动，维护厂内交通秩序； </w:t>
      </w:r>
    </w:p>
    <w:p>
      <w:pPr>
        <w:numPr>
          <w:ilvl w:val="0"/>
          <w:numId w:val="0"/>
        </w:numPr>
        <w:tabs>
          <w:tab w:val="left" w:pos="882"/>
        </w:tabs>
        <w:spacing w:line="360" w:lineRule="auto"/>
        <w:ind w:left="22" w:leftChars="0"/>
        <w:rPr>
          <w:rFonts w:hint="eastAsia"/>
          <w:szCs w:val="21"/>
          <w:lang w:eastAsia="zh-CN"/>
        </w:rPr>
      </w:pPr>
      <w:r>
        <w:rPr>
          <w:rFonts w:hint="eastAsia"/>
          <w:szCs w:val="21"/>
          <w:lang w:eastAsia="zh-CN"/>
        </w:rPr>
        <w:t>（</w:t>
      </w:r>
      <w:r>
        <w:rPr>
          <w:rFonts w:hint="eastAsia"/>
          <w:szCs w:val="21"/>
          <w:lang w:val="en-US" w:eastAsia="zh-CN"/>
        </w:rPr>
        <w:t>4</w:t>
      </w:r>
      <w:r>
        <w:rPr>
          <w:rFonts w:hint="eastAsia"/>
          <w:szCs w:val="21"/>
          <w:lang w:eastAsia="zh-CN"/>
        </w:rPr>
        <w:t>）负责厂内车辆及装备的调度；</w:t>
      </w:r>
    </w:p>
    <w:p>
      <w:pPr>
        <w:numPr>
          <w:ilvl w:val="0"/>
          <w:numId w:val="0"/>
        </w:numPr>
        <w:tabs>
          <w:tab w:val="left" w:pos="882"/>
        </w:tabs>
        <w:spacing w:line="360" w:lineRule="auto"/>
        <w:ind w:left="22" w:leftChars="0"/>
        <w:rPr>
          <w:szCs w:val="21"/>
        </w:rPr>
      </w:pPr>
      <w:r>
        <w:rPr>
          <w:rFonts w:hint="eastAsia"/>
          <w:szCs w:val="21"/>
          <w:lang w:eastAsia="zh-CN"/>
        </w:rPr>
        <w:t>（</w:t>
      </w:r>
      <w:r>
        <w:rPr>
          <w:rFonts w:hint="eastAsia"/>
          <w:szCs w:val="21"/>
          <w:lang w:val="en-US" w:eastAsia="zh-CN"/>
        </w:rPr>
        <w:t>5</w:t>
      </w:r>
      <w:r>
        <w:rPr>
          <w:rFonts w:hint="eastAsia"/>
          <w:szCs w:val="21"/>
          <w:lang w:eastAsia="zh-CN"/>
        </w:rPr>
        <w:t>）突发环境事件消除后，尽快组织力量抢修厂内的供电、供水等重要设施，尽快恢复功能。</w:t>
      </w:r>
    </w:p>
    <w:p>
      <w:pPr>
        <w:spacing w:before="120" w:beforeLines="50" w:after="120" w:afterLines="50" w:line="360" w:lineRule="auto"/>
        <w:ind w:firstLine="19" w:firstLineChars="7"/>
        <w:rPr>
          <w:b/>
        </w:rPr>
      </w:pPr>
      <w:r>
        <w:rPr>
          <w:b/>
        </w:rPr>
        <w:t>四、</w:t>
      </w:r>
      <w:r>
        <w:rPr>
          <w:rFonts w:hint="eastAsia"/>
          <w:b/>
        </w:rPr>
        <w:t>应急监测组</w:t>
      </w:r>
      <w:r>
        <w:rPr>
          <w:b/>
        </w:rPr>
        <w:t>的职责</w:t>
      </w:r>
    </w:p>
    <w:p>
      <w:pPr>
        <w:numPr>
          <w:ilvl w:val="0"/>
          <w:numId w:val="6"/>
        </w:numPr>
        <w:tabs>
          <w:tab w:val="left" w:pos="882"/>
          <w:tab w:val="clear" w:pos="742"/>
        </w:tabs>
        <w:spacing w:line="360" w:lineRule="auto"/>
        <w:ind w:left="882" w:hanging="860"/>
        <w:rPr>
          <w:rFonts w:hint="eastAsia"/>
          <w:szCs w:val="21"/>
          <w:lang w:eastAsia="zh-CN"/>
        </w:rPr>
      </w:pPr>
      <w:r>
        <w:rPr>
          <w:rFonts w:hint="eastAsia"/>
          <w:szCs w:val="21"/>
          <w:lang w:eastAsia="zh-CN"/>
        </w:rPr>
        <w:t>负责给指挥部或外来救援组织提供灾害原材料或废物类别，现场生产设备设施布局情况、工艺流程等，为指挥现场应急监测提供必要信息；</w:t>
      </w:r>
    </w:p>
    <w:p>
      <w:pPr>
        <w:numPr>
          <w:ilvl w:val="0"/>
          <w:numId w:val="6"/>
        </w:numPr>
        <w:tabs>
          <w:tab w:val="left" w:pos="882"/>
          <w:tab w:val="clear" w:pos="742"/>
        </w:tabs>
        <w:spacing w:line="360" w:lineRule="auto"/>
        <w:ind w:left="882" w:hanging="860"/>
        <w:rPr>
          <w:rFonts w:hint="eastAsia"/>
          <w:szCs w:val="21"/>
          <w:lang w:eastAsia="zh-CN"/>
        </w:rPr>
      </w:pPr>
      <w:r>
        <w:rPr>
          <w:rFonts w:hint="eastAsia"/>
          <w:szCs w:val="21"/>
          <w:lang w:eastAsia="zh-CN"/>
        </w:rPr>
        <w:t>灾害发生后，调整设备的生产运行情况，决定是否停止生产运行；</w:t>
      </w:r>
    </w:p>
    <w:p>
      <w:pPr>
        <w:numPr>
          <w:ilvl w:val="0"/>
          <w:numId w:val="6"/>
        </w:numPr>
        <w:tabs>
          <w:tab w:val="left" w:pos="882"/>
          <w:tab w:val="clear" w:pos="742"/>
        </w:tabs>
        <w:spacing w:line="360" w:lineRule="auto"/>
        <w:ind w:left="882" w:hanging="860"/>
        <w:rPr>
          <w:rFonts w:hint="eastAsia"/>
          <w:szCs w:val="21"/>
        </w:rPr>
      </w:pPr>
      <w:r>
        <w:rPr>
          <w:rFonts w:hint="eastAsia"/>
          <w:szCs w:val="21"/>
          <w:lang w:eastAsia="zh-CN"/>
        </w:rPr>
        <w:t>负责监督和指挥现场设备操作人员的操作。</w:t>
      </w:r>
    </w:p>
    <w:p>
      <w:pPr>
        <w:spacing w:before="120" w:beforeLines="50" w:after="120" w:afterLines="50" w:line="360" w:lineRule="auto"/>
        <w:ind w:firstLine="19" w:firstLineChars="7"/>
        <w:rPr>
          <w:b/>
        </w:rPr>
      </w:pPr>
      <w:r>
        <w:rPr>
          <w:rFonts w:hint="eastAsia"/>
          <w:b/>
          <w:lang w:eastAsia="zh-CN"/>
        </w:rPr>
        <w:t>五</w:t>
      </w:r>
      <w:r>
        <w:rPr>
          <w:b/>
        </w:rPr>
        <w:t>、</w:t>
      </w:r>
      <w:r>
        <w:rPr>
          <w:rFonts w:hint="eastAsia"/>
          <w:b/>
        </w:rPr>
        <w:t>信息传输</w:t>
      </w:r>
      <w:r>
        <w:rPr>
          <w:rFonts w:hint="eastAsia"/>
          <w:b/>
          <w:lang w:eastAsia="zh-CN"/>
        </w:rPr>
        <w:t>组</w:t>
      </w:r>
      <w:r>
        <w:rPr>
          <w:b/>
        </w:rPr>
        <w:t>的职责</w:t>
      </w:r>
    </w:p>
    <w:p>
      <w:pPr>
        <w:numPr>
          <w:ilvl w:val="0"/>
          <w:numId w:val="7"/>
        </w:numPr>
        <w:tabs>
          <w:tab w:val="left" w:pos="882"/>
          <w:tab w:val="clear" w:pos="742"/>
        </w:tabs>
        <w:spacing w:line="360" w:lineRule="auto"/>
        <w:ind w:left="882" w:hanging="860"/>
        <w:rPr>
          <w:rFonts w:hint="eastAsia"/>
          <w:szCs w:val="28"/>
        </w:rPr>
      </w:pPr>
      <w:r>
        <w:rPr>
          <w:rFonts w:hint="eastAsia"/>
          <w:szCs w:val="28"/>
        </w:rPr>
        <w:t>承担与当地区域或各职能管理部门的应急指挥机构的联系工作，及时将事故发生情况及最新进展向有关部门汇报，并将上级指挥机构的命令及时向应急指挥小组汇报；</w:t>
      </w:r>
      <w:r>
        <w:rPr>
          <w:szCs w:val="28"/>
        </w:rPr>
        <w:t xml:space="preserve"> </w:t>
      </w:r>
    </w:p>
    <w:p>
      <w:pPr>
        <w:numPr>
          <w:ilvl w:val="0"/>
          <w:numId w:val="7"/>
        </w:numPr>
        <w:tabs>
          <w:tab w:val="left" w:pos="882"/>
          <w:tab w:val="clear" w:pos="742"/>
        </w:tabs>
        <w:spacing w:line="360" w:lineRule="auto"/>
        <w:ind w:left="882" w:hanging="860"/>
        <w:rPr>
          <w:rFonts w:hint="eastAsia"/>
          <w:szCs w:val="28"/>
        </w:rPr>
      </w:pPr>
      <w:r>
        <w:rPr>
          <w:rFonts w:hint="eastAsia"/>
          <w:szCs w:val="28"/>
        </w:rPr>
        <w:t>编制</w:t>
      </w:r>
      <w:r>
        <w:rPr>
          <w:szCs w:val="28"/>
        </w:rPr>
        <w:t>新闻发布方案，决定新闻发布内容，负责新闻发布</w:t>
      </w:r>
      <w:r>
        <w:rPr>
          <w:rFonts w:hint="eastAsia"/>
          <w:szCs w:val="28"/>
        </w:rPr>
        <w:t>，</w:t>
      </w:r>
      <w:r>
        <w:rPr>
          <w:szCs w:val="28"/>
        </w:rPr>
        <w:t>接受记者采访，管理采访的中外记者；</w:t>
      </w:r>
    </w:p>
    <w:p>
      <w:pPr>
        <w:numPr>
          <w:ilvl w:val="0"/>
          <w:numId w:val="7"/>
        </w:numPr>
        <w:tabs>
          <w:tab w:val="left" w:pos="882"/>
          <w:tab w:val="clear" w:pos="742"/>
        </w:tabs>
        <w:spacing w:line="360" w:lineRule="auto"/>
        <w:ind w:left="882" w:hanging="860"/>
        <w:rPr>
          <w:rFonts w:hint="eastAsia"/>
          <w:szCs w:val="28"/>
        </w:rPr>
      </w:pPr>
      <w:r>
        <w:rPr>
          <w:szCs w:val="28"/>
        </w:rPr>
        <w:t>收集、跟踪舆论，及时向上级或有关部门汇报、通报情况；</w:t>
      </w:r>
    </w:p>
    <w:p>
      <w:pPr>
        <w:numPr>
          <w:ilvl w:val="0"/>
          <w:numId w:val="7"/>
        </w:numPr>
        <w:tabs>
          <w:tab w:val="left" w:pos="882"/>
          <w:tab w:val="clear" w:pos="742"/>
        </w:tabs>
        <w:spacing w:line="360" w:lineRule="auto"/>
        <w:ind w:left="882" w:hanging="860"/>
        <w:rPr>
          <w:szCs w:val="28"/>
        </w:rPr>
      </w:pPr>
      <w:r>
        <w:rPr>
          <w:szCs w:val="28"/>
        </w:rPr>
        <w:t>通过各种方式，有针对性地解疑释惑，澄清事实，批驳谣言，引导舆论。</w:t>
      </w:r>
    </w:p>
    <w:p>
      <w:pPr>
        <w:numPr>
          <w:ilvl w:val="0"/>
          <w:numId w:val="0"/>
        </w:numPr>
        <w:tabs>
          <w:tab w:val="left" w:pos="882"/>
        </w:tabs>
        <w:spacing w:line="360" w:lineRule="auto"/>
        <w:ind w:left="22" w:leftChars="0"/>
        <w:rPr>
          <w:szCs w:val="28"/>
        </w:rPr>
      </w:pPr>
    </w:p>
    <w:p>
      <w:pPr>
        <w:pStyle w:val="2"/>
        <w:jc w:val="center"/>
      </w:pPr>
      <w:bookmarkStart w:id="208" w:name="_Toc24556"/>
      <w:bookmarkStart w:id="209" w:name="_Toc29087"/>
      <w:bookmarkStart w:id="210" w:name="_Toc358192699"/>
      <w:bookmarkStart w:id="211" w:name="_Toc25263"/>
      <w:bookmarkStart w:id="212" w:name="_Toc362282387"/>
      <w:bookmarkStart w:id="213" w:name="_Toc25172"/>
      <w:r>
        <w:t>6预防与预警</w:t>
      </w:r>
      <w:bookmarkEnd w:id="208"/>
      <w:bookmarkEnd w:id="209"/>
      <w:bookmarkEnd w:id="210"/>
      <w:bookmarkEnd w:id="211"/>
      <w:bookmarkEnd w:id="212"/>
      <w:bookmarkEnd w:id="213"/>
    </w:p>
    <w:p>
      <w:pPr>
        <w:pStyle w:val="3"/>
      </w:pPr>
      <w:bookmarkStart w:id="214" w:name="_Toc358192700"/>
      <w:bookmarkStart w:id="215" w:name="_Toc362282388"/>
      <w:bookmarkStart w:id="216" w:name="_Toc28010"/>
      <w:bookmarkStart w:id="217" w:name="_Toc7444"/>
      <w:bookmarkStart w:id="218" w:name="_Toc27927"/>
      <w:bookmarkStart w:id="219" w:name="_Toc16714"/>
      <w:r>
        <w:t>6.1</w:t>
      </w:r>
      <w:bookmarkEnd w:id="214"/>
      <w:bookmarkEnd w:id="215"/>
      <w:bookmarkEnd w:id="216"/>
      <w:bookmarkEnd w:id="217"/>
      <w:bookmarkEnd w:id="218"/>
      <w:r>
        <w:rPr>
          <w:rFonts w:hint="eastAsia"/>
        </w:rPr>
        <w:t>预防措施</w:t>
      </w:r>
      <w:bookmarkEnd w:id="219"/>
    </w:p>
    <w:p>
      <w:pPr>
        <w:pStyle w:val="4"/>
      </w:pPr>
      <w:r>
        <w:rPr>
          <w:rFonts w:hint="eastAsia"/>
        </w:rPr>
        <w:t>6.1.1 环境风险源监控</w:t>
      </w:r>
    </w:p>
    <w:p>
      <w:pPr>
        <w:widowControl/>
        <w:spacing w:line="360" w:lineRule="auto"/>
        <w:ind w:firstLine="295" w:firstLineChars="107"/>
        <w:jc w:val="left"/>
        <w:rPr>
          <w:szCs w:val="28"/>
        </w:rPr>
      </w:pPr>
      <w:r>
        <w:rPr>
          <w:rFonts w:hint="eastAsia"/>
          <w:szCs w:val="28"/>
        </w:rPr>
        <w:t>公司对环境风险源的监控采用</w:t>
      </w:r>
      <w:r>
        <w:rPr>
          <w:rFonts w:hint="eastAsia"/>
          <w:szCs w:val="28"/>
          <w:lang w:eastAsia="zh-CN"/>
        </w:rPr>
        <w:t>在线及</w:t>
      </w:r>
      <w:r>
        <w:rPr>
          <w:rFonts w:hint="eastAsia"/>
          <w:szCs w:val="28"/>
        </w:rPr>
        <w:t>人工监控，公司安排人员进行24小时巡逻。对各环境风险源的监控预防措施主要有：</w:t>
      </w:r>
    </w:p>
    <w:p>
      <w:pPr>
        <w:widowControl/>
        <w:spacing w:line="360" w:lineRule="auto"/>
        <w:ind w:firstLine="295" w:firstLineChars="107"/>
        <w:jc w:val="left"/>
        <w:rPr>
          <w:szCs w:val="28"/>
        </w:rPr>
      </w:pPr>
      <w:r>
        <w:rPr>
          <w:rFonts w:hint="eastAsia"/>
          <w:szCs w:val="28"/>
        </w:rPr>
        <w:t>1）建立</w:t>
      </w:r>
      <w:r>
        <w:rPr>
          <w:rFonts w:hint="eastAsia"/>
          <w:szCs w:val="28"/>
          <w:lang w:eastAsia="zh-CN"/>
        </w:rPr>
        <w:t>风险</w:t>
      </w:r>
      <w:r>
        <w:rPr>
          <w:rFonts w:hint="eastAsia"/>
          <w:szCs w:val="28"/>
        </w:rPr>
        <w:t>源管理制度，落实监控措施。</w:t>
      </w:r>
    </w:p>
    <w:p>
      <w:pPr>
        <w:widowControl/>
        <w:spacing w:line="360" w:lineRule="auto"/>
        <w:ind w:firstLine="295" w:firstLineChars="107"/>
        <w:jc w:val="left"/>
        <w:rPr>
          <w:szCs w:val="28"/>
        </w:rPr>
      </w:pPr>
      <w:r>
        <w:rPr>
          <w:rFonts w:hint="eastAsia"/>
          <w:szCs w:val="28"/>
        </w:rPr>
        <w:t>2）建立</w:t>
      </w:r>
      <w:r>
        <w:rPr>
          <w:rFonts w:hint="eastAsia"/>
          <w:szCs w:val="28"/>
          <w:lang w:eastAsia="zh-CN"/>
        </w:rPr>
        <w:t>风险</w:t>
      </w:r>
      <w:r>
        <w:rPr>
          <w:rFonts w:hint="eastAsia"/>
          <w:szCs w:val="28"/>
        </w:rPr>
        <w:t>源台帐、档案。</w:t>
      </w:r>
    </w:p>
    <w:p>
      <w:pPr>
        <w:widowControl/>
        <w:spacing w:line="360" w:lineRule="auto"/>
        <w:ind w:firstLine="295" w:firstLineChars="107"/>
        <w:jc w:val="left"/>
        <w:rPr>
          <w:rFonts w:hint="eastAsia"/>
          <w:szCs w:val="28"/>
        </w:rPr>
      </w:pPr>
      <w:r>
        <w:rPr>
          <w:rFonts w:hint="eastAsia"/>
          <w:szCs w:val="28"/>
        </w:rPr>
        <w:t>3）公司和各部门对</w:t>
      </w:r>
      <w:r>
        <w:rPr>
          <w:rFonts w:hint="eastAsia"/>
          <w:szCs w:val="28"/>
          <w:lang w:eastAsia="zh-CN"/>
        </w:rPr>
        <w:t>风险</w:t>
      </w:r>
      <w:r>
        <w:rPr>
          <w:rFonts w:hint="eastAsia"/>
          <w:szCs w:val="28"/>
        </w:rPr>
        <w:t>源定期检查，实施专项检查，查事故隐患，落实整改措施。</w:t>
      </w:r>
    </w:p>
    <w:p>
      <w:pPr>
        <w:widowControl/>
        <w:spacing w:line="360" w:lineRule="auto"/>
        <w:ind w:firstLine="295" w:firstLineChars="107"/>
        <w:jc w:val="left"/>
        <w:rPr>
          <w:rFonts w:hint="eastAsia"/>
          <w:szCs w:val="28"/>
          <w:lang w:val="en-US" w:eastAsia="zh-CN"/>
        </w:rPr>
      </w:pPr>
      <w:r>
        <w:rPr>
          <w:rFonts w:hint="eastAsia"/>
          <w:szCs w:val="28"/>
          <w:lang w:val="en-US" w:eastAsia="zh-CN"/>
        </w:rPr>
        <w:t>4）公司每年两次进行防雷、防静电检测。</w:t>
      </w:r>
    </w:p>
    <w:p>
      <w:pPr>
        <w:widowControl/>
        <w:spacing w:line="360" w:lineRule="auto"/>
        <w:ind w:firstLine="295" w:firstLineChars="107"/>
        <w:jc w:val="left"/>
        <w:rPr>
          <w:rFonts w:hint="eastAsia"/>
          <w:szCs w:val="28"/>
          <w:lang w:val="en-US" w:eastAsia="zh-CN"/>
        </w:rPr>
      </w:pPr>
      <w:r>
        <w:rPr>
          <w:rFonts w:hint="eastAsia"/>
          <w:szCs w:val="28"/>
          <w:lang w:val="en-US" w:eastAsia="zh-CN"/>
        </w:rPr>
        <w:t>5）可燃气体浓度探测报警仪、设备静电接地报警仪定期检查保养。</w:t>
      </w:r>
    </w:p>
    <w:p>
      <w:pPr>
        <w:widowControl/>
        <w:spacing w:line="360" w:lineRule="auto"/>
        <w:ind w:firstLine="295" w:firstLineChars="107"/>
        <w:jc w:val="left"/>
        <w:rPr>
          <w:rFonts w:hint="eastAsia"/>
          <w:szCs w:val="28"/>
          <w:lang w:val="en-US" w:eastAsia="zh-CN"/>
        </w:rPr>
      </w:pPr>
      <w:r>
        <w:rPr>
          <w:rFonts w:hint="eastAsia"/>
          <w:szCs w:val="28"/>
          <w:lang w:val="en-US" w:eastAsia="zh-CN"/>
        </w:rPr>
        <w:t>6）重点关键部位设置摄像头监控。</w:t>
      </w:r>
    </w:p>
    <w:p>
      <w:pPr>
        <w:widowControl/>
        <w:spacing w:line="360" w:lineRule="auto"/>
        <w:ind w:firstLine="295" w:firstLineChars="107"/>
        <w:jc w:val="left"/>
        <w:rPr>
          <w:rFonts w:hint="default"/>
          <w:szCs w:val="28"/>
          <w:lang w:val="en-US" w:eastAsia="zh-CN"/>
        </w:rPr>
      </w:pPr>
      <w:r>
        <w:rPr>
          <w:rFonts w:hint="eastAsia"/>
          <w:szCs w:val="28"/>
          <w:lang w:val="en-US" w:eastAsia="zh-CN"/>
        </w:rPr>
        <w:t>7）应急物资定期点检，确保应急物资有效配备。</w:t>
      </w:r>
    </w:p>
    <w:p>
      <w:pPr>
        <w:widowControl/>
        <w:spacing w:line="360" w:lineRule="auto"/>
        <w:ind w:firstLine="295" w:firstLineChars="107"/>
        <w:jc w:val="left"/>
        <w:rPr>
          <w:szCs w:val="28"/>
        </w:rPr>
      </w:pPr>
      <w:r>
        <w:rPr>
          <w:rFonts w:hint="eastAsia"/>
          <w:szCs w:val="28"/>
          <w:lang w:val="en-US" w:eastAsia="zh-CN"/>
        </w:rPr>
        <w:t>8</w:t>
      </w:r>
      <w:r>
        <w:rPr>
          <w:rFonts w:hint="eastAsia"/>
          <w:szCs w:val="28"/>
        </w:rPr>
        <w:t>）设备设施、安全设施定期保养并保持完好。</w:t>
      </w:r>
    </w:p>
    <w:p>
      <w:pPr>
        <w:widowControl/>
        <w:spacing w:line="360" w:lineRule="auto"/>
        <w:ind w:firstLine="295" w:firstLineChars="107"/>
        <w:jc w:val="left"/>
        <w:rPr>
          <w:szCs w:val="28"/>
        </w:rPr>
      </w:pPr>
      <w:r>
        <w:rPr>
          <w:rFonts w:hint="eastAsia"/>
          <w:szCs w:val="28"/>
          <w:lang w:val="en-US" w:eastAsia="zh-CN"/>
        </w:rPr>
        <w:t>9</w:t>
      </w:r>
      <w:r>
        <w:rPr>
          <w:rFonts w:hint="eastAsia"/>
          <w:szCs w:val="28"/>
        </w:rPr>
        <w:t>）制订日常点检表，专人巡检，做好点检记录。</w:t>
      </w:r>
    </w:p>
    <w:p>
      <w:pPr>
        <w:widowControl/>
        <w:spacing w:line="360" w:lineRule="auto"/>
        <w:ind w:firstLine="295" w:firstLineChars="107"/>
        <w:jc w:val="left"/>
        <w:rPr>
          <w:szCs w:val="28"/>
        </w:rPr>
      </w:pPr>
      <w:r>
        <w:rPr>
          <w:rFonts w:hint="eastAsia"/>
          <w:szCs w:val="28"/>
          <w:lang w:val="en-US" w:eastAsia="zh-CN"/>
        </w:rPr>
        <w:t>10</w:t>
      </w:r>
      <w:r>
        <w:rPr>
          <w:rFonts w:hint="eastAsia"/>
          <w:szCs w:val="28"/>
        </w:rPr>
        <w:t>）做好交接班记录。</w:t>
      </w:r>
    </w:p>
    <w:p>
      <w:pPr>
        <w:pStyle w:val="4"/>
      </w:pPr>
      <w:r>
        <w:rPr>
          <w:rFonts w:hint="eastAsia"/>
        </w:rPr>
        <w:t>6.1.2 防范措施</w:t>
      </w:r>
    </w:p>
    <w:p>
      <w:pPr>
        <w:widowControl/>
        <w:spacing w:line="360" w:lineRule="auto"/>
        <w:ind w:firstLine="554" w:firstLineChars="200"/>
        <w:jc w:val="left"/>
        <w:rPr>
          <w:rFonts w:hint="eastAsia"/>
          <w:b/>
          <w:szCs w:val="28"/>
        </w:rPr>
      </w:pPr>
      <w:r>
        <w:rPr>
          <w:rFonts w:hint="eastAsia"/>
          <w:b/>
          <w:szCs w:val="28"/>
          <w:lang w:eastAsia="zh-CN"/>
        </w:rPr>
        <w:t>一、</w:t>
      </w:r>
      <w:r>
        <w:rPr>
          <w:rFonts w:hint="eastAsia"/>
          <w:b/>
          <w:szCs w:val="28"/>
        </w:rPr>
        <w:t>风险管理防范措施</w:t>
      </w:r>
    </w:p>
    <w:p>
      <w:pPr>
        <w:adjustRightInd w:val="0"/>
        <w:snapToGrid w:val="0"/>
        <w:spacing w:line="360" w:lineRule="auto"/>
        <w:ind w:firstLine="480"/>
        <w:rPr>
          <w:rFonts w:hint="eastAsia" w:ascii="宋体" w:hAnsi="宋体"/>
          <w:sz w:val="28"/>
          <w:szCs w:val="28"/>
        </w:rPr>
      </w:pPr>
      <w:r>
        <w:rPr>
          <w:rFonts w:hint="eastAsia" w:ascii="宋体" w:hAnsi="宋体"/>
          <w:sz w:val="28"/>
          <w:szCs w:val="28"/>
        </w:rPr>
        <w:t>公司的环境风险主要是污泥在运输、储存、处理等过程中发生泄漏污染事故，沼气在产生、储存及输送过程中发生的火灾、爆炸或其他意外的突发或非突发事件造成污染，以及污染防治设施非正常使用引起的环境污染。突发环境事件发生后，不仅对人员、财产造成损失，而且对周围环境有着难以弥补的损害。为避免风险事故发生，避免风险事故发生后对环境造成的严重污染，公司树立环境风险意识，并在管理过程当中强化环境风险意识。在实际工作与管理过程当中落实环境风险防患措施。</w:t>
      </w:r>
    </w:p>
    <w:p>
      <w:pPr>
        <w:adjustRightInd w:val="0"/>
        <w:snapToGrid w:val="0"/>
        <w:spacing w:line="360" w:lineRule="auto"/>
        <w:ind w:firstLine="480"/>
        <w:rPr>
          <w:rFonts w:hint="eastAsia" w:ascii="宋体" w:hAnsi="宋体"/>
          <w:b/>
          <w:bCs/>
          <w:sz w:val="28"/>
          <w:szCs w:val="28"/>
        </w:rPr>
      </w:pPr>
      <w:r>
        <w:rPr>
          <w:rFonts w:hint="eastAsia" w:ascii="宋体" w:hAnsi="宋体"/>
          <w:b/>
          <w:bCs/>
          <w:sz w:val="28"/>
          <w:szCs w:val="28"/>
        </w:rPr>
        <w:t>（1）树立并强化环境风险意识</w:t>
      </w:r>
    </w:p>
    <w:p>
      <w:pPr>
        <w:adjustRightInd w:val="0"/>
        <w:snapToGrid w:val="0"/>
        <w:spacing w:line="360" w:lineRule="auto"/>
        <w:ind w:firstLine="480"/>
        <w:rPr>
          <w:rFonts w:hint="eastAsia" w:ascii="宋体" w:hAnsi="宋体"/>
          <w:sz w:val="28"/>
          <w:szCs w:val="28"/>
        </w:rPr>
      </w:pPr>
      <w:r>
        <w:rPr>
          <w:rFonts w:hint="eastAsia" w:ascii="宋体" w:hAnsi="宋体"/>
          <w:sz w:val="28"/>
          <w:szCs w:val="28"/>
        </w:rPr>
        <w:t>贯彻“安全第一，预防为主”方针，树立环境风险意识，强化环境风险责任，体现环境保护的内容。</w:t>
      </w:r>
    </w:p>
    <w:p>
      <w:pPr>
        <w:adjustRightInd w:val="0"/>
        <w:snapToGrid w:val="0"/>
        <w:spacing w:line="360" w:lineRule="auto"/>
        <w:ind w:firstLine="480"/>
        <w:rPr>
          <w:rFonts w:hint="eastAsia" w:ascii="宋体" w:hAnsi="宋体"/>
          <w:b/>
          <w:bCs/>
          <w:sz w:val="28"/>
          <w:szCs w:val="28"/>
        </w:rPr>
      </w:pPr>
      <w:r>
        <w:rPr>
          <w:rFonts w:hint="eastAsia" w:ascii="宋体" w:hAnsi="宋体"/>
          <w:b/>
          <w:bCs/>
          <w:sz w:val="28"/>
          <w:szCs w:val="28"/>
        </w:rPr>
        <w:t>（2）实行安全环保管理制度</w:t>
      </w:r>
    </w:p>
    <w:p>
      <w:pPr>
        <w:adjustRightInd w:val="0"/>
        <w:snapToGrid w:val="0"/>
        <w:spacing w:line="360" w:lineRule="auto"/>
        <w:ind w:firstLine="480"/>
        <w:rPr>
          <w:rFonts w:hint="eastAsia" w:ascii="宋体" w:hAnsi="宋体"/>
          <w:sz w:val="28"/>
          <w:szCs w:val="28"/>
        </w:rPr>
      </w:pPr>
      <w:r>
        <w:rPr>
          <w:rFonts w:hint="eastAsia" w:ascii="宋体" w:hAnsi="宋体"/>
          <w:sz w:val="28"/>
          <w:szCs w:val="28"/>
        </w:rPr>
        <w:t>针对本公司开展全面、全员、全过程的系统安全管理，把安全工作的重点放在把控系统的安全隐患上，从整体和全局上促进运营项目各个环节的安全操作，建立监察、检测、管理，实行安全检查目标管理。为此，公司已制定了《操作规程》、《岗位责任制度》、《交接班制度》、《检查巡视制度》等一系列的条文。</w:t>
      </w:r>
    </w:p>
    <w:p>
      <w:pPr>
        <w:adjustRightInd w:val="0"/>
        <w:snapToGrid w:val="0"/>
        <w:spacing w:line="360" w:lineRule="auto"/>
        <w:ind w:firstLine="480"/>
        <w:rPr>
          <w:rFonts w:hint="eastAsia" w:ascii="宋体" w:hAnsi="宋体"/>
          <w:b/>
          <w:bCs/>
          <w:sz w:val="28"/>
          <w:szCs w:val="28"/>
        </w:rPr>
      </w:pPr>
      <w:r>
        <w:rPr>
          <w:rFonts w:hint="eastAsia" w:ascii="宋体" w:hAnsi="宋体"/>
          <w:b/>
          <w:bCs/>
          <w:sz w:val="28"/>
          <w:szCs w:val="28"/>
        </w:rPr>
        <w:t>（3）规范并强化风险预防措施</w:t>
      </w:r>
    </w:p>
    <w:p>
      <w:pPr>
        <w:adjustRightInd w:val="0"/>
        <w:snapToGrid w:val="0"/>
        <w:spacing w:line="360" w:lineRule="auto"/>
        <w:ind w:firstLine="480"/>
        <w:rPr>
          <w:rFonts w:hint="eastAsia" w:ascii="宋体" w:hAnsi="宋体"/>
          <w:sz w:val="28"/>
          <w:szCs w:val="28"/>
        </w:rPr>
      </w:pPr>
      <w:r>
        <w:rPr>
          <w:rFonts w:hint="eastAsia" w:ascii="宋体" w:hAnsi="宋体"/>
          <w:sz w:val="28"/>
          <w:szCs w:val="28"/>
        </w:rPr>
        <w:t>为预防</w:t>
      </w:r>
      <w:r>
        <w:rPr>
          <w:rFonts w:hint="eastAsia" w:ascii="宋体" w:hAnsi="宋体"/>
          <w:sz w:val="28"/>
          <w:szCs w:val="28"/>
          <w:lang w:eastAsia="zh-CN"/>
        </w:rPr>
        <w:t>突发环境</w:t>
      </w:r>
      <w:r>
        <w:rPr>
          <w:rFonts w:hint="eastAsia" w:ascii="宋体" w:hAnsi="宋体"/>
          <w:sz w:val="28"/>
          <w:szCs w:val="28"/>
        </w:rPr>
        <w:t>事故的发生，公司制定管理规章制度，并采取相应的预防和处理措施，对防止</w:t>
      </w:r>
      <w:r>
        <w:rPr>
          <w:rFonts w:hint="eastAsia" w:ascii="宋体" w:hAnsi="宋体"/>
          <w:sz w:val="28"/>
          <w:szCs w:val="28"/>
          <w:lang w:eastAsia="zh-CN"/>
        </w:rPr>
        <w:t>环境</w:t>
      </w:r>
      <w:r>
        <w:rPr>
          <w:rFonts w:hint="eastAsia" w:ascii="宋体" w:hAnsi="宋体"/>
          <w:sz w:val="28"/>
          <w:szCs w:val="28"/>
        </w:rPr>
        <w:t>事故的发生起到制度上、技术上的保障与支持作用。不过，一旦</w:t>
      </w:r>
      <w:r>
        <w:rPr>
          <w:rFonts w:hint="eastAsia" w:ascii="宋体" w:hAnsi="宋体"/>
          <w:sz w:val="28"/>
          <w:szCs w:val="28"/>
          <w:lang w:eastAsia="zh-CN"/>
        </w:rPr>
        <w:t>突发环境</w:t>
      </w:r>
      <w:r>
        <w:rPr>
          <w:rFonts w:hint="eastAsia" w:ascii="宋体" w:hAnsi="宋体"/>
          <w:sz w:val="28"/>
          <w:szCs w:val="28"/>
        </w:rPr>
        <w:t>事故的发生，还是会产生一定的环境污染。因此，对于这类事故的预防也制定相应的防患措施，从运输、贮存过程中予以全面考虑，并力求做到规范且可操作性强。</w:t>
      </w:r>
    </w:p>
    <w:p>
      <w:pPr>
        <w:adjustRightInd w:val="0"/>
        <w:snapToGrid w:val="0"/>
        <w:spacing w:line="360" w:lineRule="auto"/>
        <w:ind w:firstLine="480"/>
        <w:rPr>
          <w:rFonts w:hint="eastAsia" w:ascii="宋体" w:hAnsi="宋体"/>
          <w:b/>
          <w:bCs/>
          <w:sz w:val="28"/>
          <w:szCs w:val="28"/>
        </w:rPr>
      </w:pPr>
      <w:r>
        <w:rPr>
          <w:rFonts w:hint="eastAsia" w:ascii="宋体" w:hAnsi="宋体"/>
          <w:b/>
          <w:bCs/>
          <w:sz w:val="28"/>
          <w:szCs w:val="28"/>
        </w:rPr>
        <w:t>（4）提高员工的技术水平</w:t>
      </w:r>
    </w:p>
    <w:p>
      <w:pPr>
        <w:adjustRightInd w:val="0"/>
        <w:snapToGrid w:val="0"/>
        <w:spacing w:line="360" w:lineRule="auto"/>
        <w:ind w:firstLine="480"/>
        <w:rPr>
          <w:rFonts w:hint="eastAsia" w:ascii="宋体" w:hAnsi="宋体"/>
          <w:sz w:val="28"/>
          <w:szCs w:val="28"/>
        </w:rPr>
      </w:pPr>
      <w:r>
        <w:rPr>
          <w:rFonts w:hint="eastAsia" w:ascii="宋体" w:hAnsi="宋体"/>
          <w:sz w:val="28"/>
          <w:szCs w:val="28"/>
        </w:rPr>
        <w:t>人员的失误也是导致事故发生的重要因素之一。失误的原因主要是，由于技术水平低下、身体状况、工作疏忽。为此，本公司严格要求负责污泥装卸、运输、管理等人员的要提高专业技术水平，职工上岗前参加培训，取得相关的从业资格证，同时在日常坚持落实安全教育与例行培训制度。</w:t>
      </w:r>
    </w:p>
    <w:p>
      <w:pPr>
        <w:adjustRightInd w:val="0"/>
        <w:snapToGrid w:val="0"/>
        <w:spacing w:line="360" w:lineRule="auto"/>
        <w:ind w:firstLine="480"/>
        <w:rPr>
          <w:rFonts w:hint="eastAsia" w:ascii="宋体" w:hAnsi="宋体"/>
          <w:b/>
          <w:bCs/>
          <w:sz w:val="28"/>
          <w:szCs w:val="28"/>
        </w:rPr>
      </w:pPr>
      <w:r>
        <w:rPr>
          <w:rFonts w:hint="eastAsia" w:ascii="宋体" w:hAnsi="宋体"/>
          <w:b/>
          <w:bCs/>
          <w:sz w:val="28"/>
          <w:szCs w:val="28"/>
        </w:rPr>
        <w:t>（5）加强厂区装卸的监督工作</w:t>
      </w:r>
    </w:p>
    <w:p>
      <w:pPr>
        <w:adjustRightInd w:val="0"/>
        <w:snapToGrid w:val="0"/>
        <w:spacing w:line="360" w:lineRule="auto"/>
        <w:ind w:firstLine="480"/>
        <w:rPr>
          <w:rFonts w:hint="eastAsia" w:ascii="宋体" w:hAnsi="宋体" w:eastAsia="宋体"/>
          <w:sz w:val="28"/>
          <w:szCs w:val="28"/>
          <w:lang w:eastAsia="zh-CN"/>
        </w:rPr>
      </w:pPr>
      <w:r>
        <w:rPr>
          <w:rFonts w:hint="eastAsia" w:ascii="宋体" w:hAnsi="宋体"/>
          <w:sz w:val="28"/>
          <w:szCs w:val="28"/>
        </w:rPr>
        <w:t>在装卸污泥时，规定有监督人员在场，以确保操作人员按制定的工作规范进行装卸</w:t>
      </w:r>
      <w:r>
        <w:rPr>
          <w:rFonts w:hint="eastAsia" w:ascii="宋体" w:hAnsi="宋体"/>
          <w:sz w:val="28"/>
          <w:szCs w:val="28"/>
          <w:lang w:eastAsia="zh-CN"/>
        </w:rPr>
        <w:t>。</w:t>
      </w:r>
    </w:p>
    <w:p>
      <w:pPr>
        <w:widowControl/>
        <w:spacing w:line="360" w:lineRule="auto"/>
        <w:ind w:firstLine="554" w:firstLineChars="200"/>
        <w:jc w:val="left"/>
        <w:rPr>
          <w:rFonts w:hint="eastAsia"/>
          <w:b/>
          <w:szCs w:val="28"/>
        </w:rPr>
      </w:pPr>
      <w:r>
        <w:rPr>
          <w:rFonts w:hint="eastAsia"/>
          <w:b/>
          <w:szCs w:val="28"/>
          <w:lang w:eastAsia="zh-CN"/>
        </w:rPr>
        <w:t>二、污泥收集、运输过程</w:t>
      </w:r>
      <w:r>
        <w:rPr>
          <w:rFonts w:hint="eastAsia"/>
          <w:b/>
          <w:szCs w:val="28"/>
        </w:rPr>
        <w:t>防范措施</w:t>
      </w:r>
    </w:p>
    <w:p>
      <w:pPr>
        <w:widowControl/>
        <w:spacing w:line="360" w:lineRule="auto"/>
        <w:ind w:firstLine="552" w:firstLineChars="200"/>
        <w:jc w:val="left"/>
        <w:rPr>
          <w:rFonts w:hint="eastAsia"/>
          <w:b w:val="0"/>
          <w:bCs/>
          <w:szCs w:val="28"/>
        </w:rPr>
      </w:pPr>
      <w:r>
        <w:rPr>
          <w:rFonts w:hint="eastAsia"/>
          <w:b w:val="0"/>
          <w:bCs/>
          <w:szCs w:val="28"/>
        </w:rPr>
        <w:t>公司在</w:t>
      </w:r>
      <w:r>
        <w:rPr>
          <w:rFonts w:hint="eastAsia"/>
          <w:b w:val="0"/>
          <w:bCs/>
          <w:szCs w:val="28"/>
          <w:lang w:eastAsia="zh-CN"/>
        </w:rPr>
        <w:t>污泥</w:t>
      </w:r>
      <w:r>
        <w:rPr>
          <w:rFonts w:hint="eastAsia"/>
          <w:b w:val="0"/>
          <w:bCs/>
          <w:szCs w:val="28"/>
        </w:rPr>
        <w:t>收集、运输过程中严格做好相应防范措施，防止污泥的泄漏、或发生重大交通事故，具体措施如下：</w:t>
      </w:r>
    </w:p>
    <w:p>
      <w:pPr>
        <w:widowControl/>
        <w:spacing w:line="360" w:lineRule="auto"/>
        <w:ind w:firstLine="552" w:firstLineChars="200"/>
        <w:jc w:val="left"/>
        <w:rPr>
          <w:rFonts w:hint="eastAsia"/>
          <w:b w:val="0"/>
          <w:bCs/>
          <w:szCs w:val="28"/>
        </w:rPr>
      </w:pPr>
      <w:r>
        <w:rPr>
          <w:rFonts w:hint="eastAsia"/>
          <w:b w:val="0"/>
          <w:bCs/>
          <w:szCs w:val="28"/>
        </w:rPr>
        <w:t>（1）污泥转移前如实填写污泥转移联单，并按照有关要求将联单报送环保管理部门。</w:t>
      </w:r>
    </w:p>
    <w:p>
      <w:pPr>
        <w:widowControl/>
        <w:spacing w:line="360" w:lineRule="auto"/>
        <w:ind w:firstLine="552" w:firstLineChars="200"/>
        <w:jc w:val="left"/>
        <w:rPr>
          <w:rFonts w:hint="eastAsia"/>
          <w:b w:val="0"/>
          <w:bCs/>
          <w:szCs w:val="28"/>
        </w:rPr>
      </w:pPr>
      <w:r>
        <w:rPr>
          <w:rFonts w:hint="eastAsia"/>
          <w:b w:val="0"/>
          <w:bCs/>
          <w:szCs w:val="28"/>
        </w:rPr>
        <w:t>（2）所有装满废物待运走的容器都应足够安全，并经过周密检查，严防在装载、搬移或运输途中出现渗漏、溢出、抛洒等情况。</w:t>
      </w:r>
    </w:p>
    <w:p>
      <w:pPr>
        <w:widowControl/>
        <w:spacing w:line="360" w:lineRule="auto"/>
        <w:ind w:firstLine="552" w:firstLineChars="200"/>
        <w:jc w:val="left"/>
        <w:rPr>
          <w:rFonts w:hint="eastAsia"/>
          <w:b w:val="0"/>
          <w:bCs/>
          <w:szCs w:val="28"/>
        </w:rPr>
      </w:pPr>
      <w:r>
        <w:rPr>
          <w:rFonts w:hint="eastAsia"/>
          <w:b w:val="0"/>
          <w:bCs/>
          <w:szCs w:val="28"/>
        </w:rPr>
        <w:t>（3）污泥采用专用运输车辆进行运输，车辆应符合相关的技术要求。</w:t>
      </w:r>
    </w:p>
    <w:p>
      <w:pPr>
        <w:widowControl/>
        <w:spacing w:line="360" w:lineRule="auto"/>
        <w:ind w:firstLine="552" w:firstLineChars="200"/>
        <w:jc w:val="left"/>
        <w:rPr>
          <w:rFonts w:hint="eastAsia"/>
          <w:b w:val="0"/>
          <w:bCs/>
          <w:szCs w:val="28"/>
        </w:rPr>
      </w:pPr>
      <w:r>
        <w:rPr>
          <w:rFonts w:hint="eastAsia"/>
          <w:b w:val="0"/>
          <w:bCs/>
          <w:szCs w:val="28"/>
        </w:rPr>
        <w:t>（4）污泥运送车辆在车辆前部和后部、车厢两侧设置专用警示标识。</w:t>
      </w:r>
    </w:p>
    <w:p>
      <w:pPr>
        <w:widowControl/>
        <w:spacing w:line="360" w:lineRule="auto"/>
        <w:ind w:firstLine="552" w:firstLineChars="200"/>
        <w:jc w:val="left"/>
        <w:rPr>
          <w:rFonts w:hint="eastAsia"/>
          <w:b w:val="0"/>
          <w:bCs/>
          <w:szCs w:val="28"/>
        </w:rPr>
      </w:pPr>
      <w:r>
        <w:rPr>
          <w:rFonts w:hint="eastAsia"/>
          <w:b w:val="0"/>
          <w:bCs/>
          <w:szCs w:val="28"/>
        </w:rPr>
        <w:t>（5）每辆运送车指定负责人，严格执行《运输车队安全生产责任制度》，对污泥运送过程负责；从事污泥运输的司机等人员接受有关专业技能和职业卫生防护的专门培训，经考核合格后方可上岗。</w:t>
      </w:r>
    </w:p>
    <w:p>
      <w:pPr>
        <w:widowControl/>
        <w:spacing w:line="360" w:lineRule="auto"/>
        <w:ind w:firstLine="552" w:firstLineChars="200"/>
        <w:jc w:val="left"/>
        <w:rPr>
          <w:rFonts w:hint="eastAsia"/>
          <w:b w:val="0"/>
          <w:bCs/>
          <w:szCs w:val="28"/>
        </w:rPr>
      </w:pPr>
      <w:r>
        <w:rPr>
          <w:rFonts w:hint="eastAsia"/>
          <w:b w:val="0"/>
          <w:bCs/>
          <w:szCs w:val="28"/>
        </w:rPr>
        <w:t>（6）在运输前均事先作出周密的收运计划，尽量避免运输车在交通高峰期通过市区。</w:t>
      </w:r>
    </w:p>
    <w:p>
      <w:pPr>
        <w:widowControl/>
        <w:spacing w:line="360" w:lineRule="auto"/>
        <w:ind w:firstLine="552" w:firstLineChars="200"/>
        <w:jc w:val="left"/>
        <w:rPr>
          <w:rFonts w:hint="eastAsia"/>
          <w:b w:val="0"/>
          <w:bCs/>
          <w:szCs w:val="28"/>
        </w:rPr>
      </w:pPr>
      <w:r>
        <w:rPr>
          <w:rFonts w:hint="eastAsia"/>
          <w:b w:val="0"/>
          <w:bCs/>
          <w:szCs w:val="28"/>
        </w:rPr>
        <w:t>（7）运输车在每次运输前均进行检查，确保车况良好后方可出车，按照《行车日志》的有关要求，做好相应的出车前、出车中、出车后的检查与登记记录，确保各应急辅助物品完备。另外，定期对运输车辆进行全面检查，确保运输安全。</w:t>
      </w:r>
    </w:p>
    <w:p>
      <w:pPr>
        <w:widowControl/>
        <w:spacing w:line="360" w:lineRule="auto"/>
        <w:ind w:firstLine="552" w:firstLineChars="200"/>
        <w:jc w:val="left"/>
        <w:rPr>
          <w:rFonts w:hint="eastAsia"/>
          <w:b w:val="0"/>
          <w:bCs/>
          <w:szCs w:val="28"/>
        </w:rPr>
      </w:pPr>
      <w:r>
        <w:rPr>
          <w:rFonts w:hint="eastAsia"/>
          <w:b w:val="0"/>
          <w:bCs/>
          <w:szCs w:val="28"/>
        </w:rPr>
        <w:t>（8）运送车辆不得搭乘其他无关人员。</w:t>
      </w:r>
    </w:p>
    <w:p>
      <w:pPr>
        <w:widowControl/>
        <w:spacing w:line="360" w:lineRule="auto"/>
        <w:ind w:firstLine="552" w:firstLineChars="200"/>
        <w:jc w:val="left"/>
        <w:rPr>
          <w:rFonts w:hint="eastAsia"/>
          <w:b w:val="0"/>
          <w:bCs/>
          <w:szCs w:val="28"/>
        </w:rPr>
      </w:pPr>
      <w:r>
        <w:rPr>
          <w:rFonts w:hint="eastAsia"/>
          <w:b w:val="0"/>
          <w:bCs/>
          <w:szCs w:val="28"/>
        </w:rPr>
        <w:t>（9）车辆行驶时锁闭车厢门，确保安全，不得丢失、遗撒和随意取出污泥。</w:t>
      </w:r>
    </w:p>
    <w:p>
      <w:pPr>
        <w:widowControl/>
        <w:spacing w:line="360" w:lineRule="auto"/>
        <w:ind w:firstLine="552" w:firstLineChars="200"/>
        <w:jc w:val="left"/>
        <w:rPr>
          <w:rFonts w:hint="eastAsia"/>
          <w:b w:val="0"/>
          <w:bCs/>
          <w:szCs w:val="28"/>
        </w:rPr>
      </w:pPr>
      <w:r>
        <w:rPr>
          <w:rFonts w:hint="eastAsia"/>
          <w:b w:val="0"/>
          <w:bCs/>
          <w:szCs w:val="28"/>
        </w:rPr>
        <w:t>（10）合理安排运输频次，在气象条件不好的天气，如暴雨、台风等，可暂停或推迟当日的运输安排，等天气好转再进行运输。</w:t>
      </w:r>
    </w:p>
    <w:p>
      <w:pPr>
        <w:widowControl/>
        <w:spacing w:line="360" w:lineRule="auto"/>
        <w:ind w:firstLine="552" w:firstLineChars="200"/>
        <w:jc w:val="left"/>
        <w:rPr>
          <w:rFonts w:hint="eastAsia"/>
          <w:b w:val="0"/>
          <w:bCs/>
          <w:szCs w:val="28"/>
        </w:rPr>
      </w:pPr>
      <w:r>
        <w:rPr>
          <w:rFonts w:hint="eastAsia"/>
          <w:b w:val="0"/>
          <w:bCs/>
          <w:szCs w:val="28"/>
        </w:rPr>
        <w:t>（11）运输车限速行驶；特别是在路况不好的路段及沿线有敏感水体的区域应小心驾驶，防止发生交通事故或泄漏性事故而污染水体。</w:t>
      </w:r>
    </w:p>
    <w:p>
      <w:pPr>
        <w:widowControl/>
        <w:spacing w:line="360" w:lineRule="auto"/>
        <w:ind w:firstLine="552" w:firstLineChars="200"/>
        <w:jc w:val="left"/>
        <w:rPr>
          <w:rFonts w:hint="eastAsia"/>
          <w:b w:val="0"/>
          <w:bCs/>
          <w:szCs w:val="28"/>
        </w:rPr>
      </w:pPr>
      <w:r>
        <w:rPr>
          <w:rFonts w:hint="eastAsia"/>
          <w:b w:val="0"/>
          <w:bCs/>
          <w:szCs w:val="28"/>
        </w:rPr>
        <w:t>（12）制定必要的突发事故应急处理计划，运输车辆配备必要的工具和联络通讯设备，以便运输过程中发生污泥泄漏、扬散时及时采取措施，消除或减轻对环境的污染危害。运送途中当发生翻车、撞车导致污泥溢出或散落时，运送人员应立即向本单位应急事故小组取得联系，情况严重时请求当地公安交警、环境保护或城市应急联动中心的支持。针对上述情况，运送人员应采取下述应急措施：</w:t>
      </w:r>
    </w:p>
    <w:p>
      <w:pPr>
        <w:widowControl/>
        <w:spacing w:line="360" w:lineRule="auto"/>
        <w:ind w:firstLine="552" w:firstLineChars="200"/>
        <w:jc w:val="left"/>
        <w:rPr>
          <w:rFonts w:hint="eastAsia"/>
          <w:b w:val="0"/>
          <w:bCs/>
          <w:szCs w:val="28"/>
        </w:rPr>
      </w:pPr>
      <w:r>
        <w:rPr>
          <w:rFonts w:hint="eastAsia"/>
          <w:b w:val="0"/>
          <w:bCs/>
          <w:szCs w:val="28"/>
        </w:rPr>
        <w:t>①立即请求公安交通警察在受污染地区设立隔离区，禁止其他车辆和行人穿过，避免污染物扩散和对行人造成伤害；</w:t>
      </w:r>
    </w:p>
    <w:p>
      <w:pPr>
        <w:widowControl/>
        <w:spacing w:line="360" w:lineRule="auto"/>
        <w:ind w:firstLine="552" w:firstLineChars="200"/>
        <w:jc w:val="left"/>
        <w:rPr>
          <w:rFonts w:hint="eastAsia"/>
          <w:b w:val="0"/>
          <w:bCs/>
          <w:szCs w:val="28"/>
        </w:rPr>
      </w:pPr>
      <w:r>
        <w:rPr>
          <w:rFonts w:hint="eastAsia"/>
          <w:b w:val="0"/>
          <w:bCs/>
          <w:szCs w:val="28"/>
        </w:rPr>
        <w:t>②对溢出或散落的污泥迅速进行收集、清理处理；</w:t>
      </w:r>
    </w:p>
    <w:p>
      <w:pPr>
        <w:widowControl/>
        <w:spacing w:line="360" w:lineRule="auto"/>
        <w:ind w:firstLine="552" w:firstLineChars="200"/>
        <w:jc w:val="left"/>
        <w:rPr>
          <w:rFonts w:hint="eastAsia"/>
          <w:b w:val="0"/>
          <w:bCs/>
          <w:szCs w:val="28"/>
        </w:rPr>
      </w:pPr>
      <w:r>
        <w:rPr>
          <w:rFonts w:hint="eastAsia"/>
          <w:b w:val="0"/>
          <w:bCs/>
          <w:szCs w:val="28"/>
        </w:rPr>
        <w:t>③清洁人员还须对被污染的现场地面进行清洁处理，必要时消毒。</w:t>
      </w:r>
    </w:p>
    <w:p>
      <w:pPr>
        <w:widowControl/>
        <w:spacing w:line="360" w:lineRule="auto"/>
        <w:ind w:firstLine="552" w:firstLineChars="200"/>
        <w:jc w:val="left"/>
        <w:rPr>
          <w:rFonts w:hint="eastAsia"/>
          <w:b w:val="0"/>
          <w:bCs/>
          <w:szCs w:val="28"/>
        </w:rPr>
      </w:pPr>
      <w:r>
        <w:rPr>
          <w:rFonts w:hint="eastAsia"/>
          <w:b w:val="0"/>
          <w:bCs/>
          <w:szCs w:val="28"/>
        </w:rPr>
        <w:t>（13）由于本项目运输路线复杂，行经多座大桥，跨越的水域较多，为此本公司采取有效的风险防范措施以保障运输路线周边的水域安全：</w:t>
      </w:r>
    </w:p>
    <w:p>
      <w:pPr>
        <w:widowControl/>
        <w:spacing w:line="360" w:lineRule="auto"/>
        <w:ind w:firstLine="552" w:firstLineChars="200"/>
        <w:jc w:val="left"/>
        <w:rPr>
          <w:rFonts w:hint="eastAsia"/>
          <w:b w:val="0"/>
          <w:bCs/>
          <w:szCs w:val="28"/>
        </w:rPr>
      </w:pPr>
      <w:r>
        <w:rPr>
          <w:rFonts w:hint="eastAsia"/>
          <w:b w:val="0"/>
          <w:bCs/>
          <w:szCs w:val="28"/>
        </w:rPr>
        <w:t>①严格按照《内河交通安全管理条例》等法律法规的要求，加强污泥运载车辆的监管，督促其完善防溢流、防渗漏、防污染措施；此外，污泥运输车辆必须标示醒目的标记，并对运行路线和时间加以限制，以避开交通高峰时间；</w:t>
      </w:r>
    </w:p>
    <w:p>
      <w:pPr>
        <w:widowControl/>
        <w:spacing w:line="360" w:lineRule="auto"/>
        <w:ind w:firstLine="552" w:firstLineChars="200"/>
        <w:jc w:val="left"/>
        <w:rPr>
          <w:rFonts w:hint="eastAsia"/>
          <w:b w:val="0"/>
          <w:bCs/>
          <w:szCs w:val="28"/>
        </w:rPr>
      </w:pPr>
      <w:r>
        <w:rPr>
          <w:rFonts w:hint="eastAsia"/>
          <w:b w:val="0"/>
          <w:bCs/>
          <w:szCs w:val="28"/>
        </w:rPr>
        <w:t>②在部分跨越重要水域的大桥及附近路段设置污泥运输车辆谨慎驾驶的标志牌、限速牌以及重要水域标志；与市政部门沟通，视跨越河段敏感程度适当加固防护栏，通过大桥两侧集水沟，接纳桥面泄漏污水，收集后进行妥善处理；</w:t>
      </w:r>
    </w:p>
    <w:p>
      <w:pPr>
        <w:widowControl/>
        <w:spacing w:line="360" w:lineRule="auto"/>
        <w:ind w:firstLine="552" w:firstLineChars="200"/>
        <w:jc w:val="left"/>
        <w:rPr>
          <w:rFonts w:hint="eastAsia"/>
          <w:b w:val="0"/>
          <w:bCs/>
          <w:szCs w:val="28"/>
        </w:rPr>
      </w:pPr>
      <w:r>
        <w:rPr>
          <w:rFonts w:hint="eastAsia"/>
          <w:b w:val="0"/>
          <w:bCs/>
          <w:szCs w:val="28"/>
        </w:rPr>
        <w:t>③在没有桥面收集沟的情况下，必须立刻控制洒落的污泥，封堵桥面的排水孔，防止污染物进入水体控制其影响范围，并立即通知相关单位采取应急措施；</w:t>
      </w:r>
    </w:p>
    <w:p>
      <w:pPr>
        <w:widowControl/>
        <w:spacing w:line="360" w:lineRule="auto"/>
        <w:ind w:firstLine="552" w:firstLineChars="200"/>
        <w:jc w:val="left"/>
        <w:rPr>
          <w:rFonts w:hint="eastAsia"/>
          <w:b w:val="0"/>
          <w:bCs/>
          <w:szCs w:val="28"/>
          <w:lang w:eastAsia="zh-CN"/>
        </w:rPr>
      </w:pPr>
      <w:r>
        <w:rPr>
          <w:rFonts w:hint="eastAsia"/>
          <w:b w:val="0"/>
          <w:bCs/>
          <w:szCs w:val="28"/>
        </w:rPr>
        <w:t>④优化运输路线</w:t>
      </w:r>
      <w:r>
        <w:rPr>
          <w:rFonts w:hint="eastAsia"/>
          <w:b w:val="0"/>
          <w:bCs/>
          <w:szCs w:val="28"/>
          <w:lang w:eastAsia="zh-CN"/>
        </w:rPr>
        <w:t>。</w:t>
      </w:r>
    </w:p>
    <w:p>
      <w:pPr>
        <w:widowControl/>
        <w:spacing w:line="360" w:lineRule="auto"/>
        <w:ind w:firstLine="552" w:firstLineChars="200"/>
        <w:jc w:val="left"/>
        <w:rPr>
          <w:rFonts w:hint="eastAsia"/>
          <w:b w:val="0"/>
          <w:bCs/>
          <w:szCs w:val="28"/>
          <w:lang w:eastAsia="zh-CN"/>
        </w:rPr>
      </w:pPr>
    </w:p>
    <w:p>
      <w:pPr>
        <w:widowControl/>
        <w:spacing w:line="360" w:lineRule="auto"/>
        <w:ind w:firstLine="552" w:firstLineChars="200"/>
        <w:jc w:val="left"/>
        <w:rPr>
          <w:rFonts w:hint="eastAsia"/>
          <w:b w:val="0"/>
          <w:bCs/>
          <w:szCs w:val="28"/>
          <w:lang w:eastAsia="zh-CN"/>
        </w:rPr>
      </w:pPr>
    </w:p>
    <w:p>
      <w:pPr>
        <w:widowControl/>
        <w:spacing w:line="360" w:lineRule="auto"/>
        <w:ind w:firstLine="554" w:firstLineChars="200"/>
        <w:jc w:val="left"/>
        <w:rPr>
          <w:rFonts w:hint="eastAsia" w:eastAsia="宋体"/>
          <w:b/>
          <w:bCs w:val="0"/>
          <w:szCs w:val="28"/>
          <w:lang w:eastAsia="zh-CN"/>
        </w:rPr>
      </w:pPr>
      <w:r>
        <w:rPr>
          <w:rFonts w:hint="eastAsia"/>
          <w:b/>
          <w:bCs w:val="0"/>
          <w:szCs w:val="28"/>
          <w:lang w:eastAsia="zh-CN"/>
        </w:rPr>
        <w:t>三、</w:t>
      </w:r>
      <w:r>
        <w:rPr>
          <w:rFonts w:hint="eastAsia" w:ascii="宋体" w:hAnsi="宋体"/>
          <w:b/>
          <w:sz w:val="28"/>
          <w:szCs w:val="28"/>
        </w:rPr>
        <w:t>沼液废水</w:t>
      </w:r>
      <w:r>
        <w:rPr>
          <w:rFonts w:hint="eastAsia" w:ascii="宋体" w:hAnsi="宋体"/>
          <w:b/>
          <w:sz w:val="28"/>
          <w:szCs w:val="28"/>
          <w:lang w:eastAsia="zh-CN"/>
        </w:rPr>
        <w:t>防控措施</w:t>
      </w:r>
    </w:p>
    <w:p>
      <w:pPr>
        <w:widowControl/>
        <w:spacing w:line="360" w:lineRule="auto"/>
        <w:ind w:firstLine="552" w:firstLineChars="200"/>
        <w:jc w:val="left"/>
        <w:rPr>
          <w:rFonts w:hint="eastAsia"/>
          <w:b w:val="0"/>
          <w:bCs/>
          <w:szCs w:val="28"/>
        </w:rPr>
      </w:pPr>
      <w:r>
        <w:rPr>
          <w:rFonts w:hint="eastAsia"/>
          <w:b w:val="0"/>
          <w:bCs/>
          <w:szCs w:val="28"/>
        </w:rPr>
        <w:t>针对沼液泄漏事故的防范措施，具体如下：</w:t>
      </w:r>
    </w:p>
    <w:p>
      <w:pPr>
        <w:widowControl/>
        <w:spacing w:line="360" w:lineRule="auto"/>
        <w:ind w:firstLine="552" w:firstLineChars="200"/>
        <w:jc w:val="left"/>
        <w:rPr>
          <w:rFonts w:hint="eastAsia"/>
          <w:b w:val="0"/>
          <w:bCs/>
          <w:szCs w:val="28"/>
        </w:rPr>
      </w:pPr>
      <w:r>
        <w:rPr>
          <w:rFonts w:hint="eastAsia"/>
          <w:b w:val="0"/>
          <w:bCs/>
          <w:szCs w:val="28"/>
        </w:rPr>
        <w:t>（1）定期对沼液暂存池的外部检查，及时发现破损和漏处，检查记录应存档备查。</w:t>
      </w:r>
    </w:p>
    <w:p>
      <w:pPr>
        <w:widowControl/>
        <w:spacing w:line="360" w:lineRule="auto"/>
        <w:ind w:firstLine="552" w:firstLineChars="200"/>
        <w:jc w:val="left"/>
        <w:rPr>
          <w:rFonts w:hint="eastAsia"/>
          <w:b w:val="0"/>
          <w:bCs/>
          <w:szCs w:val="28"/>
        </w:rPr>
      </w:pPr>
      <w:r>
        <w:rPr>
          <w:rFonts w:hint="eastAsia"/>
          <w:b w:val="0"/>
          <w:bCs/>
          <w:szCs w:val="28"/>
        </w:rPr>
        <w:t>（2）在转移沼液时，严格按章操作，尽量避免事故的发生。</w:t>
      </w:r>
    </w:p>
    <w:p>
      <w:pPr>
        <w:widowControl/>
        <w:spacing w:line="360" w:lineRule="auto"/>
        <w:ind w:firstLine="552" w:firstLineChars="200"/>
        <w:jc w:val="left"/>
        <w:rPr>
          <w:rFonts w:hint="eastAsia"/>
          <w:b w:val="0"/>
          <w:bCs/>
          <w:szCs w:val="28"/>
        </w:rPr>
      </w:pPr>
      <w:r>
        <w:rPr>
          <w:rFonts w:hint="eastAsia"/>
          <w:b w:val="0"/>
          <w:bCs/>
          <w:szCs w:val="28"/>
        </w:rPr>
        <w:t>（3）厂区地面应经常打扫，保护清洁；库区内的杂物、易燃物及时清理，排水沟保持畅通。</w:t>
      </w:r>
    </w:p>
    <w:p>
      <w:pPr>
        <w:widowControl/>
        <w:spacing w:line="360" w:lineRule="auto"/>
        <w:ind w:firstLine="552" w:firstLineChars="200"/>
        <w:jc w:val="left"/>
        <w:rPr>
          <w:rFonts w:hint="eastAsia"/>
          <w:b w:val="0"/>
          <w:bCs/>
          <w:szCs w:val="28"/>
        </w:rPr>
      </w:pPr>
      <w:r>
        <w:rPr>
          <w:rFonts w:hint="eastAsia"/>
          <w:b w:val="0"/>
          <w:bCs/>
          <w:szCs w:val="28"/>
        </w:rPr>
        <w:t>（4）在脱水单元区内设有沼液暂存池（总容积为1000m</w:t>
      </w:r>
      <w:r>
        <w:rPr>
          <w:rFonts w:hint="eastAsia"/>
          <w:b w:val="0"/>
          <w:bCs/>
          <w:szCs w:val="28"/>
          <w:vertAlign w:val="superscript"/>
        </w:rPr>
        <w:t>3</w:t>
      </w:r>
      <w:r>
        <w:rPr>
          <w:rFonts w:hint="eastAsia"/>
          <w:b w:val="0"/>
          <w:bCs/>
          <w:szCs w:val="28"/>
        </w:rPr>
        <w:t>），一旦沼液的收集系统出现事故，沼液将暂时储存到沼液暂存池内，待事故排除后，将沼液暂存池中的沼液用船运输至中山市珍家山污水处理厂集中处理。</w:t>
      </w:r>
    </w:p>
    <w:p>
      <w:pPr>
        <w:widowControl/>
        <w:spacing w:line="360" w:lineRule="auto"/>
        <w:ind w:firstLine="552" w:firstLineChars="200"/>
        <w:jc w:val="left"/>
        <w:rPr>
          <w:rFonts w:hint="eastAsia"/>
          <w:b w:val="0"/>
          <w:bCs/>
          <w:szCs w:val="28"/>
        </w:rPr>
      </w:pPr>
      <w:r>
        <w:rPr>
          <w:rFonts w:hint="eastAsia"/>
          <w:b w:val="0"/>
          <w:bCs/>
          <w:szCs w:val="28"/>
        </w:rPr>
        <w:t>（5）在发生大量沼液泄漏时（已不能控制在脱水单元区内），工作人员将立即用沙包将厂区雨水管网</w:t>
      </w:r>
      <w:r>
        <w:rPr>
          <w:rFonts w:hint="eastAsia"/>
          <w:b w:val="0"/>
          <w:bCs/>
          <w:szCs w:val="28"/>
          <w:lang w:eastAsia="zh-CN"/>
        </w:rPr>
        <w:t>总排口阀门关闭</w:t>
      </w:r>
      <w:r>
        <w:rPr>
          <w:rFonts w:hint="eastAsia"/>
          <w:b w:val="0"/>
          <w:bCs/>
          <w:szCs w:val="28"/>
        </w:rPr>
        <w:t>，以防止泄漏的沼液废水通过雨水管网流入附近河涌，对河涌水质产生影响。</w:t>
      </w:r>
    </w:p>
    <w:p>
      <w:pPr>
        <w:widowControl/>
        <w:spacing w:line="360" w:lineRule="auto"/>
        <w:ind w:firstLine="554" w:firstLineChars="200"/>
        <w:jc w:val="left"/>
        <w:rPr>
          <w:rFonts w:hint="eastAsia" w:eastAsia="宋体"/>
          <w:b/>
          <w:bCs w:val="0"/>
          <w:szCs w:val="28"/>
          <w:lang w:eastAsia="zh-CN"/>
        </w:rPr>
      </w:pPr>
      <w:r>
        <w:rPr>
          <w:rFonts w:hint="eastAsia"/>
          <w:b/>
          <w:bCs w:val="0"/>
          <w:szCs w:val="28"/>
          <w:lang w:eastAsia="zh-CN"/>
        </w:rPr>
        <w:t>四、</w:t>
      </w:r>
      <w:r>
        <w:rPr>
          <w:rFonts w:hint="eastAsia" w:ascii="宋体" w:hAnsi="宋体"/>
          <w:b/>
          <w:sz w:val="28"/>
          <w:szCs w:val="28"/>
          <w:lang w:eastAsia="zh-CN"/>
        </w:rPr>
        <w:t>火灾爆炸防控措施</w:t>
      </w:r>
    </w:p>
    <w:p>
      <w:pPr>
        <w:widowControl/>
        <w:spacing w:line="360" w:lineRule="auto"/>
        <w:ind w:firstLine="552" w:firstLineChars="200"/>
        <w:jc w:val="left"/>
        <w:rPr>
          <w:rFonts w:hint="eastAsia"/>
          <w:b w:val="0"/>
          <w:bCs/>
          <w:szCs w:val="28"/>
        </w:rPr>
      </w:pPr>
      <w:r>
        <w:rPr>
          <w:rFonts w:hint="eastAsia"/>
          <w:b w:val="0"/>
          <w:bCs/>
          <w:szCs w:val="28"/>
        </w:rPr>
        <w:t>（1）设备的安全管理</w:t>
      </w:r>
    </w:p>
    <w:p>
      <w:pPr>
        <w:widowControl/>
        <w:spacing w:line="360" w:lineRule="auto"/>
        <w:ind w:firstLine="552" w:firstLineChars="200"/>
        <w:jc w:val="left"/>
        <w:rPr>
          <w:rFonts w:hint="eastAsia"/>
          <w:b w:val="0"/>
          <w:bCs/>
          <w:szCs w:val="28"/>
        </w:rPr>
      </w:pPr>
      <w:r>
        <w:rPr>
          <w:rFonts w:hint="eastAsia"/>
          <w:b w:val="0"/>
          <w:bCs/>
          <w:szCs w:val="28"/>
        </w:rPr>
        <w:t>定期对设备进行安全检测，检测内容、时间、人员要记录保存。安全检测根据安全性、危险性设定检测频次。此外，在装置区内的所有运营设备、电气装置都应满足防火防爆的要求。</w:t>
      </w:r>
    </w:p>
    <w:p>
      <w:pPr>
        <w:widowControl/>
        <w:spacing w:line="360" w:lineRule="auto"/>
        <w:ind w:firstLine="552" w:firstLineChars="200"/>
        <w:jc w:val="left"/>
        <w:rPr>
          <w:rFonts w:hint="eastAsia"/>
          <w:b w:val="0"/>
          <w:bCs/>
          <w:szCs w:val="28"/>
        </w:rPr>
      </w:pPr>
      <w:r>
        <w:rPr>
          <w:rFonts w:hint="eastAsia"/>
          <w:b w:val="0"/>
          <w:bCs/>
          <w:szCs w:val="28"/>
        </w:rPr>
        <w:t>（2）在总平面布置中，办公区域与其他构筑物的布置均留有足够的防火安全间距，道路设计则满足消防通道的要求，各构筑物严格按照《建筑设计防火规范》、《城镇燃气设计规范》、《工业企业总平面设计》、《工业企业设计卫生标准》的要求进行设计。</w:t>
      </w:r>
    </w:p>
    <w:p>
      <w:pPr>
        <w:widowControl/>
        <w:spacing w:line="360" w:lineRule="auto"/>
        <w:ind w:firstLine="552" w:firstLineChars="200"/>
        <w:jc w:val="left"/>
        <w:rPr>
          <w:rFonts w:hint="eastAsia"/>
          <w:b w:val="0"/>
          <w:bCs/>
          <w:szCs w:val="28"/>
        </w:rPr>
      </w:pPr>
      <w:r>
        <w:rPr>
          <w:rFonts w:hint="eastAsia"/>
          <w:b w:val="0"/>
          <w:bCs/>
          <w:szCs w:val="28"/>
        </w:rPr>
        <w:t>（3）污泥前处理单位及厌氧消化罐区、沼气净化压缩处理单元在生产过程中均有可能发生沼气泄漏，泄漏的沼气与空气混合达到爆炸极限，遇到点火源就会发生爆炸事故。厂区内固定的明火点或散发火花点有锅炉烟囱口、火炬和锅炉炉膛，与明火点的距离符合《建筑设计防火规范》的规定，并采取设备本身的安全设施措施。</w:t>
      </w:r>
      <w:r>
        <w:rPr>
          <w:rFonts w:hint="eastAsia"/>
          <w:b w:val="0"/>
          <w:bCs/>
          <w:szCs w:val="28"/>
        </w:rPr>
        <w:fldChar w:fldCharType="begin"/>
      </w:r>
      <w:r>
        <w:rPr>
          <w:rFonts w:hint="eastAsia"/>
          <w:b w:val="0"/>
          <w:bCs/>
          <w:szCs w:val="28"/>
        </w:rPr>
        <w:instrText xml:space="preserve"> LINK Word.Document.8 I:\\环境风险预案.doc OLE_LINK2 \a \r  \* MERGEFORMAT </w:instrText>
      </w:r>
      <w:bookmarkStart w:id="220" w:name="_1435839271"/>
      <w:bookmarkEnd w:id="220"/>
      <w:r>
        <w:rPr>
          <w:rFonts w:hint="eastAsia"/>
          <w:b w:val="0"/>
          <w:bCs/>
          <w:szCs w:val="28"/>
        </w:rPr>
        <w:fldChar w:fldCharType="separate"/>
      </w:r>
    </w:p>
    <w:p>
      <w:pPr>
        <w:widowControl/>
        <w:spacing w:line="360" w:lineRule="auto"/>
        <w:ind w:firstLine="552" w:firstLineChars="200"/>
        <w:jc w:val="left"/>
        <w:rPr>
          <w:rFonts w:hint="eastAsia"/>
          <w:b w:val="0"/>
          <w:bCs/>
          <w:szCs w:val="28"/>
        </w:rPr>
      </w:pPr>
      <w:r>
        <w:rPr>
          <w:rFonts w:hint="eastAsia"/>
          <w:b w:val="0"/>
          <w:bCs/>
          <w:szCs w:val="28"/>
        </w:rPr>
        <w:fldChar w:fldCharType="end"/>
      </w:r>
      <w:r>
        <w:rPr>
          <w:rFonts w:hint="eastAsia"/>
          <w:b w:val="0"/>
          <w:bCs/>
          <w:szCs w:val="28"/>
        </w:rPr>
        <w:t>（4）沼气净化压缩处理单元内部布局符合《城镇燃气设计规范》的要求。</w:t>
      </w:r>
    </w:p>
    <w:p>
      <w:pPr>
        <w:widowControl/>
        <w:spacing w:line="360" w:lineRule="auto"/>
        <w:ind w:firstLine="552" w:firstLineChars="200"/>
        <w:jc w:val="left"/>
        <w:rPr>
          <w:rFonts w:hint="eastAsia"/>
          <w:b w:val="0"/>
          <w:bCs/>
          <w:szCs w:val="28"/>
        </w:rPr>
      </w:pPr>
      <w:r>
        <w:rPr>
          <w:rFonts w:hint="eastAsia"/>
          <w:b w:val="0"/>
          <w:bCs/>
          <w:szCs w:val="28"/>
        </w:rPr>
        <w:t>（5）沼气产气区的每个厌氧消化罐顶部设置有</w:t>
      </w:r>
      <w:r>
        <w:rPr>
          <w:rFonts w:hint="eastAsia"/>
          <w:b w:val="0"/>
          <w:bCs/>
          <w:szCs w:val="28"/>
          <w:lang w:val="en-US" w:eastAsia="zh-CN"/>
        </w:rPr>
        <w:t>5</w:t>
      </w:r>
      <w:r>
        <w:rPr>
          <w:rFonts w:hint="eastAsia"/>
          <w:b w:val="0"/>
          <w:bCs/>
          <w:szCs w:val="28"/>
        </w:rPr>
        <w:t>00m</w:t>
      </w:r>
      <w:r>
        <w:rPr>
          <w:rFonts w:hint="eastAsia"/>
          <w:b w:val="0"/>
          <w:bCs/>
          <w:szCs w:val="28"/>
          <w:vertAlign w:val="superscript"/>
        </w:rPr>
        <w:t>3</w:t>
      </w:r>
      <w:r>
        <w:rPr>
          <w:rFonts w:hint="eastAsia"/>
          <w:b w:val="0"/>
          <w:bCs/>
          <w:szCs w:val="28"/>
        </w:rPr>
        <w:t>的沼气气囊；在压缩机前设置了1个2 m</w:t>
      </w:r>
      <w:r>
        <w:rPr>
          <w:rFonts w:hint="eastAsia"/>
          <w:b w:val="0"/>
          <w:bCs/>
          <w:szCs w:val="28"/>
          <w:vertAlign w:val="superscript"/>
        </w:rPr>
        <w:t>3</w:t>
      </w:r>
      <w:r>
        <w:rPr>
          <w:rFonts w:hint="eastAsia"/>
          <w:b w:val="0"/>
          <w:bCs/>
          <w:szCs w:val="28"/>
        </w:rPr>
        <w:t>的缓冲罐。</w:t>
      </w:r>
    </w:p>
    <w:p>
      <w:pPr>
        <w:widowControl/>
        <w:spacing w:line="360" w:lineRule="auto"/>
        <w:ind w:firstLine="552" w:firstLineChars="200"/>
        <w:jc w:val="left"/>
        <w:rPr>
          <w:rFonts w:hint="eastAsia"/>
          <w:b w:val="0"/>
          <w:bCs/>
          <w:szCs w:val="28"/>
        </w:rPr>
      </w:pPr>
      <w:r>
        <w:rPr>
          <w:rFonts w:hint="eastAsia"/>
          <w:b w:val="0"/>
          <w:bCs/>
          <w:szCs w:val="28"/>
        </w:rPr>
        <w:t>（6）根据规范要求设置可燃气体报警装置。</w:t>
      </w:r>
    </w:p>
    <w:p>
      <w:pPr>
        <w:widowControl/>
        <w:spacing w:line="360" w:lineRule="auto"/>
        <w:ind w:firstLine="552" w:firstLineChars="200"/>
        <w:jc w:val="left"/>
        <w:rPr>
          <w:rFonts w:hint="eastAsia"/>
          <w:b w:val="0"/>
          <w:bCs/>
          <w:szCs w:val="28"/>
        </w:rPr>
      </w:pPr>
      <w:r>
        <w:rPr>
          <w:rFonts w:hint="eastAsia"/>
          <w:b w:val="0"/>
          <w:bCs/>
          <w:szCs w:val="28"/>
        </w:rPr>
        <w:t>（7）沼气净化系统均采用网络化集散型计算机控制管理的智能型系统方案，正常情况下，由系统自动控制沼气压力等参数；若发生异常情况时系统当发出报警信号，并通过手机短信的形式将报警信息发送给相关人员，以方便维护人员及时发现报警，即时处理，杜绝事故的发生。</w:t>
      </w:r>
    </w:p>
    <w:p>
      <w:pPr>
        <w:widowControl/>
        <w:spacing w:line="360" w:lineRule="auto"/>
        <w:ind w:firstLine="552" w:firstLineChars="200"/>
        <w:jc w:val="left"/>
        <w:rPr>
          <w:rFonts w:hint="eastAsia"/>
          <w:b w:val="0"/>
          <w:bCs/>
          <w:szCs w:val="28"/>
        </w:rPr>
      </w:pPr>
      <w:r>
        <w:rPr>
          <w:rFonts w:hint="eastAsia"/>
          <w:b w:val="0"/>
          <w:bCs/>
          <w:szCs w:val="28"/>
        </w:rPr>
        <w:t>（8）对罗茨风机出口总管、压缩机、除氧器上部设备出水管等部分均安装了在线仪表，以便于及时了解到各部位的压力。</w:t>
      </w:r>
    </w:p>
    <w:p>
      <w:pPr>
        <w:widowControl/>
        <w:spacing w:line="360" w:lineRule="auto"/>
        <w:ind w:firstLine="552" w:firstLineChars="200"/>
        <w:jc w:val="left"/>
        <w:rPr>
          <w:rFonts w:hint="eastAsia"/>
          <w:b w:val="0"/>
          <w:bCs/>
          <w:szCs w:val="28"/>
        </w:rPr>
      </w:pPr>
      <w:r>
        <w:rPr>
          <w:rFonts w:hint="eastAsia"/>
          <w:b w:val="0"/>
          <w:bCs/>
          <w:szCs w:val="28"/>
        </w:rPr>
        <w:t>（9）按照相关防雷规范要求对建筑物采取相应的避雷措施。</w:t>
      </w:r>
    </w:p>
    <w:p>
      <w:pPr>
        <w:widowControl/>
        <w:spacing w:line="360" w:lineRule="auto"/>
        <w:ind w:firstLine="552" w:firstLineChars="200"/>
        <w:jc w:val="left"/>
        <w:rPr>
          <w:rFonts w:hint="eastAsia"/>
          <w:b w:val="0"/>
          <w:bCs/>
          <w:szCs w:val="28"/>
        </w:rPr>
      </w:pPr>
      <w:r>
        <w:rPr>
          <w:rFonts w:hint="eastAsia"/>
          <w:b w:val="0"/>
          <w:bCs/>
          <w:szCs w:val="28"/>
        </w:rPr>
        <w:t>（10）火灾爆炸敏感区内的照明、电机等电力装置的选型设计，严格按照《爆炸和火灾危险环境电力装置设计规范》（GB50058-92）的要求进行，照明、电机等电力装置易产生静电等。</w:t>
      </w:r>
    </w:p>
    <w:p>
      <w:pPr>
        <w:widowControl/>
        <w:spacing w:line="360" w:lineRule="auto"/>
        <w:ind w:firstLine="552" w:firstLineChars="200"/>
        <w:jc w:val="left"/>
        <w:rPr>
          <w:rFonts w:hint="eastAsia"/>
          <w:b w:val="0"/>
          <w:bCs/>
          <w:szCs w:val="28"/>
        </w:rPr>
      </w:pPr>
      <w:r>
        <w:rPr>
          <w:rFonts w:hint="eastAsia"/>
          <w:b w:val="0"/>
          <w:bCs/>
          <w:szCs w:val="28"/>
        </w:rPr>
        <w:t>（11）配备完善的消防设施，针对不同的工作部位，设计相应的消防系统。消防系统的设计严格遵守《建筑设计防火规范》GBJ16-87中的要求。在火灾爆炸的敏感区设计符合设计规范的消防管网、消防栓和各种手持式灭火器材，一旦发生险情可及时发现处理，消灭隐患。</w:t>
      </w:r>
    </w:p>
    <w:p>
      <w:pPr>
        <w:widowControl/>
        <w:spacing w:line="360" w:lineRule="auto"/>
        <w:ind w:firstLine="552" w:firstLineChars="200"/>
        <w:jc w:val="left"/>
        <w:rPr>
          <w:rFonts w:hint="eastAsia"/>
          <w:b w:val="0"/>
          <w:bCs/>
          <w:szCs w:val="28"/>
        </w:rPr>
      </w:pPr>
      <w:r>
        <w:rPr>
          <w:rFonts w:hint="eastAsia"/>
          <w:b w:val="0"/>
          <w:bCs/>
          <w:szCs w:val="28"/>
        </w:rPr>
        <w:t>（12）发生火灾和爆炸事件时，应立即</w:t>
      </w:r>
      <w:r>
        <w:rPr>
          <w:rFonts w:hint="eastAsia"/>
          <w:b w:val="0"/>
          <w:bCs/>
          <w:szCs w:val="28"/>
          <w:lang w:eastAsia="zh-CN"/>
        </w:rPr>
        <w:t>关闭</w:t>
      </w:r>
      <w:r>
        <w:rPr>
          <w:rFonts w:hint="eastAsia"/>
          <w:b w:val="0"/>
          <w:bCs/>
          <w:szCs w:val="28"/>
        </w:rPr>
        <w:t>雨水总排口</w:t>
      </w:r>
      <w:r>
        <w:rPr>
          <w:rFonts w:hint="eastAsia"/>
          <w:b w:val="0"/>
          <w:bCs/>
          <w:szCs w:val="28"/>
          <w:lang w:eastAsia="zh-CN"/>
        </w:rPr>
        <w:t>阀门</w:t>
      </w:r>
      <w:r>
        <w:rPr>
          <w:rFonts w:hint="eastAsia"/>
          <w:b w:val="0"/>
          <w:bCs/>
          <w:szCs w:val="28"/>
        </w:rPr>
        <w:t>，以防止污染物通过</w:t>
      </w:r>
      <w:r>
        <w:rPr>
          <w:rFonts w:hint="eastAsia"/>
          <w:b w:val="0"/>
          <w:bCs/>
          <w:szCs w:val="28"/>
          <w:lang w:eastAsia="zh-CN"/>
        </w:rPr>
        <w:t>雨水</w:t>
      </w:r>
      <w:r>
        <w:rPr>
          <w:rFonts w:hint="eastAsia"/>
          <w:b w:val="0"/>
          <w:bCs/>
          <w:szCs w:val="28"/>
        </w:rPr>
        <w:t>排放口流入到厂外，对厂外水体造成污染；同时，通知相关人员启动通入事故应急池的应急排污泵，引导污染物、消防废水流入应急管道，最终流入事故应急池内，待事故终止后再作进一步处理。</w:t>
      </w:r>
    </w:p>
    <w:p>
      <w:pPr>
        <w:widowControl/>
        <w:spacing w:line="360" w:lineRule="auto"/>
        <w:ind w:firstLine="552" w:firstLineChars="200"/>
        <w:jc w:val="left"/>
        <w:rPr>
          <w:rFonts w:hint="eastAsia"/>
          <w:b w:val="0"/>
          <w:bCs/>
          <w:szCs w:val="28"/>
        </w:rPr>
      </w:pPr>
    </w:p>
    <w:p>
      <w:pPr>
        <w:widowControl/>
        <w:spacing w:line="360" w:lineRule="auto"/>
        <w:ind w:firstLine="554" w:firstLineChars="200"/>
        <w:jc w:val="left"/>
        <w:rPr>
          <w:rFonts w:hint="eastAsia" w:eastAsia="宋体"/>
          <w:b/>
          <w:bCs w:val="0"/>
          <w:szCs w:val="28"/>
          <w:lang w:eastAsia="zh-CN"/>
        </w:rPr>
      </w:pPr>
      <w:r>
        <w:rPr>
          <w:rFonts w:hint="eastAsia"/>
          <w:b/>
          <w:bCs w:val="0"/>
          <w:szCs w:val="28"/>
          <w:lang w:eastAsia="zh-CN"/>
        </w:rPr>
        <w:t>五、地震、洪水等自然灾害</w:t>
      </w:r>
      <w:r>
        <w:rPr>
          <w:rFonts w:hint="eastAsia" w:ascii="宋体" w:hAnsi="宋体"/>
          <w:b/>
          <w:sz w:val="28"/>
          <w:szCs w:val="28"/>
          <w:lang w:eastAsia="zh-CN"/>
        </w:rPr>
        <w:t>防控措施</w:t>
      </w:r>
    </w:p>
    <w:p>
      <w:pPr>
        <w:widowControl/>
        <w:spacing w:line="360" w:lineRule="auto"/>
        <w:ind w:firstLine="552" w:firstLineChars="200"/>
        <w:jc w:val="left"/>
        <w:rPr>
          <w:rFonts w:hint="eastAsia"/>
          <w:b w:val="0"/>
          <w:bCs/>
          <w:szCs w:val="28"/>
        </w:rPr>
      </w:pPr>
      <w:r>
        <w:rPr>
          <w:rFonts w:hint="eastAsia"/>
          <w:b w:val="0"/>
          <w:bCs/>
          <w:szCs w:val="28"/>
          <w:lang w:eastAsia="zh-CN"/>
        </w:rPr>
        <w:t>（</w:t>
      </w:r>
      <w:r>
        <w:rPr>
          <w:rFonts w:hint="eastAsia"/>
          <w:b w:val="0"/>
          <w:bCs/>
          <w:szCs w:val="28"/>
          <w:lang w:val="en-US" w:eastAsia="zh-CN"/>
        </w:rPr>
        <w:t>1</w:t>
      </w:r>
      <w:r>
        <w:rPr>
          <w:rFonts w:hint="eastAsia"/>
          <w:b w:val="0"/>
          <w:bCs/>
          <w:szCs w:val="28"/>
          <w:lang w:eastAsia="zh-CN"/>
        </w:rPr>
        <w:t>）</w:t>
      </w:r>
      <w:r>
        <w:rPr>
          <w:rFonts w:hint="eastAsia"/>
          <w:b w:val="0"/>
          <w:bCs/>
          <w:szCs w:val="28"/>
        </w:rPr>
        <w:t>抗震</w:t>
      </w:r>
    </w:p>
    <w:p>
      <w:pPr>
        <w:widowControl/>
        <w:spacing w:line="360" w:lineRule="auto"/>
        <w:ind w:firstLine="552" w:firstLineChars="200"/>
        <w:jc w:val="left"/>
        <w:rPr>
          <w:rFonts w:hint="eastAsia"/>
          <w:b w:val="0"/>
          <w:bCs/>
          <w:szCs w:val="28"/>
        </w:rPr>
      </w:pPr>
      <w:r>
        <w:rPr>
          <w:rFonts w:hint="eastAsia"/>
          <w:b w:val="0"/>
          <w:bCs/>
          <w:szCs w:val="28"/>
          <w:lang w:eastAsia="zh-CN"/>
        </w:rPr>
        <w:t>公司</w:t>
      </w:r>
      <w:r>
        <w:rPr>
          <w:rFonts w:hint="eastAsia"/>
          <w:b w:val="0"/>
          <w:bCs/>
          <w:szCs w:val="28"/>
        </w:rPr>
        <w:t>工程区域的地震基本烈度为7度，污泥处理厂设计均按7度设防，工程的建、构筑物抗震设计均按《建筑抗震设计规范》的有关要求进行。</w:t>
      </w:r>
    </w:p>
    <w:p>
      <w:pPr>
        <w:widowControl/>
        <w:spacing w:line="360" w:lineRule="auto"/>
        <w:ind w:firstLine="552" w:firstLineChars="200"/>
        <w:jc w:val="left"/>
        <w:rPr>
          <w:rFonts w:hint="eastAsia"/>
          <w:b w:val="0"/>
          <w:bCs/>
          <w:szCs w:val="28"/>
        </w:rPr>
      </w:pPr>
      <w:r>
        <w:rPr>
          <w:rFonts w:hint="eastAsia"/>
          <w:b w:val="0"/>
          <w:bCs/>
          <w:szCs w:val="28"/>
          <w:lang w:eastAsia="zh-CN"/>
        </w:rPr>
        <w:t>（</w:t>
      </w:r>
      <w:r>
        <w:rPr>
          <w:rFonts w:hint="eastAsia"/>
          <w:b w:val="0"/>
          <w:bCs/>
          <w:szCs w:val="28"/>
          <w:lang w:val="en-US" w:eastAsia="zh-CN"/>
        </w:rPr>
        <w:t>2</w:t>
      </w:r>
      <w:r>
        <w:rPr>
          <w:rFonts w:hint="eastAsia"/>
          <w:b w:val="0"/>
          <w:bCs/>
          <w:szCs w:val="28"/>
          <w:lang w:eastAsia="zh-CN"/>
        </w:rPr>
        <w:t>）</w:t>
      </w:r>
      <w:r>
        <w:rPr>
          <w:rFonts w:hint="eastAsia"/>
          <w:b w:val="0"/>
          <w:bCs/>
          <w:szCs w:val="28"/>
        </w:rPr>
        <w:t>抗洪</w:t>
      </w:r>
    </w:p>
    <w:p>
      <w:pPr>
        <w:widowControl/>
        <w:spacing w:line="360" w:lineRule="auto"/>
        <w:ind w:firstLine="552" w:firstLineChars="200"/>
        <w:jc w:val="left"/>
        <w:rPr>
          <w:rFonts w:hint="eastAsia"/>
          <w:b w:val="0"/>
          <w:bCs/>
          <w:szCs w:val="28"/>
        </w:rPr>
      </w:pPr>
      <w:r>
        <w:rPr>
          <w:rFonts w:hint="eastAsia"/>
          <w:b w:val="0"/>
          <w:bCs/>
          <w:szCs w:val="28"/>
        </w:rPr>
        <w:t>设计中为了防止内涝，及时排出雨水，避免积水毁坏设备、厂房。</w:t>
      </w:r>
    </w:p>
    <w:p>
      <w:pPr>
        <w:widowControl/>
        <w:spacing w:line="360" w:lineRule="auto"/>
        <w:ind w:firstLine="552" w:firstLineChars="200"/>
        <w:jc w:val="left"/>
        <w:rPr>
          <w:rFonts w:hint="eastAsia"/>
          <w:b w:val="0"/>
          <w:bCs/>
          <w:szCs w:val="28"/>
        </w:rPr>
      </w:pPr>
      <w:r>
        <w:rPr>
          <w:rFonts w:hint="eastAsia"/>
          <w:b w:val="0"/>
          <w:bCs/>
          <w:szCs w:val="28"/>
          <w:lang w:eastAsia="zh-CN"/>
        </w:rPr>
        <w:t>（</w:t>
      </w:r>
      <w:r>
        <w:rPr>
          <w:rFonts w:hint="eastAsia"/>
          <w:b w:val="0"/>
          <w:bCs/>
          <w:szCs w:val="28"/>
          <w:lang w:val="en-US" w:eastAsia="zh-CN"/>
        </w:rPr>
        <w:t>3</w:t>
      </w:r>
      <w:r>
        <w:rPr>
          <w:rFonts w:hint="eastAsia"/>
          <w:b w:val="0"/>
          <w:bCs/>
          <w:szCs w:val="28"/>
          <w:lang w:eastAsia="zh-CN"/>
        </w:rPr>
        <w:t>）</w:t>
      </w:r>
      <w:r>
        <w:rPr>
          <w:rFonts w:hint="eastAsia"/>
          <w:b w:val="0"/>
          <w:bCs/>
          <w:szCs w:val="28"/>
        </w:rPr>
        <w:t>防雷</w:t>
      </w:r>
    </w:p>
    <w:p>
      <w:pPr>
        <w:widowControl/>
        <w:spacing w:line="360" w:lineRule="auto"/>
        <w:ind w:firstLine="552" w:firstLineChars="200"/>
        <w:jc w:val="left"/>
        <w:rPr>
          <w:rFonts w:hint="eastAsia"/>
          <w:b w:val="0"/>
          <w:bCs/>
          <w:szCs w:val="28"/>
        </w:rPr>
      </w:pPr>
      <w:r>
        <w:rPr>
          <w:rFonts w:hint="eastAsia"/>
          <w:b w:val="0"/>
          <w:bCs/>
          <w:szCs w:val="28"/>
        </w:rPr>
        <w:t>为防止直接雷的侵害，鼓风机房变电所按二类防雷建筑考虑，设置防雷设备。在厂区内其它建筑物按三类防雷建筑考虑，屋面装设避雷带或避雷网。因本厂区存在大量易燃易爆气体，且消化罐较高，故消化罐罐及储气柜应按一类防雷建筑考虑，设置独立的避雷针。并使其全部在保护半径之内。</w:t>
      </w:r>
    </w:p>
    <w:p>
      <w:pPr>
        <w:pStyle w:val="3"/>
      </w:pPr>
      <w:bookmarkStart w:id="221" w:name="_Toc4711"/>
      <w:bookmarkStart w:id="222" w:name="_Toc28950"/>
      <w:bookmarkStart w:id="223" w:name="_Toc15286"/>
      <w:bookmarkStart w:id="224" w:name="_Toc27260"/>
      <w:r>
        <w:t>6.2</w:t>
      </w:r>
      <w:bookmarkEnd w:id="221"/>
      <w:bookmarkEnd w:id="222"/>
      <w:bookmarkEnd w:id="223"/>
      <w:r>
        <w:rPr>
          <w:rFonts w:hint="eastAsia"/>
        </w:rPr>
        <w:t>预警</w:t>
      </w:r>
      <w:bookmarkEnd w:id="224"/>
    </w:p>
    <w:p>
      <w:pPr>
        <w:spacing w:line="360" w:lineRule="auto"/>
        <w:ind w:firstLine="552" w:firstLineChars="200"/>
        <w:rPr>
          <w:rFonts w:hint="eastAsia"/>
          <w:szCs w:val="28"/>
        </w:rPr>
      </w:pPr>
      <w:r>
        <w:rPr>
          <w:rFonts w:hint="eastAsia"/>
          <w:szCs w:val="28"/>
        </w:rPr>
        <w:t>若收集到的有关信息证明突发环境污染事件即将发生或发生的可能性增大，环境应急</w:t>
      </w:r>
      <w:r>
        <w:rPr>
          <w:rFonts w:hint="eastAsia"/>
          <w:szCs w:val="28"/>
          <w:lang w:eastAsia="zh-CN"/>
        </w:rPr>
        <w:t>指挥</w:t>
      </w:r>
      <w:r>
        <w:rPr>
          <w:rFonts w:hint="eastAsia"/>
          <w:szCs w:val="28"/>
        </w:rPr>
        <w:t>小组讨论后确定环境污染事件的预警级别后，及时向公司领导、部门、车间负责人</w:t>
      </w:r>
      <w:r>
        <w:rPr>
          <w:rFonts w:hint="eastAsia"/>
          <w:szCs w:val="28"/>
          <w:lang w:eastAsia="zh-CN"/>
        </w:rPr>
        <w:t>、应急专业小组</w:t>
      </w:r>
      <w:r>
        <w:rPr>
          <w:rFonts w:hint="eastAsia"/>
          <w:szCs w:val="28"/>
        </w:rPr>
        <w:t>通报相关情况，提出启动公司突发环境事件应急预警的建议，然后由</w:t>
      </w:r>
      <w:r>
        <w:rPr>
          <w:rFonts w:hint="eastAsia"/>
          <w:szCs w:val="28"/>
          <w:lang w:eastAsia="zh-CN"/>
        </w:rPr>
        <w:t>总指挥</w:t>
      </w:r>
      <w:r>
        <w:rPr>
          <w:rFonts w:hint="eastAsia"/>
          <w:szCs w:val="28"/>
        </w:rPr>
        <w:t>确定预警等级，采取相应的预警措施。</w:t>
      </w:r>
    </w:p>
    <w:p>
      <w:pPr>
        <w:spacing w:line="360" w:lineRule="auto"/>
        <w:ind w:firstLine="554" w:firstLineChars="200"/>
        <w:rPr>
          <w:b/>
          <w:szCs w:val="28"/>
        </w:rPr>
      </w:pPr>
      <w:r>
        <w:rPr>
          <w:rFonts w:hint="eastAsia"/>
          <w:b/>
          <w:szCs w:val="28"/>
        </w:rPr>
        <w:t>6.2.1 预警级别及条件</w:t>
      </w:r>
    </w:p>
    <w:p>
      <w:pPr>
        <w:spacing w:line="360" w:lineRule="auto"/>
        <w:ind w:firstLine="552" w:firstLineChars="200"/>
        <w:rPr>
          <w:szCs w:val="28"/>
        </w:rPr>
      </w:pPr>
      <w:r>
        <w:rPr>
          <w:rFonts w:hint="eastAsia"/>
          <w:szCs w:val="28"/>
        </w:rPr>
        <w:t>按照事故的可控性、后果的严重性、影响范围和紧急程度，本预案预警级别为三级预警：三级（一般）预警，二级（较大）预警、一级（重大）预警。预警信号由低到高分别为黄色（三级）、橙色（二级）、红色（一级）。</w:t>
      </w:r>
    </w:p>
    <w:p>
      <w:pPr>
        <w:widowControl/>
        <w:spacing w:before="50" w:line="360" w:lineRule="auto"/>
        <w:ind w:firstLine="560" w:firstLineChars="200"/>
        <w:jc w:val="left"/>
        <w:rPr>
          <w:rFonts w:hAnsi="宋体"/>
          <w:spacing w:val="0"/>
          <w:kern w:val="2"/>
          <w:szCs w:val="24"/>
        </w:rPr>
      </w:pPr>
      <w:r>
        <w:rPr>
          <w:rFonts w:hAnsi="宋体"/>
          <w:spacing w:val="0"/>
          <w:kern w:val="2"/>
          <w:szCs w:val="24"/>
        </w:rPr>
        <w:t>（</w:t>
      </w:r>
      <w:r>
        <w:rPr>
          <w:rFonts w:hint="eastAsia" w:hAnsi="宋体"/>
          <w:spacing w:val="0"/>
          <w:kern w:val="2"/>
          <w:szCs w:val="24"/>
        </w:rPr>
        <w:t>1</w:t>
      </w:r>
      <w:r>
        <w:rPr>
          <w:rFonts w:hAnsi="宋体"/>
          <w:spacing w:val="0"/>
          <w:kern w:val="2"/>
          <w:szCs w:val="24"/>
        </w:rPr>
        <w:t>）三级（一般）预警条件：</w:t>
      </w:r>
      <w:r>
        <w:rPr>
          <w:rFonts w:hint="eastAsia" w:hAnsi="宋体"/>
          <w:spacing w:val="0"/>
          <w:kern w:val="2"/>
          <w:szCs w:val="24"/>
        </w:rPr>
        <w:t>可能引发突发环境事故，</w:t>
      </w:r>
      <w:r>
        <w:rPr>
          <w:rFonts w:hAnsi="宋体"/>
          <w:spacing w:val="0"/>
          <w:kern w:val="2"/>
          <w:szCs w:val="24"/>
        </w:rPr>
        <w:t>处于事故的发生阶段，仅需要第一发现者或该岗位操作人员进行简单处理，即可消除隐患。具体包括以下情况：</w:t>
      </w:r>
    </w:p>
    <w:p>
      <w:pPr>
        <w:widowControl/>
        <w:spacing w:before="120" w:beforeLines="50" w:line="360" w:lineRule="auto"/>
        <w:ind w:firstLine="560" w:firstLineChars="200"/>
        <w:jc w:val="left"/>
        <w:rPr>
          <w:rFonts w:hAnsi="宋体"/>
          <w:spacing w:val="0"/>
          <w:kern w:val="2"/>
          <w:szCs w:val="24"/>
        </w:rPr>
      </w:pPr>
      <w:r>
        <w:rPr>
          <w:rFonts w:hint="eastAsia" w:hAnsi="宋体"/>
          <w:spacing w:val="0"/>
          <w:kern w:val="2"/>
          <w:szCs w:val="24"/>
        </w:rPr>
        <w:t>①异常天气状况，可能影响企业的正常生产</w:t>
      </w:r>
      <w:r>
        <w:rPr>
          <w:rFonts w:hAnsi="宋体"/>
          <w:spacing w:val="0"/>
          <w:kern w:val="2"/>
          <w:szCs w:val="24"/>
        </w:rPr>
        <w:t>；</w:t>
      </w:r>
    </w:p>
    <w:p>
      <w:pPr>
        <w:widowControl/>
        <w:spacing w:before="120" w:beforeLines="50" w:line="360" w:lineRule="auto"/>
        <w:ind w:firstLine="560" w:firstLineChars="200"/>
        <w:jc w:val="left"/>
        <w:rPr>
          <w:rFonts w:hAnsi="宋体"/>
          <w:spacing w:val="0"/>
          <w:kern w:val="2"/>
          <w:szCs w:val="24"/>
        </w:rPr>
      </w:pPr>
      <w:r>
        <w:rPr>
          <w:rFonts w:hint="eastAsia" w:hAnsi="宋体"/>
          <w:spacing w:val="0"/>
          <w:kern w:val="2"/>
          <w:szCs w:val="24"/>
        </w:rPr>
        <w:t>②</w:t>
      </w:r>
      <w:bookmarkStart w:id="225" w:name="_Hlk522114338"/>
      <w:r>
        <w:rPr>
          <w:rFonts w:hint="eastAsia" w:hAnsi="宋体"/>
          <w:spacing w:val="0"/>
          <w:kern w:val="2"/>
          <w:szCs w:val="24"/>
          <w:lang w:eastAsia="zh-CN"/>
        </w:rPr>
        <w:t>污泥输送管道</w:t>
      </w:r>
      <w:r>
        <w:rPr>
          <w:rFonts w:hint="eastAsia" w:hAnsi="宋体"/>
          <w:spacing w:val="0"/>
          <w:kern w:val="2"/>
          <w:szCs w:val="24"/>
        </w:rPr>
        <w:t>出现</w:t>
      </w:r>
      <w:r>
        <w:rPr>
          <w:rFonts w:hint="eastAsia" w:hAnsi="宋体"/>
          <w:spacing w:val="0"/>
          <w:kern w:val="2"/>
          <w:szCs w:val="24"/>
          <w:lang w:eastAsia="zh-CN"/>
        </w:rPr>
        <w:t>裂纹等异常</w:t>
      </w:r>
      <w:r>
        <w:rPr>
          <w:rFonts w:hAnsi="宋体"/>
          <w:spacing w:val="0"/>
          <w:kern w:val="2"/>
          <w:szCs w:val="24"/>
        </w:rPr>
        <w:t>，</w:t>
      </w:r>
      <w:r>
        <w:rPr>
          <w:rFonts w:hint="eastAsia" w:hAnsi="宋体"/>
          <w:spacing w:val="0"/>
          <w:kern w:val="2"/>
          <w:szCs w:val="24"/>
        </w:rPr>
        <w:t>但未出现泄漏</w:t>
      </w:r>
      <w:bookmarkEnd w:id="225"/>
      <w:r>
        <w:rPr>
          <w:rFonts w:hAnsi="宋体"/>
          <w:spacing w:val="0"/>
          <w:kern w:val="2"/>
          <w:szCs w:val="24"/>
        </w:rPr>
        <w:t>；</w:t>
      </w:r>
    </w:p>
    <w:p>
      <w:pPr>
        <w:widowControl/>
        <w:spacing w:before="50" w:line="360" w:lineRule="auto"/>
        <w:ind w:firstLine="560" w:firstLineChars="200"/>
        <w:jc w:val="left"/>
        <w:rPr>
          <w:rFonts w:hAnsi="宋体"/>
          <w:spacing w:val="0"/>
          <w:kern w:val="2"/>
          <w:szCs w:val="24"/>
        </w:rPr>
      </w:pPr>
      <w:r>
        <w:rPr>
          <w:rFonts w:hint="eastAsia" w:hAnsi="宋体"/>
          <w:spacing w:val="0"/>
          <w:kern w:val="2"/>
          <w:szCs w:val="24"/>
        </w:rPr>
        <w:t>③生产设备出现运转异常、破损或处松动等情况；</w:t>
      </w:r>
    </w:p>
    <w:p>
      <w:pPr>
        <w:widowControl/>
        <w:spacing w:before="50" w:line="360" w:lineRule="auto"/>
        <w:ind w:firstLine="560" w:firstLineChars="200"/>
        <w:jc w:val="left"/>
        <w:rPr>
          <w:rFonts w:hint="eastAsia" w:hAnsi="宋体" w:eastAsia="宋体"/>
          <w:spacing w:val="0"/>
          <w:kern w:val="2"/>
          <w:szCs w:val="24"/>
          <w:lang w:eastAsia="zh-CN"/>
        </w:rPr>
      </w:pPr>
      <w:r>
        <w:rPr>
          <w:rFonts w:hint="eastAsia" w:hAnsi="宋体"/>
          <w:spacing w:val="0"/>
          <w:kern w:val="2"/>
          <w:szCs w:val="24"/>
        </w:rPr>
        <w:t>④</w:t>
      </w:r>
      <w:r>
        <w:rPr>
          <w:rFonts w:hint="eastAsia" w:hAnsi="宋体"/>
          <w:spacing w:val="0"/>
          <w:kern w:val="2"/>
          <w:szCs w:val="24"/>
          <w:lang w:eastAsia="zh-CN"/>
        </w:rPr>
        <w:t>厂内污泥运输车辆发生碰撞或</w:t>
      </w:r>
      <w:r>
        <w:rPr>
          <w:rFonts w:hint="eastAsia" w:hAnsi="宋体"/>
          <w:spacing w:val="0"/>
          <w:kern w:val="2"/>
          <w:szCs w:val="24"/>
        </w:rPr>
        <w:t>轻微泄漏，影响范围控制在</w:t>
      </w:r>
      <w:r>
        <w:rPr>
          <w:rFonts w:hint="eastAsia" w:hAnsi="宋体"/>
          <w:spacing w:val="0"/>
          <w:kern w:val="2"/>
          <w:szCs w:val="24"/>
          <w:lang w:eastAsia="zh-CN"/>
        </w:rPr>
        <w:t>前处理车间</w:t>
      </w:r>
      <w:r>
        <w:rPr>
          <w:rFonts w:hint="eastAsia" w:hAnsi="宋体"/>
          <w:spacing w:val="0"/>
          <w:kern w:val="2"/>
          <w:szCs w:val="24"/>
        </w:rPr>
        <w:t>内</w:t>
      </w:r>
      <w:r>
        <w:rPr>
          <w:rFonts w:hint="eastAsia" w:hAnsi="宋体"/>
          <w:spacing w:val="0"/>
          <w:kern w:val="2"/>
          <w:szCs w:val="24"/>
          <w:lang w:eastAsia="zh-CN"/>
        </w:rPr>
        <w:t>。</w:t>
      </w:r>
    </w:p>
    <w:p>
      <w:pPr>
        <w:widowControl/>
        <w:spacing w:before="50" w:line="360" w:lineRule="auto"/>
        <w:ind w:firstLine="560" w:firstLineChars="200"/>
        <w:jc w:val="left"/>
        <w:rPr>
          <w:rFonts w:hAnsi="宋体"/>
          <w:spacing w:val="0"/>
          <w:kern w:val="2"/>
          <w:szCs w:val="24"/>
        </w:rPr>
      </w:pPr>
      <w:r>
        <w:rPr>
          <w:rFonts w:hAnsi="宋体"/>
          <w:spacing w:val="0"/>
          <w:kern w:val="2"/>
          <w:szCs w:val="24"/>
        </w:rPr>
        <w:t>（2）二级（较大）预警条件：表示处于事故的上升阶段，需要公司应急指挥部调动更多人员参与处理，经处理后不影响正常生产。具体包括以下情况：</w:t>
      </w:r>
    </w:p>
    <w:p>
      <w:pPr>
        <w:widowControl/>
        <w:spacing w:line="360" w:lineRule="auto"/>
        <w:ind w:firstLine="560" w:firstLineChars="200"/>
        <w:jc w:val="left"/>
        <w:rPr>
          <w:rFonts w:hAnsi="宋体"/>
          <w:spacing w:val="0"/>
          <w:kern w:val="2"/>
          <w:szCs w:val="24"/>
        </w:rPr>
      </w:pPr>
      <w:r>
        <w:rPr>
          <w:rFonts w:hint="eastAsia" w:hAnsi="宋体"/>
          <w:spacing w:val="0"/>
          <w:kern w:val="2"/>
          <w:szCs w:val="24"/>
        </w:rPr>
        <w:t>①由于</w:t>
      </w:r>
      <w:r>
        <w:rPr>
          <w:rFonts w:hint="eastAsia" w:hAnsi="宋体"/>
          <w:spacing w:val="0"/>
          <w:kern w:val="2"/>
          <w:szCs w:val="24"/>
          <w:lang w:eastAsia="zh-CN"/>
        </w:rPr>
        <w:t>暴雨、台风等极端</w:t>
      </w:r>
      <w:r>
        <w:rPr>
          <w:rFonts w:hint="eastAsia" w:hAnsi="宋体"/>
          <w:spacing w:val="0"/>
          <w:kern w:val="2"/>
          <w:szCs w:val="24"/>
        </w:rPr>
        <w:t>天气，</w:t>
      </w:r>
      <w:r>
        <w:rPr>
          <w:rFonts w:hAnsi="宋体"/>
          <w:spacing w:val="0"/>
          <w:kern w:val="2"/>
          <w:szCs w:val="24"/>
        </w:rPr>
        <w:t>引起</w:t>
      </w:r>
      <w:r>
        <w:rPr>
          <w:rFonts w:hint="eastAsia" w:hAnsi="宋体"/>
          <w:spacing w:val="0"/>
          <w:kern w:val="2"/>
          <w:szCs w:val="24"/>
          <w:lang w:eastAsia="zh-CN"/>
        </w:rPr>
        <w:t>厂里积水漫流</w:t>
      </w:r>
      <w:r>
        <w:rPr>
          <w:rFonts w:hAnsi="宋体"/>
          <w:spacing w:val="0"/>
          <w:kern w:val="2"/>
          <w:szCs w:val="24"/>
        </w:rPr>
        <w:t>；</w:t>
      </w:r>
    </w:p>
    <w:p>
      <w:pPr>
        <w:widowControl/>
        <w:spacing w:line="360" w:lineRule="auto"/>
        <w:ind w:firstLine="560" w:firstLineChars="200"/>
        <w:jc w:val="left"/>
        <w:rPr>
          <w:rFonts w:hAnsi="宋体"/>
          <w:spacing w:val="0"/>
          <w:kern w:val="2"/>
          <w:szCs w:val="24"/>
        </w:rPr>
      </w:pPr>
      <w:r>
        <w:rPr>
          <w:rFonts w:hint="eastAsia" w:hAnsi="宋体"/>
          <w:spacing w:val="0"/>
          <w:kern w:val="2"/>
          <w:szCs w:val="24"/>
        </w:rPr>
        <w:t>②</w:t>
      </w:r>
      <w:bookmarkStart w:id="226" w:name="_Hlk522114431"/>
      <w:r>
        <w:rPr>
          <w:rFonts w:hint="eastAsia" w:hAnsi="宋体"/>
          <w:spacing w:val="0"/>
          <w:kern w:val="2"/>
          <w:szCs w:val="24"/>
          <w:lang w:eastAsia="zh-CN"/>
        </w:rPr>
        <w:t>污泥扩散至前处理车间外，影响范围控制在厂区内</w:t>
      </w:r>
      <w:r>
        <w:rPr>
          <w:rFonts w:hAnsi="宋体"/>
          <w:spacing w:val="0"/>
          <w:kern w:val="2"/>
          <w:szCs w:val="24"/>
        </w:rPr>
        <w:t>；</w:t>
      </w:r>
    </w:p>
    <w:bookmarkEnd w:id="226"/>
    <w:p>
      <w:pPr>
        <w:widowControl/>
        <w:spacing w:line="360" w:lineRule="auto"/>
        <w:ind w:firstLine="560" w:firstLineChars="200"/>
        <w:jc w:val="left"/>
        <w:rPr>
          <w:rFonts w:hAnsi="宋体"/>
          <w:spacing w:val="0"/>
          <w:kern w:val="2"/>
          <w:szCs w:val="24"/>
        </w:rPr>
      </w:pPr>
      <w:r>
        <w:rPr>
          <w:rFonts w:hint="eastAsia" w:hAnsi="宋体"/>
          <w:spacing w:val="0"/>
          <w:kern w:val="2"/>
          <w:szCs w:val="24"/>
        </w:rPr>
        <w:t>③</w:t>
      </w:r>
      <w:r>
        <w:rPr>
          <w:rFonts w:hAnsi="宋体"/>
          <w:spacing w:val="0"/>
          <w:kern w:val="2"/>
          <w:szCs w:val="24"/>
        </w:rPr>
        <w:t>废气治理措施出现异常排放</w:t>
      </w:r>
      <w:r>
        <w:rPr>
          <w:rFonts w:hint="eastAsia" w:hAnsi="宋体"/>
          <w:spacing w:val="0"/>
          <w:kern w:val="2"/>
          <w:szCs w:val="24"/>
          <w:lang w:eastAsia="zh-CN"/>
        </w:rPr>
        <w:t>，经停机修检即可恢复正常</w:t>
      </w:r>
      <w:r>
        <w:rPr>
          <w:rFonts w:hAnsi="宋体"/>
          <w:spacing w:val="0"/>
          <w:kern w:val="2"/>
          <w:szCs w:val="24"/>
        </w:rPr>
        <w:t>；</w:t>
      </w:r>
    </w:p>
    <w:p>
      <w:pPr>
        <w:widowControl/>
        <w:spacing w:line="360" w:lineRule="auto"/>
        <w:ind w:firstLine="560" w:firstLineChars="200"/>
        <w:jc w:val="left"/>
        <w:rPr>
          <w:rFonts w:hAnsi="宋体"/>
          <w:spacing w:val="0"/>
          <w:kern w:val="2"/>
          <w:szCs w:val="24"/>
        </w:rPr>
      </w:pPr>
      <w:r>
        <w:rPr>
          <w:rFonts w:hint="eastAsia" w:hAnsi="宋体"/>
          <w:spacing w:val="0"/>
          <w:kern w:val="2"/>
          <w:szCs w:val="24"/>
        </w:rPr>
        <w:t>④生产装置、</w:t>
      </w:r>
      <w:r>
        <w:rPr>
          <w:rFonts w:hint="eastAsia" w:hAnsi="宋体"/>
          <w:spacing w:val="0"/>
          <w:kern w:val="2"/>
          <w:szCs w:val="24"/>
          <w:lang w:eastAsia="zh-CN"/>
        </w:rPr>
        <w:t>缓冲池</w:t>
      </w:r>
      <w:r>
        <w:rPr>
          <w:rFonts w:hint="eastAsia" w:hAnsi="宋体"/>
          <w:spacing w:val="0"/>
          <w:kern w:val="2"/>
          <w:szCs w:val="24"/>
        </w:rPr>
        <w:t>等发生泄漏，不能控制在围堰内，但可以进入事故池中；</w:t>
      </w:r>
    </w:p>
    <w:p>
      <w:pPr>
        <w:widowControl/>
        <w:spacing w:line="360" w:lineRule="auto"/>
        <w:ind w:firstLine="552"/>
        <w:jc w:val="left"/>
        <w:rPr>
          <w:rFonts w:hint="eastAsia" w:hAnsi="宋体" w:eastAsia="宋体"/>
          <w:spacing w:val="0"/>
          <w:kern w:val="2"/>
          <w:szCs w:val="24"/>
          <w:lang w:eastAsia="zh-CN"/>
        </w:rPr>
      </w:pPr>
      <w:r>
        <w:rPr>
          <w:rFonts w:hint="eastAsia" w:hAnsi="宋体"/>
          <w:spacing w:val="0"/>
          <w:kern w:val="2"/>
          <w:szCs w:val="24"/>
        </w:rPr>
        <w:t>⑤厂区引发局部</w:t>
      </w:r>
      <w:r>
        <w:rPr>
          <w:rFonts w:hint="eastAsia" w:hAnsi="宋体"/>
          <w:spacing w:val="0"/>
          <w:kern w:val="2"/>
          <w:szCs w:val="24"/>
          <w:lang w:eastAsia="zh-CN"/>
        </w:rPr>
        <w:t>小型</w:t>
      </w:r>
      <w:r>
        <w:rPr>
          <w:rFonts w:hint="eastAsia" w:hAnsi="宋体"/>
          <w:spacing w:val="0"/>
          <w:kern w:val="2"/>
          <w:szCs w:val="24"/>
        </w:rPr>
        <w:t>火灾，但采取内部的消防栓、灭火器可以控制火情，并且消防废水截留在厂区内</w:t>
      </w:r>
      <w:r>
        <w:rPr>
          <w:rFonts w:hint="eastAsia" w:hAnsi="宋体"/>
          <w:spacing w:val="0"/>
          <w:kern w:val="2"/>
          <w:szCs w:val="24"/>
          <w:lang w:eastAsia="zh-CN"/>
        </w:rPr>
        <w:t>。</w:t>
      </w:r>
    </w:p>
    <w:p>
      <w:pPr>
        <w:spacing w:line="360" w:lineRule="auto"/>
        <w:ind w:firstLine="570"/>
        <w:rPr>
          <w:rFonts w:hAnsi="宋体"/>
          <w:spacing w:val="0"/>
          <w:kern w:val="2"/>
          <w:szCs w:val="24"/>
        </w:rPr>
      </w:pPr>
      <w:r>
        <w:rPr>
          <w:rFonts w:hAnsi="宋体"/>
          <w:spacing w:val="0"/>
          <w:kern w:val="2"/>
          <w:szCs w:val="24"/>
        </w:rPr>
        <w:t>（3）一级（重大）预警条件：表示受到事故的严重威胁，已经影响正常运作，</w:t>
      </w:r>
      <w:r>
        <w:rPr>
          <w:rFonts w:hint="eastAsia" w:hAnsi="宋体"/>
          <w:spacing w:val="0"/>
          <w:kern w:val="2"/>
          <w:szCs w:val="24"/>
        </w:rPr>
        <w:t>同时可能需要启动一级环境应急</w:t>
      </w:r>
      <w:r>
        <w:rPr>
          <w:rFonts w:hAnsi="宋体"/>
          <w:spacing w:val="0"/>
          <w:kern w:val="2"/>
          <w:szCs w:val="24"/>
        </w:rPr>
        <w:t>。具体包括以下情况：</w:t>
      </w:r>
    </w:p>
    <w:p>
      <w:pPr>
        <w:widowControl/>
        <w:spacing w:line="360" w:lineRule="auto"/>
        <w:ind w:firstLine="560" w:firstLineChars="200"/>
        <w:jc w:val="left"/>
        <w:rPr>
          <w:rFonts w:hAnsi="宋体"/>
          <w:spacing w:val="0"/>
          <w:kern w:val="2"/>
          <w:szCs w:val="24"/>
        </w:rPr>
      </w:pPr>
      <w:r>
        <w:rPr>
          <w:rFonts w:hint="eastAsia" w:hAnsi="宋体"/>
          <w:spacing w:val="0"/>
          <w:kern w:val="2"/>
          <w:szCs w:val="24"/>
        </w:rPr>
        <w:t>①厂区内发生火灾，不能被厂区消防力量扑灭，必须依靠外部消防力量</w:t>
      </w:r>
      <w:r>
        <w:rPr>
          <w:rFonts w:hAnsi="宋体"/>
          <w:spacing w:val="0"/>
          <w:kern w:val="2"/>
          <w:szCs w:val="24"/>
        </w:rPr>
        <w:t>；</w:t>
      </w:r>
    </w:p>
    <w:p>
      <w:pPr>
        <w:spacing w:line="360" w:lineRule="auto"/>
        <w:ind w:firstLine="560" w:firstLineChars="200"/>
        <w:rPr>
          <w:rFonts w:hAnsi="宋体"/>
          <w:spacing w:val="0"/>
          <w:kern w:val="2"/>
          <w:szCs w:val="24"/>
        </w:rPr>
      </w:pPr>
      <w:r>
        <w:rPr>
          <w:rFonts w:hint="eastAsia" w:hAnsi="宋体"/>
          <w:spacing w:val="0"/>
          <w:kern w:val="2"/>
          <w:szCs w:val="24"/>
        </w:rPr>
        <w:t>②</w:t>
      </w:r>
      <w:r>
        <w:rPr>
          <w:rFonts w:hAnsi="宋体"/>
          <w:spacing w:val="0"/>
          <w:kern w:val="2"/>
          <w:szCs w:val="24"/>
        </w:rPr>
        <w:t>生</w:t>
      </w:r>
      <w:r>
        <w:rPr>
          <w:rFonts w:hint="eastAsia" w:hAnsi="宋体"/>
          <w:spacing w:val="0"/>
          <w:kern w:val="2"/>
          <w:szCs w:val="24"/>
        </w:rPr>
        <w:t>产废水</w:t>
      </w:r>
      <w:r>
        <w:rPr>
          <w:rFonts w:hint="eastAsia" w:hAnsi="宋体"/>
          <w:spacing w:val="0"/>
          <w:kern w:val="2"/>
          <w:szCs w:val="24"/>
          <w:lang w:eastAsia="zh-CN"/>
        </w:rPr>
        <w:t>输送过程中，因操作失误排入河涌</w:t>
      </w:r>
      <w:r>
        <w:rPr>
          <w:rFonts w:hAnsi="宋体"/>
          <w:spacing w:val="0"/>
          <w:kern w:val="2"/>
          <w:szCs w:val="24"/>
        </w:rPr>
        <w:t>；</w:t>
      </w:r>
    </w:p>
    <w:p>
      <w:pPr>
        <w:spacing w:line="360" w:lineRule="auto"/>
        <w:ind w:firstLine="560" w:firstLineChars="200"/>
        <w:rPr>
          <w:rFonts w:hAnsi="宋体"/>
          <w:spacing w:val="0"/>
          <w:kern w:val="2"/>
          <w:szCs w:val="24"/>
        </w:rPr>
      </w:pPr>
      <w:r>
        <w:rPr>
          <w:rFonts w:hint="eastAsia" w:hAnsi="宋体"/>
          <w:spacing w:val="0"/>
          <w:kern w:val="2"/>
          <w:szCs w:val="24"/>
        </w:rPr>
        <w:t>③</w:t>
      </w:r>
      <w:r>
        <w:rPr>
          <w:rFonts w:hAnsi="宋体"/>
          <w:spacing w:val="0"/>
          <w:kern w:val="2"/>
          <w:szCs w:val="24"/>
        </w:rPr>
        <w:t>废气处理设施失效，造成废气污染物未经有效处理排放，影响厂区周边大气环境；</w:t>
      </w:r>
    </w:p>
    <w:p>
      <w:pPr>
        <w:spacing w:line="360" w:lineRule="auto"/>
        <w:ind w:firstLine="560" w:firstLineChars="200"/>
        <w:rPr>
          <w:rFonts w:hint="eastAsia" w:hAnsi="宋体"/>
          <w:spacing w:val="0"/>
          <w:kern w:val="2"/>
          <w:szCs w:val="24"/>
          <w:lang w:eastAsia="zh-CN"/>
        </w:rPr>
      </w:pPr>
      <w:r>
        <w:rPr>
          <w:rFonts w:hint="eastAsia" w:hAnsi="宋体"/>
          <w:spacing w:val="0"/>
          <w:kern w:val="2"/>
          <w:szCs w:val="24"/>
        </w:rPr>
        <w:t>④消防废水外泄，可能污染周边环境</w:t>
      </w:r>
      <w:r>
        <w:rPr>
          <w:rFonts w:hint="eastAsia" w:hAnsi="宋体"/>
          <w:spacing w:val="0"/>
          <w:kern w:val="2"/>
          <w:szCs w:val="24"/>
          <w:lang w:eastAsia="zh-CN"/>
        </w:rPr>
        <w:t>。</w:t>
      </w:r>
    </w:p>
    <w:p>
      <w:pPr>
        <w:spacing w:line="360" w:lineRule="auto"/>
        <w:ind w:firstLine="560" w:firstLineChars="200"/>
        <w:rPr>
          <w:rFonts w:hint="eastAsia" w:hAnsi="宋体"/>
          <w:spacing w:val="0"/>
          <w:kern w:val="2"/>
          <w:szCs w:val="24"/>
          <w:lang w:eastAsia="zh-CN"/>
        </w:rPr>
      </w:pPr>
    </w:p>
    <w:p>
      <w:pPr>
        <w:spacing w:line="360" w:lineRule="auto"/>
        <w:ind w:firstLine="560" w:firstLineChars="200"/>
        <w:rPr>
          <w:rFonts w:hint="eastAsia" w:hAnsi="宋体"/>
          <w:spacing w:val="0"/>
          <w:kern w:val="2"/>
          <w:szCs w:val="24"/>
          <w:lang w:eastAsia="zh-CN"/>
        </w:rPr>
      </w:pPr>
    </w:p>
    <w:p>
      <w:pPr>
        <w:pStyle w:val="17"/>
        <w:spacing w:before="120" w:beforeLines="50" w:after="120" w:afterLines="50"/>
        <w:ind w:firstLine="0" w:firstLineChars="0"/>
        <w:outlineLvl w:val="2"/>
        <w:rPr>
          <w:rFonts w:ascii="Times New Roman" w:hAnsi="Times New Roman"/>
          <w:b/>
        </w:rPr>
      </w:pPr>
      <w:bookmarkStart w:id="227" w:name="_Toc4959"/>
      <w:bookmarkStart w:id="228" w:name="_Toc357177110"/>
      <w:r>
        <w:rPr>
          <w:rFonts w:ascii="Times New Roman" w:hAnsi="Times New Roman"/>
          <w:b/>
        </w:rPr>
        <w:t>6.</w:t>
      </w:r>
      <w:r>
        <w:rPr>
          <w:rFonts w:hint="eastAsia" w:ascii="Times New Roman" w:hAnsi="Times New Roman"/>
          <w:b/>
        </w:rPr>
        <w:t>2</w:t>
      </w:r>
      <w:r>
        <w:rPr>
          <w:rFonts w:ascii="Times New Roman" w:hAnsi="Times New Roman"/>
          <w:b/>
        </w:rPr>
        <w:t>.2 预警启动程序</w:t>
      </w:r>
      <w:bookmarkEnd w:id="227"/>
      <w:bookmarkEnd w:id="228"/>
    </w:p>
    <w:p>
      <w:pPr>
        <w:spacing w:line="360" w:lineRule="auto"/>
        <w:ind w:firstLine="552" w:firstLineChars="200"/>
        <w:rPr>
          <w:szCs w:val="28"/>
        </w:rPr>
      </w:pPr>
      <w:r>
        <w:rPr>
          <w:szCs w:val="28"/>
        </w:rPr>
        <w:t>当厂区内出现可能发生突发环境事件的情况时，现场人员向上级汇报事件情况；应急指挥</w:t>
      </w:r>
      <w:r>
        <w:rPr>
          <w:rFonts w:hint="eastAsia"/>
          <w:szCs w:val="28"/>
          <w:lang w:eastAsia="zh-CN"/>
        </w:rPr>
        <w:t>部</w:t>
      </w:r>
      <w:r>
        <w:rPr>
          <w:szCs w:val="28"/>
        </w:rPr>
        <w:t>根据汇报情况提出预警级别建议；应急</w:t>
      </w:r>
      <w:r>
        <w:rPr>
          <w:rFonts w:hint="eastAsia"/>
          <w:szCs w:val="28"/>
          <w:lang w:eastAsia="zh-CN"/>
        </w:rPr>
        <w:t>总指挥</w:t>
      </w:r>
      <w:r>
        <w:rPr>
          <w:szCs w:val="28"/>
        </w:rPr>
        <w:t>参考</w:t>
      </w:r>
      <w:r>
        <w:rPr>
          <w:rFonts w:hint="eastAsia"/>
          <w:szCs w:val="28"/>
          <w:lang w:eastAsia="zh-CN"/>
        </w:rPr>
        <w:t>应急指挥部</w:t>
      </w:r>
      <w:r>
        <w:rPr>
          <w:szCs w:val="28"/>
        </w:rPr>
        <w:t>建议，分析评估预警级别，发布预警信息。</w:t>
      </w:r>
    </w:p>
    <w:p>
      <w:pPr>
        <w:pStyle w:val="4"/>
      </w:pPr>
      <w:bookmarkStart w:id="229" w:name="_Toc21825"/>
      <w:r>
        <w:t>6.</w:t>
      </w:r>
      <w:r>
        <w:rPr>
          <w:rFonts w:hint="eastAsia"/>
        </w:rPr>
        <w:t>2</w:t>
      </w:r>
      <w:r>
        <w:t>.3 预警发布</w:t>
      </w:r>
      <w:bookmarkEnd w:id="229"/>
    </w:p>
    <w:p>
      <w:pPr>
        <w:spacing w:line="360" w:lineRule="auto"/>
        <w:ind w:firstLine="552" w:firstLineChars="200"/>
        <w:rPr>
          <w:szCs w:val="28"/>
        </w:rPr>
      </w:pPr>
      <w:r>
        <w:rPr>
          <w:szCs w:val="28"/>
        </w:rPr>
        <w:t>在确认进入预警状态之后，根据预警相应级别环境应急</w:t>
      </w:r>
      <w:r>
        <w:rPr>
          <w:rFonts w:hint="eastAsia"/>
          <w:szCs w:val="28"/>
          <w:lang w:eastAsia="zh-CN"/>
        </w:rPr>
        <w:t>专业</w:t>
      </w:r>
      <w:r>
        <w:rPr>
          <w:szCs w:val="28"/>
        </w:rPr>
        <w:t>小组按照相关程序可采取以下行动：</w:t>
      </w:r>
    </w:p>
    <w:p>
      <w:pPr>
        <w:spacing w:line="360" w:lineRule="auto"/>
        <w:ind w:firstLine="552" w:firstLineChars="200"/>
        <w:rPr>
          <w:szCs w:val="28"/>
        </w:rPr>
      </w:pPr>
      <w:r>
        <w:rPr>
          <w:rFonts w:hint="eastAsia"/>
          <w:szCs w:val="28"/>
        </w:rPr>
        <w:t>①</w:t>
      </w:r>
      <w:r>
        <w:rPr>
          <w:szCs w:val="28"/>
        </w:rPr>
        <w:t> 立即启动</w:t>
      </w:r>
      <w:r>
        <w:rPr>
          <w:rFonts w:hint="eastAsia"/>
          <w:szCs w:val="28"/>
        </w:rPr>
        <w:t>环境</w:t>
      </w:r>
      <w:r>
        <w:rPr>
          <w:szCs w:val="28"/>
        </w:rPr>
        <w:t>事件的应急预案。</w:t>
      </w:r>
    </w:p>
    <w:p>
      <w:pPr>
        <w:spacing w:line="360" w:lineRule="auto"/>
        <w:ind w:firstLine="552" w:firstLineChars="200"/>
        <w:rPr>
          <w:rFonts w:hint="eastAsia"/>
          <w:szCs w:val="28"/>
        </w:rPr>
      </w:pPr>
      <w:r>
        <w:rPr>
          <w:rFonts w:hint="eastAsia"/>
          <w:szCs w:val="28"/>
        </w:rPr>
        <w:t>②</w:t>
      </w:r>
      <w:r>
        <w:rPr>
          <w:szCs w:val="28"/>
        </w:rPr>
        <w:t> 按照环境污染事故发布预警的等级，向全公司以及附近</w:t>
      </w:r>
      <w:r>
        <w:rPr>
          <w:rFonts w:hint="eastAsia"/>
          <w:szCs w:val="28"/>
          <w:lang w:eastAsia="zh-CN"/>
        </w:rPr>
        <w:t>企业、</w:t>
      </w:r>
      <w:r>
        <w:rPr>
          <w:szCs w:val="28"/>
        </w:rPr>
        <w:t>居民发布预警等级。</w:t>
      </w:r>
    </w:p>
    <w:p>
      <w:pPr>
        <w:spacing w:line="360" w:lineRule="auto"/>
        <w:ind w:firstLine="552" w:firstLineChars="200"/>
        <w:rPr>
          <w:rFonts w:hint="eastAsia"/>
          <w:szCs w:val="28"/>
        </w:rPr>
      </w:pPr>
      <w:r>
        <w:rPr>
          <w:szCs w:val="28"/>
        </w:rPr>
        <w:t>一级预警：现场人员报告</w:t>
      </w:r>
      <w:r>
        <w:rPr>
          <w:rFonts w:hint="eastAsia"/>
          <w:szCs w:val="28"/>
        </w:rPr>
        <w:t>班组长，班组长报告</w:t>
      </w:r>
      <w:r>
        <w:rPr>
          <w:rFonts w:hint="eastAsia"/>
          <w:szCs w:val="28"/>
          <w:lang w:eastAsia="zh-CN"/>
        </w:rPr>
        <w:t>信息传输组</w:t>
      </w:r>
      <w:r>
        <w:rPr>
          <w:rFonts w:hint="eastAsia"/>
          <w:szCs w:val="28"/>
        </w:rPr>
        <w:t>（吴伟业）</w:t>
      </w:r>
      <w:r>
        <w:rPr>
          <w:szCs w:val="28"/>
        </w:rPr>
        <w:t>，</w:t>
      </w:r>
      <w:r>
        <w:rPr>
          <w:rFonts w:hint="eastAsia"/>
          <w:szCs w:val="28"/>
          <w:lang w:eastAsia="zh-CN"/>
        </w:rPr>
        <w:t>信息传输组组长</w:t>
      </w:r>
      <w:r>
        <w:rPr>
          <w:szCs w:val="28"/>
        </w:rPr>
        <w:t>核实情况后立即报告</w:t>
      </w:r>
      <w:r>
        <w:rPr>
          <w:rFonts w:hint="eastAsia"/>
          <w:szCs w:val="28"/>
        </w:rPr>
        <w:t>总指挥（</w:t>
      </w:r>
      <w:r>
        <w:rPr>
          <w:rFonts w:hint="eastAsia"/>
          <w:szCs w:val="28"/>
          <w:lang w:eastAsia="zh-CN"/>
        </w:rPr>
        <w:t>黄南平</w:t>
      </w:r>
      <w:r>
        <w:rPr>
          <w:rFonts w:hint="eastAsia"/>
          <w:szCs w:val="28"/>
        </w:rPr>
        <w:t>）</w:t>
      </w:r>
      <w:r>
        <w:rPr>
          <w:szCs w:val="28"/>
        </w:rPr>
        <w:t>，</w:t>
      </w:r>
      <w:r>
        <w:rPr>
          <w:rFonts w:hint="eastAsia"/>
          <w:szCs w:val="28"/>
        </w:rPr>
        <w:t>总指挥</w:t>
      </w:r>
      <w:r>
        <w:rPr>
          <w:szCs w:val="28"/>
        </w:rPr>
        <w:t>依据现场情况决定是否通知</w:t>
      </w:r>
      <w:r>
        <w:rPr>
          <w:rFonts w:hint="eastAsia"/>
          <w:szCs w:val="28"/>
          <w:lang w:eastAsia="zh-CN"/>
        </w:rPr>
        <w:t>民众镇或</w:t>
      </w:r>
      <w:r>
        <w:rPr>
          <w:rFonts w:hint="eastAsia"/>
          <w:szCs w:val="28"/>
        </w:rPr>
        <w:t>中山市</w:t>
      </w:r>
      <w:r>
        <w:rPr>
          <w:rFonts w:hint="eastAsia"/>
          <w:szCs w:val="28"/>
          <w:lang w:eastAsia="zh-CN"/>
        </w:rPr>
        <w:t>生态</w:t>
      </w:r>
      <w:r>
        <w:rPr>
          <w:rFonts w:hint="eastAsia"/>
          <w:szCs w:val="28"/>
        </w:rPr>
        <w:t>环境应急小组</w:t>
      </w:r>
      <w:r>
        <w:rPr>
          <w:szCs w:val="28"/>
        </w:rPr>
        <w:t>协助应急救援。若可能发生的环境污染事件严重，及时</w:t>
      </w:r>
      <w:r>
        <w:rPr>
          <w:rFonts w:hint="eastAsia"/>
          <w:szCs w:val="28"/>
        </w:rPr>
        <w:t>向中山市</w:t>
      </w:r>
      <w:r>
        <w:rPr>
          <w:rFonts w:hint="eastAsia"/>
          <w:szCs w:val="28"/>
          <w:lang w:eastAsia="zh-CN"/>
        </w:rPr>
        <w:t>民众镇</w:t>
      </w:r>
      <w:r>
        <w:rPr>
          <w:szCs w:val="28"/>
        </w:rPr>
        <w:t>政府部门报告</w:t>
      </w:r>
      <w:r>
        <w:rPr>
          <w:rFonts w:hint="eastAsia"/>
          <w:szCs w:val="28"/>
        </w:rPr>
        <w:t>，再由中山市</w:t>
      </w:r>
      <w:r>
        <w:rPr>
          <w:rFonts w:hint="eastAsia"/>
          <w:szCs w:val="28"/>
          <w:lang w:eastAsia="zh-CN"/>
        </w:rPr>
        <w:t>民众镇</w:t>
      </w:r>
      <w:r>
        <w:rPr>
          <w:szCs w:val="28"/>
        </w:rPr>
        <w:t>政府部门</w:t>
      </w:r>
      <w:r>
        <w:rPr>
          <w:rFonts w:hint="eastAsia"/>
          <w:szCs w:val="28"/>
        </w:rPr>
        <w:t>通知中山市有关部门，由</w:t>
      </w:r>
      <w:r>
        <w:rPr>
          <w:rFonts w:hint="eastAsia"/>
          <w:szCs w:val="28"/>
          <w:lang w:eastAsia="zh-CN"/>
        </w:rPr>
        <w:t>民众镇</w:t>
      </w:r>
      <w:r>
        <w:rPr>
          <w:rFonts w:hint="eastAsia"/>
          <w:szCs w:val="28"/>
        </w:rPr>
        <w:t>政府领导和</w:t>
      </w:r>
      <w:r>
        <w:rPr>
          <w:szCs w:val="28"/>
        </w:rPr>
        <w:t>市领导决定后发布预警等级。</w:t>
      </w:r>
    </w:p>
    <w:p>
      <w:pPr>
        <w:spacing w:line="360" w:lineRule="auto"/>
        <w:ind w:firstLine="552" w:firstLineChars="200"/>
        <w:rPr>
          <w:rFonts w:hint="eastAsia"/>
          <w:szCs w:val="28"/>
        </w:rPr>
      </w:pPr>
      <w:r>
        <w:rPr>
          <w:szCs w:val="28"/>
        </w:rPr>
        <w:t>二级预警：现场人员报告</w:t>
      </w:r>
      <w:r>
        <w:rPr>
          <w:rFonts w:hint="eastAsia"/>
          <w:szCs w:val="28"/>
        </w:rPr>
        <w:t>班组长，班组长报告</w:t>
      </w:r>
      <w:r>
        <w:rPr>
          <w:rFonts w:hint="eastAsia"/>
          <w:szCs w:val="28"/>
          <w:lang w:eastAsia="zh-CN"/>
        </w:rPr>
        <w:t>信息传输组</w:t>
      </w:r>
      <w:r>
        <w:rPr>
          <w:rFonts w:hint="eastAsia"/>
          <w:szCs w:val="28"/>
        </w:rPr>
        <w:t>（吴伟业）</w:t>
      </w:r>
      <w:r>
        <w:rPr>
          <w:szCs w:val="28"/>
        </w:rPr>
        <w:t>，</w:t>
      </w:r>
      <w:r>
        <w:rPr>
          <w:rFonts w:hint="eastAsia"/>
          <w:szCs w:val="28"/>
          <w:lang w:eastAsia="zh-CN"/>
        </w:rPr>
        <w:t>信息传输组组长</w:t>
      </w:r>
      <w:r>
        <w:rPr>
          <w:szCs w:val="28"/>
        </w:rPr>
        <w:t>核实情况后立即报告</w:t>
      </w:r>
      <w:r>
        <w:rPr>
          <w:rFonts w:hint="eastAsia"/>
          <w:szCs w:val="28"/>
        </w:rPr>
        <w:t>总指挥（</w:t>
      </w:r>
      <w:r>
        <w:rPr>
          <w:rFonts w:hint="eastAsia"/>
          <w:szCs w:val="28"/>
          <w:lang w:eastAsia="zh-CN"/>
        </w:rPr>
        <w:t>黄南平</w:t>
      </w:r>
      <w:r>
        <w:rPr>
          <w:rFonts w:hint="eastAsia"/>
          <w:szCs w:val="28"/>
        </w:rPr>
        <w:t>），</w:t>
      </w:r>
      <w:r>
        <w:rPr>
          <w:rFonts w:hint="eastAsia"/>
          <w:szCs w:val="28"/>
          <w:lang w:eastAsia="zh-CN"/>
        </w:rPr>
        <w:t>总指挥</w:t>
      </w:r>
      <w:r>
        <w:rPr>
          <w:szCs w:val="28"/>
        </w:rPr>
        <w:t>依据现场情况宣布启动预案。</w:t>
      </w:r>
    </w:p>
    <w:p>
      <w:pPr>
        <w:spacing w:line="360" w:lineRule="auto"/>
        <w:ind w:firstLine="552" w:firstLineChars="200"/>
        <w:rPr>
          <w:szCs w:val="28"/>
        </w:rPr>
      </w:pPr>
      <w:r>
        <w:rPr>
          <w:szCs w:val="28"/>
        </w:rPr>
        <w:t>三级预警：现场人员报告</w:t>
      </w:r>
      <w:r>
        <w:rPr>
          <w:rFonts w:hint="eastAsia"/>
          <w:szCs w:val="28"/>
        </w:rPr>
        <w:t>班组长，班组长报告</w:t>
      </w:r>
      <w:r>
        <w:rPr>
          <w:rFonts w:hint="eastAsia"/>
          <w:szCs w:val="28"/>
          <w:lang w:eastAsia="zh-CN"/>
        </w:rPr>
        <w:t>相关应急小组组长</w:t>
      </w:r>
      <w:r>
        <w:rPr>
          <w:szCs w:val="28"/>
        </w:rPr>
        <w:t>，</w:t>
      </w:r>
      <w:r>
        <w:rPr>
          <w:rFonts w:hint="eastAsia"/>
          <w:szCs w:val="28"/>
          <w:lang w:eastAsia="zh-CN"/>
        </w:rPr>
        <w:t>专业应急小组</w:t>
      </w:r>
      <w:r>
        <w:rPr>
          <w:szCs w:val="28"/>
        </w:rPr>
        <w:t>视现场情况组织现场处置，落实巡查、监控措施；如隐患未消除，通知相关应急</w:t>
      </w:r>
      <w:r>
        <w:rPr>
          <w:rFonts w:hint="eastAsia"/>
          <w:szCs w:val="28"/>
          <w:lang w:eastAsia="zh-CN"/>
        </w:rPr>
        <w:t>小组</w:t>
      </w:r>
      <w:r>
        <w:rPr>
          <w:szCs w:val="28"/>
        </w:rPr>
        <w:t>、人员作好应急准备。</w:t>
      </w:r>
    </w:p>
    <w:p>
      <w:pPr>
        <w:spacing w:line="360" w:lineRule="auto"/>
        <w:ind w:firstLine="552" w:firstLineChars="200"/>
        <w:rPr>
          <w:szCs w:val="28"/>
        </w:rPr>
      </w:pPr>
      <w:r>
        <w:rPr>
          <w:rFonts w:hint="eastAsia"/>
          <w:szCs w:val="28"/>
        </w:rPr>
        <w:t>③</w:t>
      </w:r>
      <w:r>
        <w:rPr>
          <w:szCs w:val="28"/>
        </w:rPr>
        <w:t> 根据预警级别准备转移、撤离或者疏散可能受到危害的人员，并进行妥善安置。</w:t>
      </w:r>
    </w:p>
    <w:p>
      <w:pPr>
        <w:spacing w:line="360" w:lineRule="auto"/>
        <w:ind w:firstLine="552" w:firstLineChars="200"/>
        <w:rPr>
          <w:szCs w:val="28"/>
        </w:rPr>
      </w:pPr>
      <w:r>
        <w:rPr>
          <w:rFonts w:hint="eastAsia"/>
          <w:szCs w:val="28"/>
        </w:rPr>
        <w:t>④</w:t>
      </w:r>
      <w:r>
        <w:rPr>
          <w:szCs w:val="28"/>
        </w:rPr>
        <w:t> 指令各应急专业队伍进入应急状态，</w:t>
      </w:r>
      <w:r>
        <w:rPr>
          <w:rFonts w:hint="eastAsia"/>
          <w:szCs w:val="28"/>
          <w:lang w:eastAsia="zh-CN"/>
        </w:rPr>
        <w:t>应急监测组组</w:t>
      </w:r>
      <w:r>
        <w:rPr>
          <w:szCs w:val="28"/>
        </w:rPr>
        <w:t>立即</w:t>
      </w:r>
      <w:r>
        <w:rPr>
          <w:rFonts w:hint="eastAsia"/>
          <w:szCs w:val="28"/>
          <w:lang w:eastAsia="zh-CN"/>
        </w:rPr>
        <w:t>联络监测资质单位</w:t>
      </w:r>
      <w:r>
        <w:rPr>
          <w:szCs w:val="28"/>
        </w:rPr>
        <w:t>开展应急监测，随时掌握并报告事态进展情况。</w:t>
      </w:r>
    </w:p>
    <w:p>
      <w:pPr>
        <w:spacing w:line="360" w:lineRule="auto"/>
        <w:ind w:firstLine="552" w:firstLineChars="200"/>
        <w:rPr>
          <w:szCs w:val="28"/>
        </w:rPr>
      </w:pPr>
      <w:r>
        <w:rPr>
          <w:rFonts w:hint="eastAsia"/>
          <w:szCs w:val="28"/>
        </w:rPr>
        <w:t>⑤</w:t>
      </w:r>
      <w:r>
        <w:rPr>
          <w:szCs w:val="28"/>
        </w:rPr>
        <w:t> 针对突发事件可能造成的危害，封闭、隔离或者限制有关场所，中止可能导致危害扩大的行为和活动。</w:t>
      </w:r>
    </w:p>
    <w:p>
      <w:pPr>
        <w:spacing w:line="360" w:lineRule="auto"/>
        <w:ind w:firstLine="552" w:firstLineChars="200"/>
        <w:rPr>
          <w:szCs w:val="28"/>
        </w:rPr>
      </w:pPr>
      <w:r>
        <w:rPr>
          <w:rFonts w:hint="eastAsia"/>
          <w:szCs w:val="28"/>
        </w:rPr>
        <w:t>⑥</w:t>
      </w:r>
      <w:r>
        <w:rPr>
          <w:szCs w:val="28"/>
        </w:rPr>
        <w:t> 调集应急处置所需物资和设备，做好其他应急保障工作。</w:t>
      </w:r>
    </w:p>
    <w:p>
      <w:pPr>
        <w:pStyle w:val="3"/>
      </w:pPr>
      <w:bookmarkStart w:id="230" w:name="_Toc377547378"/>
      <w:bookmarkStart w:id="231" w:name="_Toc23236"/>
      <w:bookmarkStart w:id="232" w:name="_Toc6737"/>
      <w:bookmarkStart w:id="233" w:name="_Toc357177111"/>
      <w:bookmarkStart w:id="234" w:name="_Toc367778216"/>
      <w:bookmarkStart w:id="235" w:name="_Toc7037"/>
      <w:bookmarkStart w:id="236" w:name="_Toc365752432"/>
      <w:bookmarkStart w:id="237" w:name="_Toc10038"/>
      <w:r>
        <w:t>6.</w:t>
      </w:r>
      <w:r>
        <w:rPr>
          <w:rFonts w:hint="eastAsia"/>
          <w:lang w:val="en-US" w:eastAsia="zh-CN"/>
        </w:rPr>
        <w:t>3</w:t>
      </w:r>
      <w:r>
        <w:t xml:space="preserve"> 报警、通讯联络方式</w:t>
      </w:r>
      <w:bookmarkEnd w:id="230"/>
      <w:bookmarkEnd w:id="231"/>
      <w:bookmarkEnd w:id="232"/>
      <w:bookmarkEnd w:id="233"/>
      <w:bookmarkEnd w:id="234"/>
      <w:bookmarkEnd w:id="235"/>
      <w:bookmarkEnd w:id="236"/>
      <w:bookmarkEnd w:id="237"/>
    </w:p>
    <w:p>
      <w:pPr>
        <w:pStyle w:val="17"/>
        <w:spacing w:before="120" w:beforeLines="50" w:after="120" w:afterLines="50"/>
        <w:ind w:firstLine="0" w:firstLineChars="0"/>
        <w:outlineLvl w:val="2"/>
        <w:rPr>
          <w:rFonts w:ascii="Times New Roman" w:hAnsi="Times New Roman"/>
          <w:b/>
        </w:rPr>
      </w:pPr>
      <w:bookmarkStart w:id="238" w:name="_Toc357177112"/>
      <w:bookmarkStart w:id="239" w:name="_Toc29284"/>
      <w:r>
        <w:rPr>
          <w:rFonts w:ascii="Times New Roman" w:hAnsi="Times New Roman"/>
          <w:b/>
        </w:rPr>
        <w:t>6.</w:t>
      </w:r>
      <w:r>
        <w:rPr>
          <w:rFonts w:hint="eastAsia" w:ascii="Times New Roman" w:hAnsi="Times New Roman"/>
          <w:b/>
        </w:rPr>
        <w:t>4</w:t>
      </w:r>
      <w:r>
        <w:rPr>
          <w:rFonts w:ascii="Times New Roman" w:hAnsi="Times New Roman"/>
          <w:b/>
        </w:rPr>
        <w:t>.1  24小时有效报警装置</w:t>
      </w:r>
      <w:bookmarkEnd w:id="238"/>
      <w:bookmarkEnd w:id="239"/>
    </w:p>
    <w:p>
      <w:pPr>
        <w:spacing w:line="360" w:lineRule="auto"/>
        <w:ind w:firstLine="552" w:firstLineChars="200"/>
        <w:rPr>
          <w:szCs w:val="28"/>
        </w:rPr>
      </w:pPr>
      <w:r>
        <w:rPr>
          <w:rFonts w:hint="eastAsia"/>
          <w:szCs w:val="28"/>
          <w:lang w:eastAsia="zh-CN"/>
        </w:rPr>
        <w:t>中山市民东有机废物处理有限公司</w:t>
      </w:r>
      <w:r>
        <w:rPr>
          <w:szCs w:val="28"/>
        </w:rPr>
        <w:t>内突发环境事件报警方式采用外部电话（包括手机等无线电话）路线进行报警，由应急</w:t>
      </w:r>
      <w:r>
        <w:rPr>
          <w:rFonts w:hint="eastAsia"/>
          <w:szCs w:val="28"/>
          <w:lang w:eastAsia="zh-CN"/>
        </w:rPr>
        <w:t>指挥部</w:t>
      </w:r>
      <w:r>
        <w:rPr>
          <w:szCs w:val="28"/>
        </w:rPr>
        <w:t>根据事态情况通过外部电话（包括手机）向</w:t>
      </w:r>
      <w:r>
        <w:rPr>
          <w:rFonts w:hint="eastAsia"/>
          <w:szCs w:val="28"/>
          <w:lang w:eastAsia="zh-CN"/>
        </w:rPr>
        <w:t>公司</w:t>
      </w:r>
      <w:r>
        <w:rPr>
          <w:szCs w:val="28"/>
        </w:rPr>
        <w:t>内部发布事故消息，做出紧急疏散和撤离等指令。需要向社会和周边发布报警时，</w:t>
      </w:r>
      <w:r>
        <w:rPr>
          <w:rFonts w:hint="eastAsia"/>
          <w:szCs w:val="28"/>
          <w:lang w:eastAsia="zh-CN"/>
        </w:rPr>
        <w:t>经总指挥确认后</w:t>
      </w:r>
      <w:r>
        <w:rPr>
          <w:szCs w:val="28"/>
        </w:rPr>
        <w:t>由</w:t>
      </w:r>
      <w:r>
        <w:rPr>
          <w:rFonts w:hint="eastAsia"/>
          <w:szCs w:val="28"/>
          <w:lang w:eastAsia="zh-CN"/>
        </w:rPr>
        <w:t>信息传输组</w:t>
      </w:r>
      <w:r>
        <w:rPr>
          <w:szCs w:val="28"/>
        </w:rPr>
        <w:t>向政府以及周边单位发送报警消息。事态严重紧急时，通过</w:t>
      </w:r>
      <w:r>
        <w:rPr>
          <w:rFonts w:hint="eastAsia"/>
          <w:szCs w:val="28"/>
          <w:lang w:eastAsia="zh-CN"/>
        </w:rPr>
        <w:t>应急指挥部</w:t>
      </w:r>
      <w:r>
        <w:rPr>
          <w:szCs w:val="28"/>
        </w:rPr>
        <w:t>直接联系政府以及周边单位负责人，由</w:t>
      </w:r>
      <w:r>
        <w:rPr>
          <w:rFonts w:hint="eastAsia"/>
          <w:szCs w:val="28"/>
          <w:lang w:eastAsia="zh-CN"/>
        </w:rPr>
        <w:t>应急指挥部</w:t>
      </w:r>
      <w:r>
        <w:rPr>
          <w:szCs w:val="28"/>
        </w:rPr>
        <w:t>向政府或负责人发布消息，提出要求组织撤离疏散或者请求援助，随时保持电话联系。</w:t>
      </w:r>
    </w:p>
    <w:p>
      <w:pPr>
        <w:pStyle w:val="17"/>
        <w:spacing w:before="120" w:beforeLines="50" w:after="120" w:afterLines="50"/>
        <w:ind w:firstLine="0" w:firstLineChars="0"/>
        <w:outlineLvl w:val="2"/>
        <w:rPr>
          <w:rFonts w:ascii="Times New Roman" w:hAnsi="Times New Roman"/>
          <w:b/>
        </w:rPr>
      </w:pPr>
      <w:bookmarkStart w:id="240" w:name="_Toc20759"/>
      <w:bookmarkStart w:id="241" w:name="_Toc357177113"/>
      <w:r>
        <w:rPr>
          <w:rFonts w:ascii="Times New Roman" w:hAnsi="Times New Roman"/>
          <w:b/>
        </w:rPr>
        <w:t>6.</w:t>
      </w:r>
      <w:r>
        <w:rPr>
          <w:rFonts w:hint="eastAsia" w:ascii="Times New Roman" w:hAnsi="Times New Roman"/>
          <w:b/>
        </w:rPr>
        <w:t>4</w:t>
      </w:r>
      <w:r>
        <w:rPr>
          <w:rFonts w:ascii="Times New Roman" w:hAnsi="Times New Roman"/>
          <w:b/>
        </w:rPr>
        <w:t>.2  24小时内有效的内部、外部通讯联络手段</w:t>
      </w:r>
      <w:bookmarkEnd w:id="240"/>
      <w:bookmarkEnd w:id="241"/>
    </w:p>
    <w:p>
      <w:pPr>
        <w:spacing w:line="360" w:lineRule="auto"/>
        <w:ind w:firstLine="552" w:firstLineChars="200"/>
        <w:rPr>
          <w:szCs w:val="28"/>
        </w:rPr>
      </w:pPr>
      <w:r>
        <w:rPr>
          <w:szCs w:val="28"/>
        </w:rPr>
        <w:t>公司应急救援人员之间采用外部电话（包括手机等）线路进行联系，应急救援小组的电话必须24小时开机，主要负责人（</w:t>
      </w:r>
      <w:r>
        <w:rPr>
          <w:rFonts w:hint="eastAsia"/>
          <w:szCs w:val="28"/>
          <w:lang w:eastAsia="zh-CN"/>
        </w:rPr>
        <w:t>黄南平</w:t>
      </w:r>
      <w:r>
        <w:rPr>
          <w:szCs w:val="28"/>
        </w:rPr>
        <w:t>）手机：</w:t>
      </w:r>
      <w:r>
        <w:rPr>
          <w:rFonts w:hint="eastAsia"/>
          <w:szCs w:val="28"/>
        </w:rPr>
        <w:t>13802652040</w:t>
      </w:r>
      <w:r>
        <w:rPr>
          <w:szCs w:val="28"/>
        </w:rPr>
        <w:t>。禁止随意更换电话号码的行为。特殊情况下，电话号码发生变更，必须在变更之日起48小时内向应急</w:t>
      </w:r>
      <w:r>
        <w:rPr>
          <w:rFonts w:hint="eastAsia"/>
          <w:szCs w:val="28"/>
          <w:lang w:eastAsia="zh-CN"/>
        </w:rPr>
        <w:t>指挥部</w:t>
      </w:r>
      <w:r>
        <w:rPr>
          <w:szCs w:val="28"/>
        </w:rPr>
        <w:t>报告。应急</w:t>
      </w:r>
      <w:r>
        <w:rPr>
          <w:rFonts w:hint="eastAsia"/>
          <w:szCs w:val="28"/>
          <w:lang w:eastAsia="zh-CN"/>
        </w:rPr>
        <w:t>指挥小组</w:t>
      </w:r>
      <w:r>
        <w:rPr>
          <w:szCs w:val="28"/>
        </w:rPr>
        <w:t>必须在24小时内向各成员和部门发布变更通知。</w:t>
      </w:r>
    </w:p>
    <w:p>
      <w:pPr>
        <w:spacing w:line="460" w:lineRule="exact"/>
        <w:jc w:val="center"/>
        <w:rPr>
          <w:b/>
          <w:szCs w:val="28"/>
        </w:rPr>
      </w:pPr>
      <w:r>
        <w:rPr>
          <w:b/>
          <w:szCs w:val="28"/>
        </w:rPr>
        <w:t xml:space="preserve">表6-1   </w:t>
      </w:r>
      <w:r>
        <w:rPr>
          <w:rFonts w:hint="eastAsia"/>
          <w:b/>
          <w:szCs w:val="28"/>
        </w:rPr>
        <w:t>各个车间主管、仓库主管</w:t>
      </w:r>
    </w:p>
    <w:tbl>
      <w:tblPr>
        <w:tblStyle w:val="42"/>
        <w:tblW w:w="928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432"/>
        <w:gridCol w:w="2818"/>
        <w:gridCol w:w="303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432" w:type="dxa"/>
            <w:noWrap w:val="0"/>
            <w:vAlign w:val="center"/>
          </w:tcPr>
          <w:p>
            <w:pPr>
              <w:spacing w:line="360" w:lineRule="exact"/>
              <w:jc w:val="center"/>
              <w:rPr>
                <w:rFonts w:hint="eastAsia"/>
                <w:sz w:val="24"/>
              </w:rPr>
            </w:pPr>
            <w:r>
              <w:rPr>
                <w:rFonts w:hint="eastAsia"/>
                <w:sz w:val="24"/>
              </w:rPr>
              <w:t>车间或仓库名称</w:t>
            </w:r>
          </w:p>
        </w:tc>
        <w:tc>
          <w:tcPr>
            <w:tcW w:w="2818" w:type="dxa"/>
            <w:noWrap w:val="0"/>
            <w:vAlign w:val="center"/>
          </w:tcPr>
          <w:p>
            <w:pPr>
              <w:spacing w:line="360" w:lineRule="exact"/>
              <w:jc w:val="center"/>
              <w:rPr>
                <w:rFonts w:hint="eastAsia"/>
                <w:sz w:val="24"/>
              </w:rPr>
            </w:pPr>
            <w:r>
              <w:rPr>
                <w:rFonts w:hint="eastAsia"/>
                <w:sz w:val="24"/>
              </w:rPr>
              <w:t>负责人</w:t>
            </w:r>
          </w:p>
        </w:tc>
        <w:tc>
          <w:tcPr>
            <w:tcW w:w="3036" w:type="dxa"/>
            <w:noWrap w:val="0"/>
            <w:vAlign w:val="center"/>
          </w:tcPr>
          <w:p>
            <w:pPr>
              <w:spacing w:line="360" w:lineRule="exact"/>
              <w:jc w:val="center"/>
              <w:rPr>
                <w:rFonts w:hint="eastAsia"/>
                <w:sz w:val="24"/>
              </w:rPr>
            </w:pPr>
            <w:r>
              <w:rPr>
                <w:rFonts w:hint="eastAsia"/>
                <w:sz w:val="24"/>
              </w:rPr>
              <w:t>联系电话</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432" w:type="dxa"/>
            <w:noWrap w:val="0"/>
            <w:vAlign w:val="center"/>
          </w:tcPr>
          <w:p>
            <w:pPr>
              <w:spacing w:line="360" w:lineRule="exact"/>
              <w:jc w:val="center"/>
              <w:rPr>
                <w:rFonts w:hint="eastAsia"/>
                <w:sz w:val="24"/>
              </w:rPr>
            </w:pPr>
            <w:r>
              <w:rPr>
                <w:rFonts w:hint="eastAsia"/>
                <w:sz w:val="24"/>
              </w:rPr>
              <w:t>生产物流仓库</w:t>
            </w:r>
          </w:p>
        </w:tc>
        <w:tc>
          <w:tcPr>
            <w:tcW w:w="2818" w:type="dxa"/>
            <w:vMerge w:val="restart"/>
            <w:noWrap w:val="0"/>
            <w:vAlign w:val="center"/>
          </w:tcPr>
          <w:p>
            <w:pPr>
              <w:spacing w:line="360" w:lineRule="exact"/>
              <w:jc w:val="center"/>
              <w:rPr>
                <w:rFonts w:hint="eastAsia"/>
                <w:sz w:val="24"/>
              </w:rPr>
            </w:pPr>
            <w:r>
              <w:rPr>
                <w:rFonts w:hint="eastAsia"/>
                <w:sz w:val="24"/>
              </w:rPr>
              <w:t>易剑峰</w:t>
            </w:r>
          </w:p>
        </w:tc>
        <w:tc>
          <w:tcPr>
            <w:tcW w:w="3036" w:type="dxa"/>
            <w:vMerge w:val="restart"/>
            <w:noWrap w:val="0"/>
            <w:vAlign w:val="center"/>
          </w:tcPr>
          <w:p>
            <w:pPr>
              <w:spacing w:line="360" w:lineRule="exact"/>
              <w:jc w:val="center"/>
              <w:rPr>
                <w:rFonts w:hint="eastAsia"/>
                <w:sz w:val="24"/>
              </w:rPr>
            </w:pPr>
            <w:r>
              <w:rPr>
                <w:rFonts w:hint="eastAsia"/>
                <w:sz w:val="24"/>
              </w:rPr>
              <w:t>18802591209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432" w:type="dxa"/>
            <w:noWrap w:val="0"/>
            <w:vAlign w:val="center"/>
          </w:tcPr>
          <w:p>
            <w:pPr>
              <w:spacing w:line="360" w:lineRule="exact"/>
              <w:jc w:val="center"/>
              <w:rPr>
                <w:rFonts w:hint="eastAsia"/>
                <w:sz w:val="24"/>
              </w:rPr>
            </w:pPr>
            <w:r>
              <w:rPr>
                <w:rFonts w:hint="eastAsia"/>
                <w:sz w:val="24"/>
              </w:rPr>
              <w:t>危险废物仓库</w:t>
            </w:r>
          </w:p>
        </w:tc>
        <w:tc>
          <w:tcPr>
            <w:tcW w:w="2818" w:type="dxa"/>
            <w:vMerge w:val="continue"/>
            <w:noWrap w:val="0"/>
            <w:vAlign w:val="center"/>
          </w:tcPr>
          <w:p>
            <w:pPr>
              <w:spacing w:line="360" w:lineRule="exact"/>
              <w:jc w:val="center"/>
              <w:rPr>
                <w:rFonts w:hint="eastAsia"/>
                <w:sz w:val="24"/>
              </w:rPr>
            </w:pPr>
          </w:p>
        </w:tc>
        <w:tc>
          <w:tcPr>
            <w:tcW w:w="3036" w:type="dxa"/>
            <w:vMerge w:val="continue"/>
            <w:noWrap w:val="0"/>
            <w:vAlign w:val="center"/>
          </w:tcPr>
          <w:p>
            <w:pPr>
              <w:spacing w:line="360" w:lineRule="exact"/>
              <w:jc w:val="center"/>
              <w:rPr>
                <w:rFonts w:hint="eastAsia"/>
                <w:sz w:val="24"/>
              </w:rPr>
            </w:pPr>
          </w:p>
        </w:tc>
      </w:tr>
    </w:tbl>
    <w:p>
      <w:pPr>
        <w:snapToGrid w:val="0"/>
        <w:rPr>
          <w:b/>
          <w:szCs w:val="28"/>
        </w:rPr>
      </w:pPr>
    </w:p>
    <w:p>
      <w:pPr>
        <w:snapToGrid w:val="0"/>
        <w:jc w:val="center"/>
        <w:rPr>
          <w:b/>
          <w:szCs w:val="28"/>
        </w:rPr>
      </w:pPr>
      <w:r>
        <w:rPr>
          <w:b/>
          <w:szCs w:val="28"/>
        </w:rPr>
        <w:t>表6-2  应急组织机构</w:t>
      </w:r>
    </w:p>
    <w:tbl>
      <w:tblPr>
        <w:tblStyle w:val="42"/>
        <w:tblW w:w="8275"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3"/>
        <w:gridCol w:w="1214"/>
        <w:gridCol w:w="1593"/>
        <w:gridCol w:w="1656"/>
        <w:gridCol w:w="295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0" w:hRule="atLeast"/>
          <w:tblHeader/>
          <w:jc w:val="center"/>
        </w:trPr>
        <w:tc>
          <w:tcPr>
            <w:tcW w:w="2067" w:type="dxa"/>
            <w:gridSpan w:val="2"/>
            <w:tcBorders>
              <w:top w:val="single" w:color="auto" w:sz="4" w:space="0"/>
              <w:left w:val="single" w:color="auto" w:sz="4" w:space="0"/>
              <w:bottom w:val="single" w:color="auto" w:sz="4" w:space="0"/>
              <w:right w:val="single" w:color="auto" w:sz="4" w:space="0"/>
              <w:tl2br w:val="single" w:color="auto" w:sz="4" w:space="0"/>
            </w:tcBorders>
            <w:noWrap w:val="0"/>
            <w:vAlign w:val="top"/>
          </w:tcPr>
          <w:p>
            <w:pPr>
              <w:spacing w:line="240" w:lineRule="auto"/>
              <w:jc w:val="center"/>
              <w:rPr>
                <w:rFonts w:hint="default" w:ascii="Times New Roman" w:hAnsi="Times New Roman" w:cs="Times New Roman"/>
                <w:b/>
                <w:bCs/>
                <w:color w:val="000000"/>
                <w:sz w:val="24"/>
                <w:szCs w:val="22"/>
              </w:rPr>
            </w:pPr>
            <w:r>
              <w:rPr>
                <w:rFonts w:hint="default" w:ascii="Times New Roman" w:hAnsi="Times New Roman" w:cs="Times New Roman"/>
                <w:b/>
                <w:bCs/>
                <w:color w:val="000000"/>
                <w:sz w:val="24"/>
                <w:szCs w:val="22"/>
              </w:rPr>
              <w:t xml:space="preserve">          项目    小组</w:t>
            </w:r>
          </w:p>
        </w:tc>
        <w:tc>
          <w:tcPr>
            <w:tcW w:w="1593" w:type="dxa"/>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hint="default" w:ascii="Times New Roman" w:hAnsi="Times New Roman" w:cs="Times New Roman"/>
                <w:b/>
                <w:bCs/>
                <w:color w:val="000000"/>
                <w:sz w:val="24"/>
                <w:szCs w:val="22"/>
              </w:rPr>
            </w:pPr>
            <w:r>
              <w:rPr>
                <w:rFonts w:hint="default" w:ascii="Times New Roman" w:hAnsi="Times New Roman" w:cs="Times New Roman"/>
                <w:b/>
                <w:bCs/>
                <w:color w:val="000000"/>
                <w:sz w:val="24"/>
                <w:szCs w:val="22"/>
              </w:rPr>
              <w:t>姓名</w:t>
            </w:r>
          </w:p>
        </w:tc>
        <w:tc>
          <w:tcPr>
            <w:tcW w:w="1656" w:type="dxa"/>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hint="default" w:ascii="Times New Roman" w:hAnsi="Times New Roman" w:cs="Times New Roman"/>
                <w:b/>
                <w:bCs/>
                <w:color w:val="000000"/>
                <w:sz w:val="24"/>
                <w:szCs w:val="22"/>
              </w:rPr>
            </w:pPr>
            <w:r>
              <w:rPr>
                <w:rFonts w:hint="default" w:ascii="Times New Roman" w:hAnsi="Times New Roman" w:cs="Times New Roman"/>
                <w:b/>
                <w:bCs/>
                <w:color w:val="000000"/>
                <w:sz w:val="24"/>
                <w:szCs w:val="22"/>
              </w:rPr>
              <w:t>应急指挥职责</w:t>
            </w:r>
          </w:p>
        </w:tc>
        <w:tc>
          <w:tcPr>
            <w:tcW w:w="2959" w:type="dxa"/>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hint="default" w:ascii="Times New Roman" w:hAnsi="Times New Roman" w:cs="Times New Roman"/>
                <w:b/>
                <w:bCs/>
                <w:color w:val="000000"/>
                <w:sz w:val="24"/>
                <w:szCs w:val="22"/>
              </w:rPr>
            </w:pPr>
            <w:r>
              <w:rPr>
                <w:rFonts w:hint="default" w:ascii="Times New Roman" w:hAnsi="Times New Roman" w:cs="Times New Roman"/>
                <w:b/>
                <w:bCs/>
                <w:color w:val="000000"/>
                <w:sz w:val="24"/>
                <w:szCs w:val="22"/>
              </w:rPr>
              <w:t>联系方式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jc w:val="center"/>
        </w:trPr>
        <w:tc>
          <w:tcPr>
            <w:tcW w:w="2067" w:type="dxa"/>
            <w:gridSpan w:val="2"/>
            <w:vMerge w:val="restart"/>
            <w:tcBorders>
              <w:top w:val="single" w:color="auto" w:sz="4" w:space="0"/>
              <w:left w:val="single" w:color="auto" w:sz="4" w:space="0"/>
              <w:right w:val="single" w:color="auto" w:sz="4" w:space="0"/>
            </w:tcBorders>
            <w:noWrap w:val="0"/>
            <w:vAlign w:val="center"/>
          </w:tcPr>
          <w:p>
            <w:pPr>
              <w:spacing w:line="240" w:lineRule="auto"/>
              <w:jc w:val="center"/>
              <w:rPr>
                <w:rFonts w:hint="default" w:ascii="Times New Roman" w:hAnsi="Times New Roman" w:cs="Times New Roman"/>
                <w:b/>
                <w:bCs/>
                <w:color w:val="000000"/>
                <w:sz w:val="24"/>
                <w:szCs w:val="22"/>
              </w:rPr>
            </w:pPr>
            <w:r>
              <w:rPr>
                <w:rFonts w:hint="default" w:ascii="Times New Roman" w:hAnsi="Times New Roman" w:cs="Times New Roman"/>
                <w:b/>
                <w:bCs/>
                <w:color w:val="000000"/>
                <w:sz w:val="24"/>
                <w:szCs w:val="22"/>
              </w:rPr>
              <w:t>应急指挥部</w:t>
            </w:r>
          </w:p>
        </w:tc>
        <w:tc>
          <w:tcPr>
            <w:tcW w:w="1593" w:type="dxa"/>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hint="default" w:ascii="Times New Roman" w:hAnsi="Times New Roman" w:cs="Times New Roman"/>
                <w:color w:val="000000"/>
                <w:sz w:val="24"/>
                <w:szCs w:val="22"/>
              </w:rPr>
            </w:pPr>
            <w:r>
              <w:rPr>
                <w:rFonts w:hint="default" w:ascii="Times New Roman" w:hAnsi="Times New Roman" w:cs="Times New Roman"/>
                <w:color w:val="000000"/>
                <w:sz w:val="24"/>
                <w:szCs w:val="22"/>
              </w:rPr>
              <w:t>黄南平</w:t>
            </w:r>
          </w:p>
        </w:tc>
        <w:tc>
          <w:tcPr>
            <w:tcW w:w="1656" w:type="dxa"/>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hint="default" w:ascii="Times New Roman" w:hAnsi="Times New Roman" w:cs="Times New Roman"/>
                <w:color w:val="000000"/>
                <w:sz w:val="24"/>
                <w:szCs w:val="22"/>
              </w:rPr>
            </w:pPr>
            <w:r>
              <w:rPr>
                <w:rFonts w:hint="default" w:ascii="Times New Roman" w:hAnsi="Times New Roman" w:cs="Times New Roman"/>
                <w:color w:val="000000"/>
                <w:sz w:val="24"/>
                <w:szCs w:val="22"/>
              </w:rPr>
              <w:t>总指挥</w:t>
            </w:r>
          </w:p>
        </w:tc>
        <w:tc>
          <w:tcPr>
            <w:tcW w:w="2959" w:type="dxa"/>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hint="default" w:ascii="Times New Roman" w:hAnsi="Times New Roman" w:cs="Times New Roman"/>
                <w:color w:val="000000"/>
                <w:sz w:val="24"/>
                <w:szCs w:val="22"/>
              </w:rPr>
            </w:pPr>
            <w:r>
              <w:rPr>
                <w:rFonts w:hint="default" w:ascii="Times New Roman" w:hAnsi="Times New Roman" w:cs="Times New Roman"/>
                <w:color w:val="000000"/>
                <w:sz w:val="24"/>
                <w:szCs w:val="22"/>
              </w:rPr>
              <w:t>13802652040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jc w:val="center"/>
        </w:trPr>
        <w:tc>
          <w:tcPr>
            <w:tcW w:w="2067" w:type="dxa"/>
            <w:gridSpan w:val="2"/>
            <w:vMerge w:val="continue"/>
            <w:tcBorders>
              <w:left w:val="single" w:color="auto" w:sz="4" w:space="0"/>
              <w:right w:val="single" w:color="auto" w:sz="4" w:space="0"/>
            </w:tcBorders>
            <w:noWrap w:val="0"/>
            <w:vAlign w:val="center"/>
          </w:tcPr>
          <w:p>
            <w:pPr>
              <w:spacing w:line="240" w:lineRule="auto"/>
              <w:jc w:val="center"/>
              <w:rPr>
                <w:rFonts w:hint="default" w:ascii="Times New Roman" w:hAnsi="Times New Roman" w:cs="Times New Roman"/>
                <w:b/>
                <w:bCs/>
                <w:color w:val="000000"/>
                <w:sz w:val="24"/>
                <w:szCs w:val="22"/>
              </w:rPr>
            </w:pPr>
          </w:p>
        </w:tc>
        <w:tc>
          <w:tcPr>
            <w:tcW w:w="1593" w:type="dxa"/>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hint="default" w:ascii="Times New Roman" w:hAnsi="Times New Roman" w:cs="Times New Roman"/>
                <w:color w:val="000000"/>
                <w:sz w:val="24"/>
                <w:szCs w:val="22"/>
              </w:rPr>
            </w:pPr>
            <w:r>
              <w:rPr>
                <w:rFonts w:hint="default" w:ascii="Times New Roman" w:hAnsi="Times New Roman" w:cs="Times New Roman"/>
                <w:color w:val="000000"/>
                <w:sz w:val="24"/>
                <w:szCs w:val="22"/>
              </w:rPr>
              <w:t>郭子朋</w:t>
            </w:r>
          </w:p>
        </w:tc>
        <w:tc>
          <w:tcPr>
            <w:tcW w:w="1656" w:type="dxa"/>
            <w:tcBorders>
              <w:top w:val="single" w:color="auto" w:sz="4" w:space="0"/>
              <w:left w:val="single" w:color="auto" w:sz="4" w:space="0"/>
              <w:right w:val="single" w:color="auto" w:sz="4" w:space="0"/>
            </w:tcBorders>
            <w:noWrap w:val="0"/>
            <w:vAlign w:val="center"/>
          </w:tcPr>
          <w:p>
            <w:pPr>
              <w:spacing w:line="240" w:lineRule="auto"/>
              <w:jc w:val="center"/>
              <w:rPr>
                <w:rFonts w:hint="default" w:ascii="Times New Roman" w:hAnsi="Times New Roman" w:cs="Times New Roman"/>
                <w:color w:val="000000"/>
                <w:sz w:val="24"/>
                <w:szCs w:val="22"/>
              </w:rPr>
            </w:pPr>
            <w:r>
              <w:rPr>
                <w:rFonts w:hint="default" w:ascii="Times New Roman" w:hAnsi="Times New Roman" w:cs="Times New Roman"/>
                <w:color w:val="000000"/>
                <w:sz w:val="24"/>
                <w:szCs w:val="22"/>
              </w:rPr>
              <w:t>副总指挥</w:t>
            </w:r>
          </w:p>
        </w:tc>
        <w:tc>
          <w:tcPr>
            <w:tcW w:w="2959" w:type="dxa"/>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hint="default" w:ascii="Times New Roman" w:hAnsi="Times New Roman" w:cs="Times New Roman"/>
                <w:color w:val="000000"/>
                <w:sz w:val="24"/>
                <w:szCs w:val="22"/>
              </w:rPr>
            </w:pPr>
            <w:r>
              <w:rPr>
                <w:rFonts w:hint="default" w:ascii="Times New Roman" w:hAnsi="Times New Roman" w:cs="Times New Roman"/>
                <w:color w:val="000000"/>
                <w:sz w:val="24"/>
                <w:szCs w:val="22"/>
              </w:rPr>
              <w:t>13802653762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jc w:val="center"/>
        </w:trPr>
        <w:tc>
          <w:tcPr>
            <w:tcW w:w="2067" w:type="dxa"/>
            <w:gridSpan w:val="2"/>
            <w:vMerge w:val="continue"/>
            <w:tcBorders>
              <w:left w:val="single" w:color="auto" w:sz="4" w:space="0"/>
              <w:right w:val="single" w:color="auto" w:sz="4" w:space="0"/>
            </w:tcBorders>
            <w:noWrap w:val="0"/>
            <w:vAlign w:val="center"/>
          </w:tcPr>
          <w:p>
            <w:pPr>
              <w:spacing w:line="240" w:lineRule="auto"/>
              <w:jc w:val="center"/>
              <w:rPr>
                <w:rFonts w:hint="default" w:ascii="Times New Roman" w:hAnsi="Times New Roman" w:cs="Times New Roman"/>
                <w:b/>
                <w:bCs/>
                <w:color w:val="000000"/>
                <w:sz w:val="24"/>
                <w:szCs w:val="22"/>
              </w:rPr>
            </w:pPr>
          </w:p>
        </w:tc>
        <w:tc>
          <w:tcPr>
            <w:tcW w:w="1593" w:type="dxa"/>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hint="default" w:ascii="Times New Roman" w:hAnsi="Times New Roman" w:cs="Times New Roman"/>
                <w:color w:val="000000"/>
                <w:sz w:val="24"/>
                <w:szCs w:val="22"/>
              </w:rPr>
            </w:pPr>
            <w:r>
              <w:rPr>
                <w:rFonts w:hint="default" w:ascii="Times New Roman" w:hAnsi="Times New Roman" w:cs="Times New Roman"/>
                <w:color w:val="000000"/>
                <w:sz w:val="24"/>
                <w:szCs w:val="22"/>
              </w:rPr>
              <w:t>吕庆洪</w:t>
            </w:r>
          </w:p>
        </w:tc>
        <w:tc>
          <w:tcPr>
            <w:tcW w:w="1656" w:type="dxa"/>
            <w:tcBorders>
              <w:top w:val="single" w:color="auto" w:sz="4" w:space="0"/>
              <w:left w:val="single" w:color="auto" w:sz="4" w:space="0"/>
              <w:right w:val="single" w:color="auto" w:sz="4" w:space="0"/>
            </w:tcBorders>
            <w:noWrap w:val="0"/>
            <w:vAlign w:val="center"/>
          </w:tcPr>
          <w:p>
            <w:pPr>
              <w:spacing w:line="240" w:lineRule="auto"/>
              <w:jc w:val="center"/>
              <w:rPr>
                <w:rFonts w:hint="default" w:ascii="Times New Roman" w:hAnsi="Times New Roman" w:cs="Times New Roman"/>
                <w:color w:val="000000"/>
                <w:sz w:val="24"/>
                <w:szCs w:val="22"/>
              </w:rPr>
            </w:pPr>
            <w:r>
              <w:rPr>
                <w:rFonts w:hint="default" w:ascii="Times New Roman" w:hAnsi="Times New Roman" w:cs="Times New Roman"/>
                <w:color w:val="000000"/>
                <w:sz w:val="24"/>
                <w:szCs w:val="22"/>
              </w:rPr>
              <w:t>副总指挥</w:t>
            </w:r>
          </w:p>
        </w:tc>
        <w:tc>
          <w:tcPr>
            <w:tcW w:w="2959" w:type="dxa"/>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hint="default" w:ascii="Times New Roman" w:hAnsi="Times New Roman" w:cs="Times New Roman"/>
                <w:color w:val="000000"/>
                <w:sz w:val="24"/>
                <w:szCs w:val="22"/>
              </w:rPr>
            </w:pPr>
            <w:r>
              <w:rPr>
                <w:rFonts w:hint="default" w:ascii="Times New Roman" w:hAnsi="Times New Roman" w:cs="Times New Roman"/>
                <w:color w:val="000000"/>
                <w:sz w:val="24"/>
                <w:szCs w:val="22"/>
              </w:rPr>
              <w:t>18688102278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jc w:val="center"/>
        </w:trPr>
        <w:tc>
          <w:tcPr>
            <w:tcW w:w="2067" w:type="dxa"/>
            <w:gridSpan w:val="2"/>
            <w:vMerge w:val="restart"/>
            <w:tcBorders>
              <w:top w:val="single" w:color="auto" w:sz="4" w:space="0"/>
              <w:left w:val="single" w:color="auto" w:sz="4" w:space="0"/>
              <w:right w:val="single" w:color="auto" w:sz="4" w:space="0"/>
            </w:tcBorders>
            <w:noWrap w:val="0"/>
            <w:vAlign w:val="center"/>
          </w:tcPr>
          <w:p>
            <w:pPr>
              <w:spacing w:line="240" w:lineRule="auto"/>
              <w:jc w:val="center"/>
              <w:rPr>
                <w:rFonts w:hint="default" w:ascii="Times New Roman" w:hAnsi="Times New Roman" w:cs="Times New Roman"/>
                <w:b/>
                <w:bCs/>
                <w:color w:val="000000"/>
                <w:sz w:val="24"/>
                <w:szCs w:val="22"/>
              </w:rPr>
            </w:pPr>
            <w:r>
              <w:rPr>
                <w:rFonts w:hint="default" w:ascii="Times New Roman" w:hAnsi="Times New Roman" w:cs="Times New Roman"/>
                <w:b/>
                <w:bCs/>
                <w:color w:val="000000"/>
                <w:sz w:val="24"/>
                <w:szCs w:val="22"/>
              </w:rPr>
              <w:t>应急抢险组</w:t>
            </w:r>
          </w:p>
        </w:tc>
        <w:tc>
          <w:tcPr>
            <w:tcW w:w="1593" w:type="dxa"/>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hint="default" w:ascii="Times New Roman" w:hAnsi="Times New Roman" w:cs="Times New Roman"/>
                <w:color w:val="000000"/>
                <w:sz w:val="24"/>
                <w:szCs w:val="22"/>
              </w:rPr>
            </w:pPr>
            <w:r>
              <w:rPr>
                <w:rFonts w:hint="default" w:ascii="Times New Roman" w:hAnsi="Times New Roman" w:cs="Times New Roman"/>
                <w:color w:val="000000"/>
                <w:sz w:val="24"/>
                <w:szCs w:val="22"/>
              </w:rPr>
              <w:t>张琼</w:t>
            </w:r>
          </w:p>
        </w:tc>
        <w:tc>
          <w:tcPr>
            <w:tcW w:w="1656" w:type="dxa"/>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hint="default" w:ascii="Times New Roman" w:hAnsi="Times New Roman" w:cs="Times New Roman"/>
                <w:color w:val="000000"/>
                <w:sz w:val="24"/>
                <w:szCs w:val="22"/>
              </w:rPr>
            </w:pPr>
            <w:r>
              <w:rPr>
                <w:rFonts w:hint="default" w:ascii="Times New Roman" w:hAnsi="Times New Roman" w:cs="Times New Roman"/>
                <w:color w:val="000000"/>
                <w:sz w:val="24"/>
                <w:szCs w:val="22"/>
              </w:rPr>
              <w:t>组长</w:t>
            </w:r>
          </w:p>
        </w:tc>
        <w:tc>
          <w:tcPr>
            <w:tcW w:w="2959" w:type="dxa"/>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hint="default" w:ascii="Times New Roman" w:hAnsi="Times New Roman" w:cs="Times New Roman"/>
                <w:color w:val="000000"/>
                <w:sz w:val="24"/>
                <w:szCs w:val="22"/>
              </w:rPr>
            </w:pPr>
            <w:r>
              <w:rPr>
                <w:rFonts w:hint="default" w:ascii="Times New Roman" w:hAnsi="Times New Roman" w:cs="Times New Roman"/>
                <w:color w:val="000000"/>
                <w:sz w:val="24"/>
                <w:szCs w:val="22"/>
              </w:rPr>
              <w:t>13528178106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jc w:val="center"/>
        </w:trPr>
        <w:tc>
          <w:tcPr>
            <w:tcW w:w="2067" w:type="dxa"/>
            <w:gridSpan w:val="2"/>
            <w:vMerge w:val="continue"/>
            <w:tcBorders>
              <w:left w:val="single" w:color="auto" w:sz="4" w:space="0"/>
              <w:right w:val="single" w:color="auto" w:sz="4" w:space="0"/>
            </w:tcBorders>
            <w:noWrap w:val="0"/>
            <w:vAlign w:val="center"/>
          </w:tcPr>
          <w:p>
            <w:pPr>
              <w:spacing w:line="240" w:lineRule="auto"/>
              <w:jc w:val="center"/>
              <w:rPr>
                <w:rFonts w:hint="default" w:ascii="Times New Roman" w:hAnsi="Times New Roman" w:cs="Times New Roman"/>
                <w:b/>
                <w:bCs/>
                <w:color w:val="000000"/>
                <w:sz w:val="24"/>
                <w:szCs w:val="22"/>
              </w:rPr>
            </w:pPr>
          </w:p>
        </w:tc>
        <w:tc>
          <w:tcPr>
            <w:tcW w:w="1593" w:type="dxa"/>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hint="default" w:ascii="Times New Roman" w:hAnsi="Times New Roman" w:cs="Times New Roman"/>
                <w:color w:val="000000"/>
                <w:sz w:val="24"/>
                <w:szCs w:val="22"/>
              </w:rPr>
            </w:pPr>
            <w:r>
              <w:rPr>
                <w:rFonts w:hint="default" w:ascii="Times New Roman" w:hAnsi="Times New Roman" w:cs="Times New Roman"/>
                <w:color w:val="000000"/>
                <w:sz w:val="24"/>
                <w:szCs w:val="22"/>
              </w:rPr>
              <w:t>戴玉</w:t>
            </w:r>
          </w:p>
        </w:tc>
        <w:tc>
          <w:tcPr>
            <w:tcW w:w="1656" w:type="dxa"/>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hint="default" w:ascii="Times New Roman" w:hAnsi="Times New Roman" w:cs="Times New Roman"/>
                <w:color w:val="000000"/>
                <w:sz w:val="24"/>
                <w:szCs w:val="22"/>
              </w:rPr>
            </w:pPr>
            <w:r>
              <w:rPr>
                <w:rFonts w:hint="default" w:ascii="Times New Roman" w:hAnsi="Times New Roman" w:cs="Times New Roman"/>
                <w:color w:val="000000"/>
                <w:sz w:val="24"/>
                <w:szCs w:val="22"/>
              </w:rPr>
              <w:t>组员</w:t>
            </w:r>
          </w:p>
        </w:tc>
        <w:tc>
          <w:tcPr>
            <w:tcW w:w="2959" w:type="dxa"/>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hint="default" w:ascii="Times New Roman" w:hAnsi="Times New Roman" w:cs="Times New Roman"/>
                <w:color w:val="000000"/>
                <w:sz w:val="24"/>
                <w:szCs w:val="22"/>
              </w:rPr>
            </w:pPr>
            <w:r>
              <w:rPr>
                <w:rFonts w:hint="default" w:ascii="Times New Roman" w:hAnsi="Times New Roman" w:cs="Times New Roman"/>
                <w:color w:val="000000"/>
                <w:sz w:val="24"/>
                <w:szCs w:val="22"/>
              </w:rPr>
              <w:t>13726137750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jc w:val="center"/>
        </w:trPr>
        <w:tc>
          <w:tcPr>
            <w:tcW w:w="2067" w:type="dxa"/>
            <w:gridSpan w:val="2"/>
            <w:vMerge w:val="continue"/>
            <w:tcBorders>
              <w:left w:val="single" w:color="auto" w:sz="4" w:space="0"/>
              <w:right w:val="single" w:color="auto" w:sz="4" w:space="0"/>
            </w:tcBorders>
            <w:noWrap w:val="0"/>
            <w:vAlign w:val="center"/>
          </w:tcPr>
          <w:p>
            <w:pPr>
              <w:spacing w:line="240" w:lineRule="auto"/>
              <w:jc w:val="center"/>
              <w:rPr>
                <w:rFonts w:hint="default" w:ascii="Times New Roman" w:hAnsi="Times New Roman" w:cs="Times New Roman"/>
                <w:b/>
                <w:bCs/>
                <w:color w:val="000000"/>
                <w:sz w:val="24"/>
                <w:szCs w:val="22"/>
              </w:rPr>
            </w:pPr>
          </w:p>
        </w:tc>
        <w:tc>
          <w:tcPr>
            <w:tcW w:w="1593" w:type="dxa"/>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hint="default" w:ascii="Times New Roman" w:hAnsi="Times New Roman" w:cs="Times New Roman"/>
                <w:color w:val="000000"/>
                <w:sz w:val="24"/>
                <w:szCs w:val="22"/>
              </w:rPr>
            </w:pPr>
            <w:r>
              <w:rPr>
                <w:rFonts w:hint="default" w:ascii="Times New Roman" w:hAnsi="Times New Roman" w:cs="Times New Roman"/>
                <w:color w:val="000000"/>
                <w:sz w:val="24"/>
                <w:szCs w:val="22"/>
              </w:rPr>
              <w:t>黄进力</w:t>
            </w:r>
          </w:p>
        </w:tc>
        <w:tc>
          <w:tcPr>
            <w:tcW w:w="1656" w:type="dxa"/>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hint="default" w:ascii="Times New Roman" w:hAnsi="Times New Roman" w:cs="Times New Roman"/>
                <w:color w:val="000000"/>
                <w:sz w:val="24"/>
                <w:szCs w:val="22"/>
              </w:rPr>
            </w:pPr>
            <w:r>
              <w:rPr>
                <w:rFonts w:hint="default" w:ascii="Times New Roman" w:hAnsi="Times New Roman" w:cs="Times New Roman"/>
                <w:color w:val="000000"/>
                <w:sz w:val="24"/>
                <w:szCs w:val="22"/>
              </w:rPr>
              <w:t>组员</w:t>
            </w:r>
          </w:p>
        </w:tc>
        <w:tc>
          <w:tcPr>
            <w:tcW w:w="2959" w:type="dxa"/>
            <w:tcBorders>
              <w:top w:val="single" w:color="auto" w:sz="4" w:space="0"/>
              <w:left w:val="single" w:color="auto" w:sz="4" w:space="0"/>
              <w:bottom w:val="single" w:color="auto" w:sz="4" w:space="0"/>
              <w:right w:val="single" w:color="auto" w:sz="4" w:space="0"/>
            </w:tcBorders>
            <w:noWrap w:val="0"/>
            <w:vAlign w:val="top"/>
          </w:tcPr>
          <w:p>
            <w:pPr>
              <w:spacing w:line="240" w:lineRule="auto"/>
              <w:jc w:val="center"/>
              <w:rPr>
                <w:rFonts w:hint="default" w:ascii="Times New Roman" w:hAnsi="Times New Roman" w:cs="Times New Roman"/>
                <w:color w:val="000000"/>
                <w:sz w:val="24"/>
                <w:szCs w:val="22"/>
              </w:rPr>
            </w:pPr>
            <w:r>
              <w:rPr>
                <w:rFonts w:hint="default" w:ascii="Times New Roman" w:hAnsi="Times New Roman" w:cs="Times New Roman"/>
                <w:color w:val="000000"/>
                <w:sz w:val="24"/>
                <w:szCs w:val="22"/>
              </w:rPr>
              <w:t>13590835131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23" w:hRule="atLeast"/>
          <w:jc w:val="center"/>
        </w:trPr>
        <w:tc>
          <w:tcPr>
            <w:tcW w:w="2067" w:type="dxa"/>
            <w:gridSpan w:val="2"/>
            <w:vMerge w:val="continue"/>
            <w:tcBorders>
              <w:left w:val="single" w:color="auto" w:sz="4" w:space="0"/>
              <w:right w:val="single" w:color="auto" w:sz="4" w:space="0"/>
            </w:tcBorders>
            <w:noWrap w:val="0"/>
            <w:vAlign w:val="center"/>
          </w:tcPr>
          <w:p>
            <w:pPr>
              <w:spacing w:line="240" w:lineRule="auto"/>
              <w:jc w:val="center"/>
              <w:rPr>
                <w:rFonts w:hint="default" w:ascii="Times New Roman" w:hAnsi="Times New Roman" w:cs="Times New Roman"/>
                <w:b/>
                <w:bCs/>
                <w:color w:val="000000"/>
                <w:sz w:val="24"/>
                <w:szCs w:val="22"/>
              </w:rPr>
            </w:pPr>
          </w:p>
        </w:tc>
        <w:tc>
          <w:tcPr>
            <w:tcW w:w="1593" w:type="dxa"/>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hint="default" w:ascii="Times New Roman" w:hAnsi="Times New Roman" w:cs="Times New Roman"/>
                <w:color w:val="000000"/>
                <w:sz w:val="24"/>
                <w:szCs w:val="22"/>
              </w:rPr>
            </w:pPr>
            <w:r>
              <w:rPr>
                <w:rFonts w:hint="default" w:ascii="Times New Roman" w:hAnsi="Times New Roman" w:cs="Times New Roman"/>
                <w:color w:val="000000"/>
                <w:sz w:val="24"/>
                <w:szCs w:val="22"/>
              </w:rPr>
              <w:t>吴峰标</w:t>
            </w:r>
          </w:p>
        </w:tc>
        <w:tc>
          <w:tcPr>
            <w:tcW w:w="1656" w:type="dxa"/>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hint="default" w:ascii="Times New Roman" w:hAnsi="Times New Roman" w:cs="Times New Roman"/>
                <w:color w:val="000000"/>
                <w:sz w:val="24"/>
                <w:szCs w:val="22"/>
              </w:rPr>
            </w:pPr>
            <w:r>
              <w:rPr>
                <w:rFonts w:hint="default" w:ascii="Times New Roman" w:hAnsi="Times New Roman" w:cs="Times New Roman"/>
                <w:color w:val="000000"/>
                <w:sz w:val="24"/>
                <w:szCs w:val="22"/>
              </w:rPr>
              <w:t>组员</w:t>
            </w:r>
          </w:p>
        </w:tc>
        <w:tc>
          <w:tcPr>
            <w:tcW w:w="2959" w:type="dxa"/>
            <w:tcBorders>
              <w:top w:val="single" w:color="auto" w:sz="4" w:space="0"/>
              <w:left w:val="single" w:color="auto" w:sz="4" w:space="0"/>
              <w:bottom w:val="single" w:color="auto" w:sz="4" w:space="0"/>
              <w:right w:val="single" w:color="auto" w:sz="4" w:space="0"/>
            </w:tcBorders>
            <w:noWrap w:val="0"/>
            <w:vAlign w:val="top"/>
          </w:tcPr>
          <w:p>
            <w:pPr>
              <w:spacing w:line="240" w:lineRule="auto"/>
              <w:jc w:val="center"/>
              <w:rPr>
                <w:rFonts w:hint="default" w:ascii="Times New Roman" w:hAnsi="Times New Roman" w:cs="Times New Roman"/>
                <w:color w:val="000000"/>
                <w:sz w:val="24"/>
                <w:szCs w:val="22"/>
              </w:rPr>
            </w:pPr>
            <w:r>
              <w:rPr>
                <w:rFonts w:hint="default" w:ascii="Times New Roman" w:hAnsi="Times New Roman" w:cs="Times New Roman"/>
                <w:color w:val="000000"/>
                <w:sz w:val="24"/>
                <w:szCs w:val="22"/>
              </w:rPr>
              <w:t>18666188011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23" w:hRule="atLeast"/>
          <w:jc w:val="center"/>
        </w:trPr>
        <w:tc>
          <w:tcPr>
            <w:tcW w:w="2067" w:type="dxa"/>
            <w:gridSpan w:val="2"/>
            <w:vMerge w:val="continue"/>
            <w:tcBorders>
              <w:left w:val="single" w:color="auto" w:sz="4" w:space="0"/>
              <w:right w:val="single" w:color="auto" w:sz="4" w:space="0"/>
            </w:tcBorders>
            <w:noWrap w:val="0"/>
            <w:vAlign w:val="center"/>
          </w:tcPr>
          <w:p>
            <w:pPr>
              <w:spacing w:line="240" w:lineRule="auto"/>
              <w:jc w:val="center"/>
              <w:rPr>
                <w:rFonts w:hint="default" w:ascii="Times New Roman" w:hAnsi="Times New Roman" w:cs="Times New Roman"/>
                <w:b/>
                <w:bCs/>
                <w:color w:val="000000"/>
                <w:sz w:val="24"/>
                <w:szCs w:val="22"/>
              </w:rPr>
            </w:pPr>
          </w:p>
        </w:tc>
        <w:tc>
          <w:tcPr>
            <w:tcW w:w="1593" w:type="dxa"/>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hint="default" w:ascii="Times New Roman" w:hAnsi="Times New Roman" w:cs="Times New Roman"/>
                <w:color w:val="000000"/>
                <w:sz w:val="24"/>
                <w:szCs w:val="22"/>
              </w:rPr>
            </w:pPr>
            <w:r>
              <w:rPr>
                <w:rFonts w:hint="default" w:ascii="Times New Roman" w:hAnsi="Times New Roman" w:cs="Times New Roman"/>
                <w:color w:val="000000"/>
                <w:sz w:val="24"/>
                <w:szCs w:val="22"/>
              </w:rPr>
              <w:t>梁荣钊</w:t>
            </w:r>
          </w:p>
        </w:tc>
        <w:tc>
          <w:tcPr>
            <w:tcW w:w="1656" w:type="dxa"/>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hint="default" w:ascii="Times New Roman" w:hAnsi="Times New Roman" w:cs="Times New Roman"/>
                <w:color w:val="000000"/>
                <w:sz w:val="24"/>
                <w:szCs w:val="22"/>
              </w:rPr>
            </w:pPr>
            <w:r>
              <w:rPr>
                <w:rFonts w:hint="default" w:ascii="Times New Roman" w:hAnsi="Times New Roman" w:cs="Times New Roman"/>
                <w:color w:val="000000"/>
                <w:sz w:val="24"/>
                <w:szCs w:val="22"/>
              </w:rPr>
              <w:t>组员</w:t>
            </w:r>
          </w:p>
        </w:tc>
        <w:tc>
          <w:tcPr>
            <w:tcW w:w="2959" w:type="dxa"/>
            <w:tcBorders>
              <w:top w:val="single" w:color="auto" w:sz="4" w:space="0"/>
              <w:left w:val="single" w:color="auto" w:sz="4" w:space="0"/>
              <w:bottom w:val="single" w:color="auto" w:sz="4" w:space="0"/>
              <w:right w:val="single" w:color="auto" w:sz="4" w:space="0"/>
            </w:tcBorders>
            <w:noWrap w:val="0"/>
            <w:vAlign w:val="top"/>
          </w:tcPr>
          <w:p>
            <w:pPr>
              <w:spacing w:line="240" w:lineRule="auto"/>
              <w:jc w:val="center"/>
              <w:rPr>
                <w:rFonts w:hint="default" w:ascii="Times New Roman" w:hAnsi="Times New Roman" w:cs="Times New Roman"/>
                <w:color w:val="000000"/>
                <w:sz w:val="24"/>
                <w:szCs w:val="22"/>
              </w:rPr>
            </w:pPr>
            <w:r>
              <w:rPr>
                <w:rFonts w:hint="default" w:ascii="Times New Roman" w:hAnsi="Times New Roman" w:cs="Times New Roman"/>
                <w:color w:val="000000"/>
                <w:sz w:val="24"/>
                <w:szCs w:val="22"/>
              </w:rPr>
              <w:t>13726081879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23" w:hRule="atLeast"/>
          <w:jc w:val="center"/>
        </w:trPr>
        <w:tc>
          <w:tcPr>
            <w:tcW w:w="2067" w:type="dxa"/>
            <w:gridSpan w:val="2"/>
            <w:vMerge w:val="continue"/>
            <w:tcBorders>
              <w:left w:val="single" w:color="auto" w:sz="4" w:space="0"/>
              <w:right w:val="single" w:color="auto" w:sz="4" w:space="0"/>
            </w:tcBorders>
            <w:noWrap w:val="0"/>
            <w:vAlign w:val="center"/>
          </w:tcPr>
          <w:p>
            <w:pPr>
              <w:spacing w:line="240" w:lineRule="auto"/>
              <w:jc w:val="center"/>
              <w:rPr>
                <w:rFonts w:hint="default" w:ascii="Times New Roman" w:hAnsi="Times New Roman" w:cs="Times New Roman"/>
                <w:b/>
                <w:bCs/>
                <w:color w:val="000000"/>
                <w:sz w:val="24"/>
                <w:szCs w:val="22"/>
              </w:rPr>
            </w:pPr>
          </w:p>
        </w:tc>
        <w:tc>
          <w:tcPr>
            <w:tcW w:w="1593" w:type="dxa"/>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hint="default" w:ascii="Times New Roman" w:hAnsi="Times New Roman" w:cs="Times New Roman"/>
                <w:color w:val="000000"/>
                <w:sz w:val="24"/>
                <w:szCs w:val="22"/>
              </w:rPr>
            </w:pPr>
            <w:r>
              <w:rPr>
                <w:rFonts w:hint="default" w:ascii="Times New Roman" w:hAnsi="Times New Roman" w:cs="Times New Roman"/>
                <w:color w:val="000000"/>
                <w:sz w:val="24"/>
                <w:szCs w:val="22"/>
              </w:rPr>
              <w:t>吴宇亮</w:t>
            </w:r>
          </w:p>
        </w:tc>
        <w:tc>
          <w:tcPr>
            <w:tcW w:w="1656" w:type="dxa"/>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hint="default" w:ascii="Times New Roman" w:hAnsi="Times New Roman" w:cs="Times New Roman"/>
                <w:color w:val="000000"/>
                <w:sz w:val="24"/>
                <w:szCs w:val="22"/>
              </w:rPr>
            </w:pPr>
            <w:r>
              <w:rPr>
                <w:rFonts w:hint="default" w:ascii="Times New Roman" w:hAnsi="Times New Roman" w:cs="Times New Roman"/>
                <w:color w:val="000000"/>
                <w:sz w:val="24"/>
                <w:szCs w:val="22"/>
              </w:rPr>
              <w:t>组员</w:t>
            </w:r>
          </w:p>
        </w:tc>
        <w:tc>
          <w:tcPr>
            <w:tcW w:w="2959" w:type="dxa"/>
            <w:tcBorders>
              <w:top w:val="single" w:color="auto" w:sz="4" w:space="0"/>
              <w:left w:val="single" w:color="auto" w:sz="4" w:space="0"/>
              <w:bottom w:val="single" w:color="auto" w:sz="4" w:space="0"/>
              <w:right w:val="single" w:color="auto" w:sz="4" w:space="0"/>
            </w:tcBorders>
            <w:noWrap w:val="0"/>
            <w:vAlign w:val="top"/>
          </w:tcPr>
          <w:p>
            <w:pPr>
              <w:spacing w:line="240" w:lineRule="auto"/>
              <w:jc w:val="center"/>
              <w:rPr>
                <w:rFonts w:hint="default" w:ascii="Times New Roman" w:hAnsi="Times New Roman" w:cs="Times New Roman"/>
                <w:color w:val="000000"/>
                <w:sz w:val="24"/>
                <w:szCs w:val="22"/>
              </w:rPr>
            </w:pPr>
            <w:r>
              <w:rPr>
                <w:rFonts w:hint="default" w:ascii="Times New Roman" w:hAnsi="Times New Roman" w:cs="Times New Roman"/>
                <w:color w:val="000000"/>
                <w:sz w:val="24"/>
                <w:szCs w:val="22"/>
              </w:rPr>
              <w:t>13590785288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23" w:hRule="atLeast"/>
          <w:jc w:val="center"/>
        </w:trPr>
        <w:tc>
          <w:tcPr>
            <w:tcW w:w="2067" w:type="dxa"/>
            <w:gridSpan w:val="2"/>
            <w:vMerge w:val="continue"/>
            <w:tcBorders>
              <w:left w:val="single" w:color="auto" w:sz="4" w:space="0"/>
              <w:right w:val="single" w:color="auto" w:sz="4" w:space="0"/>
            </w:tcBorders>
            <w:noWrap w:val="0"/>
            <w:vAlign w:val="center"/>
          </w:tcPr>
          <w:p>
            <w:pPr>
              <w:spacing w:line="240" w:lineRule="auto"/>
              <w:jc w:val="center"/>
              <w:rPr>
                <w:rFonts w:hint="default" w:ascii="Times New Roman" w:hAnsi="Times New Roman" w:cs="Times New Roman"/>
                <w:b/>
                <w:bCs/>
                <w:color w:val="000000"/>
                <w:sz w:val="24"/>
                <w:szCs w:val="22"/>
              </w:rPr>
            </w:pPr>
          </w:p>
        </w:tc>
        <w:tc>
          <w:tcPr>
            <w:tcW w:w="1593" w:type="dxa"/>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hint="default" w:ascii="Times New Roman" w:hAnsi="Times New Roman" w:cs="Times New Roman"/>
                <w:color w:val="000000"/>
                <w:sz w:val="24"/>
                <w:szCs w:val="22"/>
              </w:rPr>
            </w:pPr>
            <w:r>
              <w:rPr>
                <w:rFonts w:hint="default" w:ascii="Times New Roman" w:hAnsi="Times New Roman" w:cs="Times New Roman"/>
                <w:color w:val="000000"/>
                <w:sz w:val="24"/>
                <w:szCs w:val="22"/>
              </w:rPr>
              <w:t>杨图标</w:t>
            </w:r>
          </w:p>
        </w:tc>
        <w:tc>
          <w:tcPr>
            <w:tcW w:w="1656" w:type="dxa"/>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hint="default" w:ascii="Times New Roman" w:hAnsi="Times New Roman" w:cs="Times New Roman"/>
                <w:color w:val="000000"/>
                <w:sz w:val="24"/>
                <w:szCs w:val="22"/>
              </w:rPr>
            </w:pPr>
            <w:r>
              <w:rPr>
                <w:rFonts w:hint="default" w:ascii="Times New Roman" w:hAnsi="Times New Roman" w:cs="Times New Roman"/>
                <w:color w:val="000000"/>
                <w:sz w:val="24"/>
                <w:szCs w:val="22"/>
              </w:rPr>
              <w:t>组员</w:t>
            </w:r>
          </w:p>
        </w:tc>
        <w:tc>
          <w:tcPr>
            <w:tcW w:w="2959" w:type="dxa"/>
            <w:tcBorders>
              <w:top w:val="single" w:color="auto" w:sz="4" w:space="0"/>
              <w:left w:val="single" w:color="auto" w:sz="4" w:space="0"/>
              <w:bottom w:val="single" w:color="auto" w:sz="4" w:space="0"/>
              <w:right w:val="single" w:color="auto" w:sz="4" w:space="0"/>
            </w:tcBorders>
            <w:noWrap w:val="0"/>
            <w:vAlign w:val="top"/>
          </w:tcPr>
          <w:p>
            <w:pPr>
              <w:spacing w:line="240" w:lineRule="auto"/>
              <w:jc w:val="center"/>
              <w:rPr>
                <w:rFonts w:hint="default" w:ascii="Times New Roman" w:hAnsi="Times New Roman" w:cs="Times New Roman"/>
                <w:color w:val="000000"/>
                <w:sz w:val="24"/>
                <w:szCs w:val="22"/>
              </w:rPr>
            </w:pPr>
            <w:r>
              <w:rPr>
                <w:rFonts w:hint="default" w:ascii="Times New Roman" w:hAnsi="Times New Roman" w:cs="Times New Roman"/>
                <w:color w:val="000000"/>
                <w:sz w:val="24"/>
                <w:szCs w:val="22"/>
              </w:rPr>
              <w:t>13590887222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23" w:hRule="atLeast"/>
          <w:jc w:val="center"/>
        </w:trPr>
        <w:tc>
          <w:tcPr>
            <w:tcW w:w="853" w:type="dxa"/>
            <w:vMerge w:val="restart"/>
            <w:tcBorders>
              <w:top w:val="single" w:color="auto" w:sz="4" w:space="0"/>
              <w:left w:val="single" w:color="auto" w:sz="4" w:space="0"/>
              <w:right w:val="single" w:color="auto" w:sz="4" w:space="0"/>
            </w:tcBorders>
            <w:noWrap w:val="0"/>
            <w:vAlign w:val="center"/>
          </w:tcPr>
          <w:p>
            <w:pPr>
              <w:spacing w:line="240" w:lineRule="auto"/>
              <w:jc w:val="center"/>
              <w:rPr>
                <w:rFonts w:hint="default" w:ascii="Times New Roman" w:hAnsi="Times New Roman" w:cs="Times New Roman"/>
                <w:b/>
                <w:bCs/>
                <w:color w:val="000000"/>
                <w:sz w:val="24"/>
                <w:szCs w:val="22"/>
              </w:rPr>
            </w:pPr>
            <w:r>
              <w:rPr>
                <w:rFonts w:hint="default" w:ascii="Times New Roman" w:hAnsi="Times New Roman" w:cs="Times New Roman"/>
                <w:b/>
                <w:bCs/>
                <w:color w:val="000000"/>
                <w:sz w:val="24"/>
                <w:szCs w:val="22"/>
              </w:rPr>
              <w:t>安全后勤组</w:t>
            </w:r>
          </w:p>
        </w:tc>
        <w:tc>
          <w:tcPr>
            <w:tcW w:w="1214" w:type="dxa"/>
            <w:vMerge w:val="restart"/>
            <w:tcBorders>
              <w:top w:val="single" w:color="auto" w:sz="4" w:space="0"/>
              <w:left w:val="single" w:color="auto" w:sz="4" w:space="0"/>
              <w:right w:val="single" w:color="auto" w:sz="4" w:space="0"/>
            </w:tcBorders>
            <w:noWrap w:val="0"/>
            <w:vAlign w:val="center"/>
          </w:tcPr>
          <w:p>
            <w:pPr>
              <w:spacing w:line="240" w:lineRule="auto"/>
              <w:jc w:val="center"/>
              <w:rPr>
                <w:rFonts w:hint="default" w:ascii="Times New Roman" w:hAnsi="Times New Roman" w:cs="Times New Roman"/>
                <w:b/>
                <w:bCs/>
                <w:color w:val="000000"/>
                <w:sz w:val="24"/>
                <w:szCs w:val="22"/>
              </w:rPr>
            </w:pPr>
            <w:r>
              <w:rPr>
                <w:rFonts w:hint="default" w:ascii="Times New Roman" w:hAnsi="Times New Roman" w:cs="Times New Roman"/>
                <w:b/>
                <w:bCs/>
                <w:color w:val="000000"/>
                <w:sz w:val="24"/>
                <w:szCs w:val="22"/>
              </w:rPr>
              <w:t>疏散警戒小组</w:t>
            </w:r>
          </w:p>
        </w:tc>
        <w:tc>
          <w:tcPr>
            <w:tcW w:w="1593" w:type="dxa"/>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hint="default" w:ascii="Times New Roman" w:hAnsi="Times New Roman" w:cs="Times New Roman"/>
                <w:color w:val="000000"/>
                <w:sz w:val="24"/>
                <w:szCs w:val="22"/>
              </w:rPr>
            </w:pPr>
            <w:r>
              <w:rPr>
                <w:rFonts w:hint="default" w:ascii="Times New Roman" w:hAnsi="Times New Roman" w:cs="Times New Roman"/>
                <w:color w:val="000000"/>
                <w:sz w:val="24"/>
                <w:szCs w:val="22"/>
              </w:rPr>
              <w:t>杜广宇</w:t>
            </w:r>
          </w:p>
        </w:tc>
        <w:tc>
          <w:tcPr>
            <w:tcW w:w="1656" w:type="dxa"/>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hint="default" w:ascii="Times New Roman" w:hAnsi="Times New Roman" w:cs="Times New Roman"/>
                <w:color w:val="000000"/>
                <w:sz w:val="24"/>
                <w:szCs w:val="22"/>
              </w:rPr>
            </w:pPr>
            <w:r>
              <w:rPr>
                <w:rFonts w:hint="default" w:ascii="Times New Roman" w:hAnsi="Times New Roman" w:cs="Times New Roman"/>
                <w:color w:val="000000"/>
                <w:sz w:val="24"/>
                <w:szCs w:val="22"/>
              </w:rPr>
              <w:t>组长</w:t>
            </w:r>
          </w:p>
        </w:tc>
        <w:tc>
          <w:tcPr>
            <w:tcW w:w="2959" w:type="dxa"/>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hint="default" w:ascii="Times New Roman" w:hAnsi="Times New Roman" w:cs="Times New Roman"/>
                <w:color w:val="000000"/>
                <w:sz w:val="24"/>
                <w:szCs w:val="22"/>
              </w:rPr>
            </w:pPr>
            <w:r>
              <w:rPr>
                <w:rFonts w:hint="default" w:ascii="Times New Roman" w:hAnsi="Times New Roman" w:cs="Times New Roman"/>
                <w:color w:val="000000"/>
                <w:sz w:val="24"/>
                <w:szCs w:val="22"/>
              </w:rPr>
              <w:t>13549870979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23" w:hRule="atLeast"/>
          <w:jc w:val="center"/>
        </w:trPr>
        <w:tc>
          <w:tcPr>
            <w:tcW w:w="853" w:type="dxa"/>
            <w:vMerge w:val="continue"/>
            <w:tcBorders>
              <w:left w:val="single" w:color="auto" w:sz="4" w:space="0"/>
              <w:right w:val="single" w:color="auto" w:sz="4" w:space="0"/>
            </w:tcBorders>
            <w:noWrap w:val="0"/>
            <w:vAlign w:val="center"/>
          </w:tcPr>
          <w:p>
            <w:pPr>
              <w:spacing w:line="240" w:lineRule="auto"/>
              <w:jc w:val="center"/>
              <w:rPr>
                <w:rFonts w:hint="default" w:ascii="Times New Roman" w:hAnsi="Times New Roman" w:cs="Times New Roman"/>
                <w:b/>
                <w:bCs/>
                <w:color w:val="000000"/>
                <w:sz w:val="24"/>
                <w:szCs w:val="22"/>
              </w:rPr>
            </w:pPr>
          </w:p>
        </w:tc>
        <w:tc>
          <w:tcPr>
            <w:tcW w:w="1214" w:type="dxa"/>
            <w:vMerge w:val="continue"/>
            <w:tcBorders>
              <w:left w:val="single" w:color="auto" w:sz="4" w:space="0"/>
              <w:right w:val="single" w:color="auto" w:sz="4" w:space="0"/>
            </w:tcBorders>
            <w:noWrap w:val="0"/>
            <w:vAlign w:val="center"/>
          </w:tcPr>
          <w:p>
            <w:pPr>
              <w:spacing w:line="240" w:lineRule="auto"/>
              <w:jc w:val="center"/>
              <w:rPr>
                <w:rFonts w:hint="default" w:ascii="Times New Roman" w:hAnsi="Times New Roman" w:cs="Times New Roman"/>
                <w:b/>
                <w:bCs/>
                <w:color w:val="000000"/>
                <w:sz w:val="24"/>
                <w:szCs w:val="22"/>
              </w:rPr>
            </w:pPr>
          </w:p>
        </w:tc>
        <w:tc>
          <w:tcPr>
            <w:tcW w:w="1593" w:type="dxa"/>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hint="default" w:ascii="Times New Roman" w:hAnsi="Times New Roman" w:cs="Times New Roman"/>
                <w:color w:val="000000"/>
                <w:sz w:val="24"/>
                <w:szCs w:val="22"/>
              </w:rPr>
            </w:pPr>
            <w:r>
              <w:rPr>
                <w:rFonts w:hint="default" w:ascii="Times New Roman" w:hAnsi="Times New Roman" w:cs="Times New Roman"/>
                <w:color w:val="000000"/>
                <w:sz w:val="24"/>
                <w:szCs w:val="22"/>
              </w:rPr>
              <w:t>陈国兴</w:t>
            </w:r>
          </w:p>
        </w:tc>
        <w:tc>
          <w:tcPr>
            <w:tcW w:w="1656" w:type="dxa"/>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hint="default" w:ascii="Times New Roman" w:hAnsi="Times New Roman" w:cs="Times New Roman"/>
                <w:color w:val="000000"/>
                <w:sz w:val="24"/>
                <w:szCs w:val="22"/>
              </w:rPr>
            </w:pPr>
            <w:r>
              <w:rPr>
                <w:rFonts w:hint="default" w:ascii="Times New Roman" w:hAnsi="Times New Roman" w:cs="Times New Roman"/>
                <w:color w:val="000000"/>
                <w:sz w:val="24"/>
                <w:szCs w:val="22"/>
              </w:rPr>
              <w:t>组员</w:t>
            </w:r>
          </w:p>
        </w:tc>
        <w:tc>
          <w:tcPr>
            <w:tcW w:w="2959" w:type="dxa"/>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hint="default" w:ascii="Times New Roman" w:hAnsi="Times New Roman" w:cs="Times New Roman"/>
                <w:color w:val="000000"/>
                <w:sz w:val="24"/>
                <w:szCs w:val="22"/>
              </w:rPr>
            </w:pPr>
            <w:r>
              <w:rPr>
                <w:rFonts w:hint="default" w:ascii="Times New Roman" w:hAnsi="Times New Roman" w:cs="Times New Roman"/>
                <w:color w:val="000000"/>
                <w:sz w:val="24"/>
                <w:szCs w:val="22"/>
              </w:rPr>
              <w:t>15800117729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23" w:hRule="atLeast"/>
          <w:jc w:val="center"/>
        </w:trPr>
        <w:tc>
          <w:tcPr>
            <w:tcW w:w="853" w:type="dxa"/>
            <w:vMerge w:val="continue"/>
            <w:tcBorders>
              <w:left w:val="single" w:color="auto" w:sz="4" w:space="0"/>
              <w:right w:val="single" w:color="auto" w:sz="4" w:space="0"/>
            </w:tcBorders>
            <w:noWrap w:val="0"/>
            <w:vAlign w:val="center"/>
          </w:tcPr>
          <w:p>
            <w:pPr>
              <w:spacing w:line="240" w:lineRule="auto"/>
              <w:jc w:val="center"/>
              <w:rPr>
                <w:rFonts w:hint="default" w:ascii="Times New Roman" w:hAnsi="Times New Roman" w:cs="Times New Roman"/>
                <w:b/>
                <w:bCs/>
                <w:color w:val="000000"/>
                <w:sz w:val="24"/>
                <w:szCs w:val="22"/>
              </w:rPr>
            </w:pPr>
          </w:p>
        </w:tc>
        <w:tc>
          <w:tcPr>
            <w:tcW w:w="1214" w:type="dxa"/>
            <w:vMerge w:val="continue"/>
            <w:tcBorders>
              <w:left w:val="single" w:color="auto" w:sz="4" w:space="0"/>
              <w:right w:val="single" w:color="auto" w:sz="4" w:space="0"/>
            </w:tcBorders>
            <w:noWrap w:val="0"/>
            <w:vAlign w:val="center"/>
          </w:tcPr>
          <w:p>
            <w:pPr>
              <w:spacing w:line="240" w:lineRule="auto"/>
              <w:jc w:val="center"/>
              <w:rPr>
                <w:rFonts w:hint="default" w:ascii="Times New Roman" w:hAnsi="Times New Roman" w:cs="Times New Roman"/>
                <w:b/>
                <w:bCs/>
                <w:color w:val="000000"/>
                <w:sz w:val="24"/>
                <w:szCs w:val="22"/>
              </w:rPr>
            </w:pPr>
          </w:p>
        </w:tc>
        <w:tc>
          <w:tcPr>
            <w:tcW w:w="1593" w:type="dxa"/>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hint="default" w:ascii="Times New Roman" w:hAnsi="Times New Roman" w:cs="Times New Roman"/>
                <w:color w:val="000000"/>
                <w:sz w:val="24"/>
                <w:szCs w:val="22"/>
              </w:rPr>
            </w:pPr>
            <w:r>
              <w:rPr>
                <w:rFonts w:hint="default" w:ascii="Times New Roman" w:hAnsi="Times New Roman" w:cs="Times New Roman"/>
                <w:color w:val="000000"/>
                <w:sz w:val="24"/>
                <w:szCs w:val="22"/>
              </w:rPr>
              <w:t>彭健</w:t>
            </w:r>
          </w:p>
        </w:tc>
        <w:tc>
          <w:tcPr>
            <w:tcW w:w="1656" w:type="dxa"/>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hint="default" w:ascii="Times New Roman" w:hAnsi="Times New Roman" w:cs="Times New Roman"/>
                <w:color w:val="000000"/>
                <w:sz w:val="24"/>
                <w:szCs w:val="22"/>
              </w:rPr>
            </w:pPr>
            <w:r>
              <w:rPr>
                <w:rFonts w:hint="default" w:ascii="Times New Roman" w:hAnsi="Times New Roman" w:cs="Times New Roman"/>
                <w:color w:val="000000"/>
                <w:sz w:val="24"/>
                <w:szCs w:val="22"/>
              </w:rPr>
              <w:t>组员</w:t>
            </w:r>
          </w:p>
        </w:tc>
        <w:tc>
          <w:tcPr>
            <w:tcW w:w="2959" w:type="dxa"/>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hint="default" w:ascii="Times New Roman" w:hAnsi="Times New Roman" w:cs="Times New Roman"/>
                <w:color w:val="000000"/>
                <w:sz w:val="24"/>
                <w:szCs w:val="22"/>
              </w:rPr>
            </w:pPr>
            <w:r>
              <w:rPr>
                <w:rFonts w:hint="default" w:ascii="Times New Roman" w:hAnsi="Times New Roman" w:cs="Times New Roman"/>
                <w:color w:val="000000"/>
                <w:sz w:val="24"/>
                <w:szCs w:val="22"/>
              </w:rPr>
              <w:t>15007600583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23" w:hRule="atLeast"/>
          <w:jc w:val="center"/>
        </w:trPr>
        <w:tc>
          <w:tcPr>
            <w:tcW w:w="853" w:type="dxa"/>
            <w:vMerge w:val="continue"/>
            <w:tcBorders>
              <w:left w:val="single" w:color="auto" w:sz="4" w:space="0"/>
              <w:right w:val="single" w:color="auto" w:sz="4" w:space="0"/>
            </w:tcBorders>
            <w:noWrap w:val="0"/>
            <w:vAlign w:val="center"/>
          </w:tcPr>
          <w:p>
            <w:pPr>
              <w:spacing w:line="240" w:lineRule="auto"/>
              <w:jc w:val="center"/>
              <w:rPr>
                <w:rFonts w:hint="default" w:ascii="Times New Roman" w:hAnsi="Times New Roman" w:cs="Times New Roman"/>
                <w:b/>
                <w:bCs/>
                <w:color w:val="000000"/>
                <w:sz w:val="24"/>
                <w:szCs w:val="22"/>
              </w:rPr>
            </w:pPr>
          </w:p>
        </w:tc>
        <w:tc>
          <w:tcPr>
            <w:tcW w:w="1214" w:type="dxa"/>
            <w:vMerge w:val="continue"/>
            <w:tcBorders>
              <w:left w:val="single" w:color="auto" w:sz="4" w:space="0"/>
              <w:right w:val="single" w:color="auto" w:sz="4" w:space="0"/>
            </w:tcBorders>
            <w:noWrap w:val="0"/>
            <w:vAlign w:val="center"/>
          </w:tcPr>
          <w:p>
            <w:pPr>
              <w:spacing w:line="240" w:lineRule="auto"/>
              <w:jc w:val="center"/>
              <w:rPr>
                <w:rFonts w:hint="default" w:ascii="Times New Roman" w:hAnsi="Times New Roman" w:cs="Times New Roman"/>
                <w:b/>
                <w:bCs/>
                <w:color w:val="000000"/>
                <w:sz w:val="24"/>
                <w:szCs w:val="22"/>
              </w:rPr>
            </w:pPr>
          </w:p>
        </w:tc>
        <w:tc>
          <w:tcPr>
            <w:tcW w:w="1593" w:type="dxa"/>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hint="default" w:ascii="Times New Roman" w:hAnsi="Times New Roman" w:cs="Times New Roman"/>
                <w:color w:val="000000"/>
                <w:sz w:val="24"/>
                <w:szCs w:val="22"/>
              </w:rPr>
            </w:pPr>
            <w:r>
              <w:rPr>
                <w:rFonts w:hint="default" w:ascii="Times New Roman" w:hAnsi="Times New Roman" w:cs="Times New Roman"/>
                <w:color w:val="000000"/>
                <w:sz w:val="24"/>
                <w:szCs w:val="22"/>
              </w:rPr>
              <w:t>卢添明</w:t>
            </w:r>
          </w:p>
        </w:tc>
        <w:tc>
          <w:tcPr>
            <w:tcW w:w="1656" w:type="dxa"/>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hint="default" w:ascii="Times New Roman" w:hAnsi="Times New Roman" w:cs="Times New Roman"/>
                <w:color w:val="000000"/>
                <w:sz w:val="24"/>
                <w:szCs w:val="22"/>
              </w:rPr>
            </w:pPr>
            <w:r>
              <w:rPr>
                <w:rFonts w:hint="default" w:ascii="Times New Roman" w:hAnsi="Times New Roman" w:cs="Times New Roman"/>
                <w:color w:val="000000"/>
                <w:sz w:val="24"/>
                <w:szCs w:val="22"/>
              </w:rPr>
              <w:t>组员</w:t>
            </w:r>
          </w:p>
        </w:tc>
        <w:tc>
          <w:tcPr>
            <w:tcW w:w="2959" w:type="dxa"/>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hint="default" w:ascii="Times New Roman" w:hAnsi="Times New Roman" w:cs="Times New Roman"/>
                <w:color w:val="000000"/>
                <w:sz w:val="24"/>
                <w:szCs w:val="22"/>
              </w:rPr>
            </w:pPr>
            <w:r>
              <w:rPr>
                <w:rFonts w:hint="default" w:ascii="Times New Roman" w:hAnsi="Times New Roman" w:cs="Times New Roman"/>
                <w:color w:val="000000"/>
                <w:sz w:val="24"/>
                <w:szCs w:val="22"/>
              </w:rPr>
              <w:t>13549881937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23" w:hRule="atLeast"/>
          <w:jc w:val="center"/>
        </w:trPr>
        <w:tc>
          <w:tcPr>
            <w:tcW w:w="853" w:type="dxa"/>
            <w:vMerge w:val="continue"/>
            <w:tcBorders>
              <w:left w:val="single" w:color="auto" w:sz="4" w:space="0"/>
              <w:right w:val="single" w:color="auto" w:sz="4" w:space="0"/>
            </w:tcBorders>
            <w:noWrap w:val="0"/>
            <w:vAlign w:val="center"/>
          </w:tcPr>
          <w:p>
            <w:pPr>
              <w:spacing w:line="240" w:lineRule="auto"/>
              <w:jc w:val="center"/>
              <w:rPr>
                <w:rFonts w:hint="default" w:ascii="Times New Roman" w:hAnsi="Times New Roman" w:cs="Times New Roman"/>
                <w:b/>
                <w:bCs/>
                <w:color w:val="000000"/>
                <w:sz w:val="24"/>
                <w:szCs w:val="22"/>
              </w:rPr>
            </w:pPr>
          </w:p>
        </w:tc>
        <w:tc>
          <w:tcPr>
            <w:tcW w:w="1214" w:type="dxa"/>
            <w:vMerge w:val="restart"/>
            <w:tcBorders>
              <w:left w:val="single" w:color="auto" w:sz="4" w:space="0"/>
              <w:right w:val="single" w:color="auto" w:sz="4" w:space="0"/>
            </w:tcBorders>
            <w:noWrap w:val="0"/>
            <w:vAlign w:val="center"/>
          </w:tcPr>
          <w:p>
            <w:pPr>
              <w:spacing w:line="240" w:lineRule="auto"/>
              <w:jc w:val="center"/>
              <w:rPr>
                <w:rFonts w:hint="default" w:ascii="Times New Roman" w:hAnsi="Times New Roman" w:cs="Times New Roman"/>
                <w:b/>
                <w:bCs/>
                <w:color w:val="000000"/>
                <w:sz w:val="24"/>
                <w:szCs w:val="22"/>
              </w:rPr>
            </w:pPr>
            <w:r>
              <w:rPr>
                <w:rFonts w:hint="default" w:ascii="Times New Roman" w:hAnsi="Times New Roman" w:cs="Times New Roman"/>
                <w:b/>
                <w:bCs/>
                <w:color w:val="000000"/>
                <w:sz w:val="24"/>
                <w:szCs w:val="22"/>
              </w:rPr>
              <w:t>医疗救助小组</w:t>
            </w:r>
          </w:p>
        </w:tc>
        <w:tc>
          <w:tcPr>
            <w:tcW w:w="1593" w:type="dxa"/>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hint="default" w:ascii="Times New Roman" w:hAnsi="Times New Roman" w:cs="Times New Roman"/>
                <w:color w:val="000000"/>
                <w:sz w:val="24"/>
                <w:szCs w:val="22"/>
              </w:rPr>
            </w:pPr>
            <w:r>
              <w:rPr>
                <w:rFonts w:hint="default" w:ascii="Times New Roman" w:hAnsi="Times New Roman" w:cs="Times New Roman"/>
                <w:color w:val="000000"/>
                <w:sz w:val="24"/>
                <w:szCs w:val="22"/>
              </w:rPr>
              <w:t>易剑锋</w:t>
            </w:r>
          </w:p>
        </w:tc>
        <w:tc>
          <w:tcPr>
            <w:tcW w:w="1656" w:type="dxa"/>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hint="default" w:ascii="Times New Roman" w:hAnsi="Times New Roman" w:cs="Times New Roman"/>
                <w:color w:val="000000"/>
                <w:sz w:val="24"/>
                <w:szCs w:val="22"/>
              </w:rPr>
            </w:pPr>
            <w:r>
              <w:rPr>
                <w:rFonts w:hint="default" w:ascii="Times New Roman" w:hAnsi="Times New Roman" w:cs="Times New Roman"/>
                <w:color w:val="000000"/>
                <w:sz w:val="24"/>
                <w:szCs w:val="22"/>
              </w:rPr>
              <w:t>组长</w:t>
            </w:r>
          </w:p>
        </w:tc>
        <w:tc>
          <w:tcPr>
            <w:tcW w:w="2959" w:type="dxa"/>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hint="default" w:ascii="Times New Roman" w:hAnsi="Times New Roman" w:cs="Times New Roman"/>
                <w:color w:val="000000"/>
                <w:sz w:val="24"/>
                <w:szCs w:val="22"/>
              </w:rPr>
            </w:pPr>
            <w:r>
              <w:rPr>
                <w:rFonts w:hint="default" w:ascii="Times New Roman" w:hAnsi="Times New Roman" w:cs="Times New Roman"/>
                <w:color w:val="000000"/>
                <w:sz w:val="24"/>
                <w:szCs w:val="22"/>
              </w:rPr>
              <w:t>18802591209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23" w:hRule="atLeast"/>
          <w:jc w:val="center"/>
        </w:trPr>
        <w:tc>
          <w:tcPr>
            <w:tcW w:w="853" w:type="dxa"/>
            <w:vMerge w:val="continue"/>
            <w:tcBorders>
              <w:left w:val="single" w:color="auto" w:sz="4" w:space="0"/>
              <w:right w:val="single" w:color="auto" w:sz="4" w:space="0"/>
            </w:tcBorders>
            <w:noWrap w:val="0"/>
            <w:vAlign w:val="center"/>
          </w:tcPr>
          <w:p>
            <w:pPr>
              <w:spacing w:line="240" w:lineRule="auto"/>
              <w:jc w:val="center"/>
              <w:rPr>
                <w:rFonts w:hint="default" w:ascii="Times New Roman" w:hAnsi="Times New Roman" w:cs="Times New Roman"/>
                <w:b/>
                <w:bCs/>
                <w:color w:val="000000"/>
                <w:sz w:val="24"/>
                <w:szCs w:val="22"/>
              </w:rPr>
            </w:pPr>
          </w:p>
        </w:tc>
        <w:tc>
          <w:tcPr>
            <w:tcW w:w="1214" w:type="dxa"/>
            <w:vMerge w:val="continue"/>
            <w:tcBorders>
              <w:left w:val="single" w:color="auto" w:sz="4" w:space="0"/>
              <w:right w:val="single" w:color="auto" w:sz="4" w:space="0"/>
            </w:tcBorders>
            <w:noWrap w:val="0"/>
            <w:vAlign w:val="center"/>
          </w:tcPr>
          <w:p>
            <w:pPr>
              <w:spacing w:line="240" w:lineRule="auto"/>
              <w:jc w:val="center"/>
              <w:rPr>
                <w:rFonts w:hint="default" w:ascii="Times New Roman" w:hAnsi="Times New Roman" w:cs="Times New Roman"/>
                <w:b/>
                <w:bCs/>
                <w:color w:val="000000"/>
                <w:sz w:val="24"/>
                <w:szCs w:val="22"/>
              </w:rPr>
            </w:pPr>
          </w:p>
        </w:tc>
        <w:tc>
          <w:tcPr>
            <w:tcW w:w="1593" w:type="dxa"/>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hint="default" w:ascii="Times New Roman" w:hAnsi="Times New Roman" w:cs="Times New Roman"/>
                <w:color w:val="000000"/>
                <w:sz w:val="24"/>
                <w:szCs w:val="22"/>
              </w:rPr>
            </w:pPr>
            <w:r>
              <w:rPr>
                <w:rFonts w:hint="default" w:ascii="Times New Roman" w:hAnsi="Times New Roman" w:cs="Times New Roman"/>
                <w:color w:val="000000"/>
                <w:sz w:val="24"/>
                <w:szCs w:val="22"/>
              </w:rPr>
              <w:t>杜越南</w:t>
            </w:r>
          </w:p>
        </w:tc>
        <w:tc>
          <w:tcPr>
            <w:tcW w:w="1656" w:type="dxa"/>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hint="default" w:ascii="Times New Roman" w:hAnsi="Times New Roman" w:cs="Times New Roman"/>
                <w:color w:val="000000"/>
                <w:sz w:val="24"/>
                <w:szCs w:val="22"/>
              </w:rPr>
            </w:pPr>
            <w:r>
              <w:rPr>
                <w:rFonts w:hint="default" w:ascii="Times New Roman" w:hAnsi="Times New Roman" w:cs="Times New Roman"/>
                <w:color w:val="000000"/>
                <w:sz w:val="24"/>
                <w:szCs w:val="22"/>
              </w:rPr>
              <w:t>组员</w:t>
            </w:r>
          </w:p>
        </w:tc>
        <w:tc>
          <w:tcPr>
            <w:tcW w:w="2959" w:type="dxa"/>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hint="default" w:ascii="Times New Roman" w:hAnsi="Times New Roman" w:cs="Times New Roman"/>
                <w:color w:val="000000"/>
                <w:sz w:val="24"/>
                <w:szCs w:val="22"/>
              </w:rPr>
            </w:pPr>
            <w:r>
              <w:rPr>
                <w:rFonts w:hint="default" w:ascii="Times New Roman" w:hAnsi="Times New Roman" w:cs="Times New Roman"/>
                <w:color w:val="000000"/>
                <w:sz w:val="24"/>
                <w:szCs w:val="22"/>
              </w:rPr>
              <w:t>13427070772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23" w:hRule="atLeast"/>
          <w:jc w:val="center"/>
        </w:trPr>
        <w:tc>
          <w:tcPr>
            <w:tcW w:w="853" w:type="dxa"/>
            <w:vMerge w:val="continue"/>
            <w:tcBorders>
              <w:left w:val="single" w:color="auto" w:sz="4" w:space="0"/>
              <w:right w:val="single" w:color="auto" w:sz="4" w:space="0"/>
            </w:tcBorders>
            <w:noWrap w:val="0"/>
            <w:vAlign w:val="center"/>
          </w:tcPr>
          <w:p>
            <w:pPr>
              <w:spacing w:line="240" w:lineRule="auto"/>
              <w:jc w:val="center"/>
              <w:rPr>
                <w:rFonts w:hint="default" w:ascii="Times New Roman" w:hAnsi="Times New Roman" w:cs="Times New Roman"/>
                <w:b/>
                <w:bCs/>
                <w:color w:val="000000"/>
                <w:sz w:val="24"/>
                <w:szCs w:val="22"/>
              </w:rPr>
            </w:pPr>
          </w:p>
        </w:tc>
        <w:tc>
          <w:tcPr>
            <w:tcW w:w="1214" w:type="dxa"/>
            <w:vMerge w:val="continue"/>
            <w:tcBorders>
              <w:left w:val="single" w:color="auto" w:sz="4" w:space="0"/>
              <w:right w:val="single" w:color="auto" w:sz="4" w:space="0"/>
            </w:tcBorders>
            <w:noWrap w:val="0"/>
            <w:vAlign w:val="center"/>
          </w:tcPr>
          <w:p>
            <w:pPr>
              <w:spacing w:line="240" w:lineRule="auto"/>
              <w:jc w:val="center"/>
              <w:rPr>
                <w:rFonts w:hint="default" w:ascii="Times New Roman" w:hAnsi="Times New Roman" w:cs="Times New Roman"/>
                <w:b/>
                <w:bCs/>
                <w:color w:val="000000"/>
                <w:sz w:val="24"/>
                <w:szCs w:val="22"/>
              </w:rPr>
            </w:pPr>
          </w:p>
        </w:tc>
        <w:tc>
          <w:tcPr>
            <w:tcW w:w="1593" w:type="dxa"/>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hint="default" w:ascii="Times New Roman" w:hAnsi="Times New Roman" w:cs="Times New Roman"/>
                <w:color w:val="000000"/>
                <w:sz w:val="24"/>
                <w:szCs w:val="22"/>
              </w:rPr>
            </w:pPr>
            <w:r>
              <w:rPr>
                <w:rFonts w:hint="default" w:ascii="Times New Roman" w:hAnsi="Times New Roman" w:cs="Times New Roman"/>
                <w:color w:val="000000"/>
                <w:sz w:val="24"/>
                <w:szCs w:val="22"/>
              </w:rPr>
              <w:t>易聪</w:t>
            </w:r>
          </w:p>
        </w:tc>
        <w:tc>
          <w:tcPr>
            <w:tcW w:w="1656" w:type="dxa"/>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hint="default" w:ascii="Times New Roman" w:hAnsi="Times New Roman" w:cs="Times New Roman"/>
                <w:color w:val="000000"/>
                <w:sz w:val="24"/>
                <w:szCs w:val="22"/>
              </w:rPr>
            </w:pPr>
            <w:r>
              <w:rPr>
                <w:rFonts w:hint="default" w:ascii="Times New Roman" w:hAnsi="Times New Roman" w:cs="Times New Roman"/>
                <w:color w:val="000000"/>
                <w:sz w:val="24"/>
                <w:szCs w:val="22"/>
              </w:rPr>
              <w:t>组员</w:t>
            </w:r>
          </w:p>
        </w:tc>
        <w:tc>
          <w:tcPr>
            <w:tcW w:w="2959" w:type="dxa"/>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hint="default" w:ascii="Times New Roman" w:hAnsi="Times New Roman" w:cs="Times New Roman"/>
                <w:color w:val="000000"/>
                <w:sz w:val="24"/>
                <w:szCs w:val="22"/>
              </w:rPr>
            </w:pPr>
            <w:r>
              <w:rPr>
                <w:rFonts w:hint="default" w:ascii="Times New Roman" w:hAnsi="Times New Roman" w:cs="Times New Roman"/>
                <w:color w:val="000000"/>
                <w:sz w:val="24"/>
                <w:szCs w:val="22"/>
              </w:rPr>
              <w:t>13435733640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23" w:hRule="atLeast"/>
          <w:jc w:val="center"/>
        </w:trPr>
        <w:tc>
          <w:tcPr>
            <w:tcW w:w="853" w:type="dxa"/>
            <w:vMerge w:val="continue"/>
            <w:tcBorders>
              <w:left w:val="single" w:color="auto" w:sz="4" w:space="0"/>
              <w:right w:val="single" w:color="auto" w:sz="4" w:space="0"/>
            </w:tcBorders>
            <w:noWrap w:val="0"/>
            <w:vAlign w:val="center"/>
          </w:tcPr>
          <w:p>
            <w:pPr>
              <w:spacing w:line="240" w:lineRule="auto"/>
              <w:jc w:val="center"/>
              <w:rPr>
                <w:rFonts w:hint="default" w:ascii="Times New Roman" w:hAnsi="Times New Roman" w:cs="Times New Roman"/>
                <w:b/>
                <w:bCs/>
                <w:color w:val="000000"/>
                <w:sz w:val="24"/>
                <w:szCs w:val="22"/>
              </w:rPr>
            </w:pPr>
          </w:p>
        </w:tc>
        <w:tc>
          <w:tcPr>
            <w:tcW w:w="1214" w:type="dxa"/>
            <w:vMerge w:val="restart"/>
            <w:tcBorders>
              <w:left w:val="single" w:color="auto" w:sz="4" w:space="0"/>
              <w:right w:val="single" w:color="auto" w:sz="4" w:space="0"/>
            </w:tcBorders>
            <w:noWrap w:val="0"/>
            <w:vAlign w:val="center"/>
          </w:tcPr>
          <w:p>
            <w:pPr>
              <w:spacing w:line="240" w:lineRule="auto"/>
              <w:jc w:val="center"/>
              <w:rPr>
                <w:rFonts w:hint="default" w:ascii="Times New Roman" w:hAnsi="Times New Roman" w:cs="Times New Roman"/>
                <w:b/>
                <w:bCs/>
                <w:color w:val="000000"/>
                <w:sz w:val="24"/>
                <w:szCs w:val="22"/>
              </w:rPr>
            </w:pPr>
            <w:r>
              <w:rPr>
                <w:rFonts w:hint="default" w:ascii="Times New Roman" w:hAnsi="Times New Roman" w:cs="Times New Roman"/>
                <w:b/>
                <w:bCs/>
                <w:color w:val="000000"/>
                <w:sz w:val="24"/>
                <w:szCs w:val="22"/>
              </w:rPr>
              <w:t>后勤保障小组</w:t>
            </w:r>
          </w:p>
        </w:tc>
        <w:tc>
          <w:tcPr>
            <w:tcW w:w="1593" w:type="dxa"/>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hint="default" w:ascii="Times New Roman" w:hAnsi="Times New Roman" w:cs="Times New Roman"/>
                <w:color w:val="000000"/>
                <w:sz w:val="24"/>
                <w:szCs w:val="22"/>
              </w:rPr>
            </w:pPr>
            <w:r>
              <w:rPr>
                <w:rFonts w:hint="default" w:ascii="Times New Roman" w:hAnsi="Times New Roman" w:cs="Times New Roman"/>
                <w:color w:val="000000"/>
                <w:sz w:val="24"/>
                <w:szCs w:val="22"/>
              </w:rPr>
              <w:t>林志军</w:t>
            </w:r>
          </w:p>
        </w:tc>
        <w:tc>
          <w:tcPr>
            <w:tcW w:w="1656" w:type="dxa"/>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hint="default" w:ascii="Times New Roman" w:hAnsi="Times New Roman" w:cs="Times New Roman"/>
                <w:color w:val="000000"/>
                <w:sz w:val="24"/>
                <w:szCs w:val="22"/>
              </w:rPr>
            </w:pPr>
            <w:r>
              <w:rPr>
                <w:rFonts w:hint="default" w:ascii="Times New Roman" w:hAnsi="Times New Roman" w:cs="Times New Roman"/>
                <w:color w:val="000000"/>
                <w:sz w:val="24"/>
                <w:szCs w:val="22"/>
              </w:rPr>
              <w:t>组长</w:t>
            </w:r>
          </w:p>
        </w:tc>
        <w:tc>
          <w:tcPr>
            <w:tcW w:w="2959" w:type="dxa"/>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hint="default" w:ascii="Times New Roman" w:hAnsi="Times New Roman" w:cs="Times New Roman"/>
                <w:color w:val="000000"/>
                <w:sz w:val="24"/>
                <w:szCs w:val="22"/>
              </w:rPr>
            </w:pPr>
            <w:r>
              <w:rPr>
                <w:rFonts w:hint="default" w:ascii="Times New Roman" w:hAnsi="Times New Roman" w:cs="Times New Roman"/>
                <w:color w:val="000000"/>
                <w:sz w:val="24"/>
                <w:szCs w:val="22"/>
              </w:rPr>
              <w:t>13005509678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23" w:hRule="atLeast"/>
          <w:jc w:val="center"/>
        </w:trPr>
        <w:tc>
          <w:tcPr>
            <w:tcW w:w="853" w:type="dxa"/>
            <w:vMerge w:val="continue"/>
            <w:tcBorders>
              <w:left w:val="single" w:color="auto" w:sz="4" w:space="0"/>
              <w:right w:val="single" w:color="auto" w:sz="4" w:space="0"/>
            </w:tcBorders>
            <w:noWrap w:val="0"/>
            <w:vAlign w:val="center"/>
          </w:tcPr>
          <w:p>
            <w:pPr>
              <w:spacing w:line="240" w:lineRule="auto"/>
              <w:jc w:val="center"/>
              <w:rPr>
                <w:rFonts w:hint="default" w:ascii="Times New Roman" w:hAnsi="Times New Roman" w:cs="Times New Roman"/>
                <w:b/>
                <w:bCs/>
                <w:color w:val="000000"/>
                <w:sz w:val="24"/>
                <w:szCs w:val="22"/>
              </w:rPr>
            </w:pPr>
          </w:p>
        </w:tc>
        <w:tc>
          <w:tcPr>
            <w:tcW w:w="1214" w:type="dxa"/>
            <w:vMerge w:val="continue"/>
            <w:tcBorders>
              <w:left w:val="single" w:color="auto" w:sz="4" w:space="0"/>
              <w:right w:val="single" w:color="auto" w:sz="4" w:space="0"/>
            </w:tcBorders>
            <w:noWrap w:val="0"/>
            <w:vAlign w:val="center"/>
          </w:tcPr>
          <w:p>
            <w:pPr>
              <w:spacing w:line="240" w:lineRule="auto"/>
              <w:jc w:val="center"/>
              <w:rPr>
                <w:rFonts w:hint="default" w:ascii="Times New Roman" w:hAnsi="Times New Roman" w:cs="Times New Roman"/>
                <w:b/>
                <w:bCs/>
                <w:color w:val="000000"/>
                <w:sz w:val="24"/>
                <w:szCs w:val="22"/>
              </w:rPr>
            </w:pPr>
          </w:p>
        </w:tc>
        <w:tc>
          <w:tcPr>
            <w:tcW w:w="1593" w:type="dxa"/>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hint="default" w:ascii="Times New Roman" w:hAnsi="Times New Roman" w:cs="Times New Roman"/>
                <w:color w:val="000000"/>
                <w:sz w:val="24"/>
                <w:szCs w:val="22"/>
              </w:rPr>
            </w:pPr>
            <w:r>
              <w:rPr>
                <w:rFonts w:hint="default" w:ascii="Times New Roman" w:hAnsi="Times New Roman" w:cs="Times New Roman"/>
                <w:color w:val="000000"/>
                <w:sz w:val="24"/>
                <w:szCs w:val="22"/>
              </w:rPr>
              <w:t>黄淼荣</w:t>
            </w:r>
          </w:p>
        </w:tc>
        <w:tc>
          <w:tcPr>
            <w:tcW w:w="1656" w:type="dxa"/>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hint="default" w:ascii="Times New Roman" w:hAnsi="Times New Roman" w:cs="Times New Roman"/>
                <w:color w:val="000000"/>
                <w:sz w:val="24"/>
                <w:szCs w:val="22"/>
              </w:rPr>
            </w:pPr>
            <w:r>
              <w:rPr>
                <w:rFonts w:hint="default" w:ascii="Times New Roman" w:hAnsi="Times New Roman" w:cs="Times New Roman"/>
                <w:color w:val="000000"/>
                <w:sz w:val="24"/>
                <w:szCs w:val="22"/>
              </w:rPr>
              <w:t>组员</w:t>
            </w:r>
          </w:p>
        </w:tc>
        <w:tc>
          <w:tcPr>
            <w:tcW w:w="2959" w:type="dxa"/>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hint="default" w:ascii="Times New Roman" w:hAnsi="Times New Roman" w:cs="Times New Roman"/>
                <w:color w:val="000000"/>
                <w:sz w:val="24"/>
                <w:szCs w:val="22"/>
              </w:rPr>
            </w:pPr>
            <w:r>
              <w:rPr>
                <w:rFonts w:hint="default" w:ascii="Times New Roman" w:hAnsi="Times New Roman" w:cs="Times New Roman"/>
                <w:color w:val="000000"/>
                <w:sz w:val="24"/>
                <w:szCs w:val="22"/>
              </w:rPr>
              <w:t>13702512600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23" w:hRule="atLeast"/>
          <w:jc w:val="center"/>
        </w:trPr>
        <w:tc>
          <w:tcPr>
            <w:tcW w:w="853" w:type="dxa"/>
            <w:vMerge w:val="continue"/>
            <w:tcBorders>
              <w:left w:val="single" w:color="auto" w:sz="4" w:space="0"/>
              <w:right w:val="single" w:color="auto" w:sz="4" w:space="0"/>
            </w:tcBorders>
            <w:noWrap w:val="0"/>
            <w:vAlign w:val="center"/>
          </w:tcPr>
          <w:p>
            <w:pPr>
              <w:spacing w:line="240" w:lineRule="auto"/>
              <w:jc w:val="center"/>
              <w:rPr>
                <w:rFonts w:hint="default" w:ascii="Times New Roman" w:hAnsi="Times New Roman" w:cs="Times New Roman"/>
                <w:b/>
                <w:bCs/>
                <w:color w:val="000000"/>
                <w:sz w:val="24"/>
                <w:szCs w:val="22"/>
              </w:rPr>
            </w:pPr>
          </w:p>
        </w:tc>
        <w:tc>
          <w:tcPr>
            <w:tcW w:w="1214" w:type="dxa"/>
            <w:vMerge w:val="continue"/>
            <w:tcBorders>
              <w:left w:val="single" w:color="auto" w:sz="4" w:space="0"/>
              <w:right w:val="single" w:color="auto" w:sz="4" w:space="0"/>
            </w:tcBorders>
            <w:noWrap w:val="0"/>
            <w:vAlign w:val="center"/>
          </w:tcPr>
          <w:p>
            <w:pPr>
              <w:spacing w:line="240" w:lineRule="auto"/>
              <w:jc w:val="center"/>
              <w:rPr>
                <w:rFonts w:hint="default" w:ascii="Times New Roman" w:hAnsi="Times New Roman" w:cs="Times New Roman"/>
                <w:b/>
                <w:bCs/>
                <w:color w:val="000000"/>
                <w:sz w:val="24"/>
                <w:szCs w:val="22"/>
              </w:rPr>
            </w:pPr>
          </w:p>
        </w:tc>
        <w:tc>
          <w:tcPr>
            <w:tcW w:w="1593" w:type="dxa"/>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hint="default" w:ascii="Times New Roman" w:hAnsi="Times New Roman" w:cs="Times New Roman"/>
                <w:color w:val="000000"/>
                <w:sz w:val="24"/>
                <w:szCs w:val="22"/>
              </w:rPr>
            </w:pPr>
            <w:r>
              <w:rPr>
                <w:rFonts w:hint="default" w:ascii="Times New Roman" w:hAnsi="Times New Roman" w:cs="Times New Roman"/>
                <w:color w:val="000000"/>
                <w:sz w:val="24"/>
                <w:szCs w:val="22"/>
              </w:rPr>
              <w:t>刘军华</w:t>
            </w:r>
          </w:p>
        </w:tc>
        <w:tc>
          <w:tcPr>
            <w:tcW w:w="1656" w:type="dxa"/>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hint="default" w:ascii="Times New Roman" w:hAnsi="Times New Roman" w:cs="Times New Roman"/>
                <w:color w:val="000000"/>
                <w:sz w:val="24"/>
                <w:szCs w:val="22"/>
              </w:rPr>
            </w:pPr>
            <w:r>
              <w:rPr>
                <w:rFonts w:hint="default" w:ascii="Times New Roman" w:hAnsi="Times New Roman" w:cs="Times New Roman"/>
                <w:color w:val="000000"/>
                <w:sz w:val="24"/>
                <w:szCs w:val="22"/>
              </w:rPr>
              <w:t>组员</w:t>
            </w:r>
          </w:p>
        </w:tc>
        <w:tc>
          <w:tcPr>
            <w:tcW w:w="2959" w:type="dxa"/>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hint="default" w:ascii="Times New Roman" w:hAnsi="Times New Roman" w:cs="Times New Roman"/>
                <w:color w:val="000000"/>
                <w:sz w:val="24"/>
                <w:szCs w:val="22"/>
              </w:rPr>
            </w:pPr>
            <w:r>
              <w:rPr>
                <w:rFonts w:hint="default" w:ascii="Times New Roman" w:hAnsi="Times New Roman" w:cs="Times New Roman"/>
                <w:color w:val="000000"/>
                <w:sz w:val="24"/>
                <w:szCs w:val="22"/>
              </w:rPr>
              <w:t>13928131031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23" w:hRule="atLeast"/>
          <w:jc w:val="center"/>
        </w:trPr>
        <w:tc>
          <w:tcPr>
            <w:tcW w:w="2067" w:type="dxa"/>
            <w:gridSpan w:val="2"/>
            <w:vMerge w:val="restart"/>
            <w:tcBorders>
              <w:top w:val="single" w:color="auto" w:sz="4" w:space="0"/>
              <w:left w:val="single" w:color="auto" w:sz="4" w:space="0"/>
              <w:right w:val="single" w:color="auto" w:sz="4" w:space="0"/>
            </w:tcBorders>
            <w:noWrap w:val="0"/>
            <w:vAlign w:val="center"/>
          </w:tcPr>
          <w:p>
            <w:pPr>
              <w:spacing w:line="240" w:lineRule="auto"/>
              <w:jc w:val="center"/>
              <w:rPr>
                <w:rFonts w:hint="default" w:ascii="Times New Roman" w:hAnsi="Times New Roman" w:cs="Times New Roman"/>
                <w:b/>
                <w:bCs/>
                <w:color w:val="000000"/>
                <w:sz w:val="24"/>
                <w:szCs w:val="22"/>
              </w:rPr>
            </w:pPr>
            <w:r>
              <w:rPr>
                <w:rFonts w:hint="default" w:ascii="Times New Roman" w:hAnsi="Times New Roman" w:cs="Times New Roman"/>
                <w:b/>
                <w:bCs/>
                <w:color w:val="000000"/>
                <w:sz w:val="24"/>
                <w:szCs w:val="22"/>
              </w:rPr>
              <w:t>应急监测组</w:t>
            </w:r>
          </w:p>
        </w:tc>
        <w:tc>
          <w:tcPr>
            <w:tcW w:w="1593" w:type="dxa"/>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hint="default" w:ascii="Times New Roman" w:hAnsi="Times New Roman" w:cs="Times New Roman"/>
                <w:color w:val="000000"/>
                <w:sz w:val="24"/>
                <w:szCs w:val="22"/>
              </w:rPr>
            </w:pPr>
            <w:r>
              <w:rPr>
                <w:rFonts w:hint="default" w:ascii="Times New Roman" w:hAnsi="Times New Roman" w:cs="Times New Roman"/>
                <w:color w:val="000000"/>
                <w:sz w:val="24"/>
                <w:szCs w:val="22"/>
              </w:rPr>
              <w:t>魏超</w:t>
            </w:r>
          </w:p>
        </w:tc>
        <w:tc>
          <w:tcPr>
            <w:tcW w:w="1656" w:type="dxa"/>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hint="default" w:ascii="Times New Roman" w:hAnsi="Times New Roman" w:cs="Times New Roman"/>
                <w:color w:val="000000"/>
                <w:sz w:val="24"/>
                <w:szCs w:val="22"/>
              </w:rPr>
            </w:pPr>
            <w:r>
              <w:rPr>
                <w:rFonts w:hint="default" w:ascii="Times New Roman" w:hAnsi="Times New Roman" w:cs="Times New Roman"/>
                <w:color w:val="000000"/>
                <w:sz w:val="24"/>
                <w:szCs w:val="22"/>
              </w:rPr>
              <w:t>组长</w:t>
            </w:r>
          </w:p>
        </w:tc>
        <w:tc>
          <w:tcPr>
            <w:tcW w:w="2959" w:type="dxa"/>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hint="default" w:ascii="Times New Roman" w:hAnsi="Times New Roman" w:cs="Times New Roman"/>
                <w:color w:val="000000"/>
                <w:sz w:val="24"/>
                <w:szCs w:val="22"/>
              </w:rPr>
            </w:pPr>
            <w:r>
              <w:rPr>
                <w:rFonts w:hint="default" w:ascii="Times New Roman" w:hAnsi="Times New Roman" w:cs="Times New Roman"/>
                <w:color w:val="000000"/>
                <w:sz w:val="24"/>
                <w:szCs w:val="22"/>
              </w:rPr>
              <w:t>13425494550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23" w:hRule="atLeast"/>
          <w:jc w:val="center"/>
        </w:trPr>
        <w:tc>
          <w:tcPr>
            <w:tcW w:w="2067" w:type="dxa"/>
            <w:gridSpan w:val="2"/>
            <w:vMerge w:val="continue"/>
            <w:tcBorders>
              <w:left w:val="single" w:color="auto" w:sz="4" w:space="0"/>
              <w:right w:val="single" w:color="auto" w:sz="4" w:space="0"/>
            </w:tcBorders>
            <w:noWrap w:val="0"/>
            <w:vAlign w:val="center"/>
          </w:tcPr>
          <w:p>
            <w:pPr>
              <w:spacing w:line="240" w:lineRule="auto"/>
              <w:jc w:val="center"/>
              <w:rPr>
                <w:rFonts w:hint="default" w:ascii="Times New Roman" w:hAnsi="Times New Roman" w:cs="Times New Roman"/>
                <w:b/>
                <w:bCs/>
                <w:color w:val="000000"/>
                <w:sz w:val="24"/>
                <w:szCs w:val="22"/>
              </w:rPr>
            </w:pPr>
          </w:p>
        </w:tc>
        <w:tc>
          <w:tcPr>
            <w:tcW w:w="1593" w:type="dxa"/>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hint="default" w:ascii="Times New Roman" w:hAnsi="Times New Roman" w:cs="Times New Roman"/>
                <w:color w:val="000000"/>
                <w:sz w:val="24"/>
                <w:szCs w:val="22"/>
              </w:rPr>
            </w:pPr>
            <w:r>
              <w:rPr>
                <w:rFonts w:hint="default" w:ascii="Times New Roman" w:hAnsi="Times New Roman" w:cs="Times New Roman"/>
                <w:color w:val="000000"/>
                <w:sz w:val="24"/>
                <w:szCs w:val="22"/>
              </w:rPr>
              <w:t>杜家雯</w:t>
            </w:r>
          </w:p>
        </w:tc>
        <w:tc>
          <w:tcPr>
            <w:tcW w:w="1656" w:type="dxa"/>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hint="default" w:ascii="Times New Roman" w:hAnsi="Times New Roman" w:cs="Times New Roman"/>
                <w:color w:val="000000"/>
                <w:sz w:val="24"/>
                <w:szCs w:val="22"/>
              </w:rPr>
            </w:pPr>
            <w:r>
              <w:rPr>
                <w:rFonts w:hint="default" w:ascii="Times New Roman" w:hAnsi="Times New Roman" w:cs="Times New Roman"/>
                <w:color w:val="000000"/>
                <w:sz w:val="24"/>
                <w:szCs w:val="22"/>
              </w:rPr>
              <w:t>组员</w:t>
            </w:r>
          </w:p>
        </w:tc>
        <w:tc>
          <w:tcPr>
            <w:tcW w:w="2959" w:type="dxa"/>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hint="default" w:ascii="Times New Roman" w:hAnsi="Times New Roman" w:cs="Times New Roman"/>
                <w:color w:val="000000"/>
                <w:sz w:val="24"/>
                <w:szCs w:val="22"/>
              </w:rPr>
            </w:pPr>
            <w:r>
              <w:rPr>
                <w:rFonts w:hint="default" w:ascii="Times New Roman" w:hAnsi="Times New Roman" w:cs="Times New Roman"/>
                <w:color w:val="000000"/>
                <w:sz w:val="24"/>
                <w:szCs w:val="22"/>
              </w:rPr>
              <w:t>18607608607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23" w:hRule="atLeast"/>
          <w:jc w:val="center"/>
        </w:trPr>
        <w:tc>
          <w:tcPr>
            <w:tcW w:w="2067" w:type="dxa"/>
            <w:gridSpan w:val="2"/>
            <w:vMerge w:val="continue"/>
            <w:tcBorders>
              <w:left w:val="single" w:color="auto" w:sz="4" w:space="0"/>
              <w:right w:val="single" w:color="auto" w:sz="4" w:space="0"/>
            </w:tcBorders>
            <w:noWrap w:val="0"/>
            <w:vAlign w:val="center"/>
          </w:tcPr>
          <w:p>
            <w:pPr>
              <w:spacing w:line="240" w:lineRule="auto"/>
              <w:jc w:val="center"/>
              <w:rPr>
                <w:rFonts w:hint="default" w:ascii="Times New Roman" w:hAnsi="Times New Roman" w:cs="Times New Roman"/>
                <w:b/>
                <w:bCs/>
                <w:color w:val="000000"/>
                <w:sz w:val="24"/>
                <w:szCs w:val="22"/>
              </w:rPr>
            </w:pPr>
          </w:p>
        </w:tc>
        <w:tc>
          <w:tcPr>
            <w:tcW w:w="1593" w:type="dxa"/>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hint="default" w:ascii="Times New Roman" w:hAnsi="Times New Roman" w:cs="Times New Roman"/>
                <w:color w:val="000000"/>
                <w:sz w:val="24"/>
                <w:szCs w:val="22"/>
              </w:rPr>
            </w:pPr>
            <w:r>
              <w:rPr>
                <w:rFonts w:hint="default" w:ascii="Times New Roman" w:hAnsi="Times New Roman" w:cs="Times New Roman"/>
                <w:color w:val="000000"/>
                <w:sz w:val="24"/>
                <w:szCs w:val="22"/>
              </w:rPr>
              <w:t>梁俊豪</w:t>
            </w:r>
          </w:p>
        </w:tc>
        <w:tc>
          <w:tcPr>
            <w:tcW w:w="1656" w:type="dxa"/>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hint="default" w:ascii="Times New Roman" w:hAnsi="Times New Roman" w:cs="Times New Roman"/>
                <w:color w:val="000000"/>
                <w:sz w:val="24"/>
                <w:szCs w:val="22"/>
              </w:rPr>
            </w:pPr>
            <w:r>
              <w:rPr>
                <w:rFonts w:hint="default" w:ascii="Times New Roman" w:hAnsi="Times New Roman" w:cs="Times New Roman"/>
                <w:color w:val="000000"/>
                <w:sz w:val="24"/>
                <w:szCs w:val="22"/>
              </w:rPr>
              <w:t>组员</w:t>
            </w:r>
          </w:p>
        </w:tc>
        <w:tc>
          <w:tcPr>
            <w:tcW w:w="2959" w:type="dxa"/>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hint="default" w:ascii="Times New Roman" w:hAnsi="Times New Roman" w:cs="Times New Roman"/>
                <w:color w:val="000000"/>
                <w:sz w:val="24"/>
                <w:szCs w:val="22"/>
              </w:rPr>
            </w:pPr>
            <w:r>
              <w:rPr>
                <w:rFonts w:hint="default" w:ascii="Times New Roman" w:hAnsi="Times New Roman" w:cs="Times New Roman"/>
                <w:color w:val="000000"/>
                <w:sz w:val="24"/>
                <w:szCs w:val="22"/>
              </w:rPr>
              <w:t>13232534918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23" w:hRule="atLeast"/>
          <w:jc w:val="center"/>
        </w:trPr>
        <w:tc>
          <w:tcPr>
            <w:tcW w:w="2067" w:type="dxa"/>
            <w:gridSpan w:val="2"/>
            <w:vMerge w:val="continue"/>
            <w:tcBorders>
              <w:left w:val="single" w:color="auto" w:sz="4" w:space="0"/>
              <w:right w:val="single" w:color="auto" w:sz="4" w:space="0"/>
            </w:tcBorders>
            <w:noWrap w:val="0"/>
            <w:vAlign w:val="center"/>
          </w:tcPr>
          <w:p>
            <w:pPr>
              <w:spacing w:line="240" w:lineRule="auto"/>
              <w:jc w:val="center"/>
              <w:rPr>
                <w:rFonts w:hint="default" w:ascii="Times New Roman" w:hAnsi="Times New Roman" w:cs="Times New Roman"/>
                <w:b/>
                <w:bCs/>
                <w:color w:val="000000"/>
                <w:sz w:val="24"/>
                <w:szCs w:val="22"/>
              </w:rPr>
            </w:pPr>
          </w:p>
        </w:tc>
        <w:tc>
          <w:tcPr>
            <w:tcW w:w="1593" w:type="dxa"/>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hint="default" w:ascii="Times New Roman" w:hAnsi="Times New Roman" w:cs="Times New Roman"/>
                <w:color w:val="000000"/>
                <w:sz w:val="24"/>
                <w:szCs w:val="22"/>
              </w:rPr>
            </w:pPr>
            <w:r>
              <w:rPr>
                <w:rFonts w:hint="default" w:ascii="Times New Roman" w:hAnsi="Times New Roman" w:cs="Times New Roman"/>
                <w:color w:val="000000"/>
                <w:sz w:val="24"/>
                <w:szCs w:val="22"/>
              </w:rPr>
              <w:t>胡立颖</w:t>
            </w:r>
          </w:p>
        </w:tc>
        <w:tc>
          <w:tcPr>
            <w:tcW w:w="1656" w:type="dxa"/>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hint="default" w:ascii="Times New Roman" w:hAnsi="Times New Roman" w:cs="Times New Roman"/>
                <w:color w:val="000000"/>
                <w:sz w:val="24"/>
                <w:szCs w:val="22"/>
              </w:rPr>
            </w:pPr>
            <w:r>
              <w:rPr>
                <w:rFonts w:hint="default" w:ascii="Times New Roman" w:hAnsi="Times New Roman" w:cs="Times New Roman"/>
                <w:color w:val="000000"/>
                <w:sz w:val="24"/>
                <w:szCs w:val="22"/>
              </w:rPr>
              <w:t>组员</w:t>
            </w:r>
          </w:p>
        </w:tc>
        <w:tc>
          <w:tcPr>
            <w:tcW w:w="2959" w:type="dxa"/>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hint="default" w:ascii="Times New Roman" w:hAnsi="Times New Roman" w:cs="Times New Roman"/>
                <w:color w:val="000000"/>
                <w:sz w:val="24"/>
                <w:szCs w:val="22"/>
              </w:rPr>
            </w:pPr>
            <w:r>
              <w:rPr>
                <w:rFonts w:hint="default" w:ascii="Times New Roman" w:hAnsi="Times New Roman" w:cs="Times New Roman"/>
                <w:color w:val="000000"/>
                <w:sz w:val="24"/>
                <w:szCs w:val="22"/>
              </w:rPr>
              <w:t>13192265826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23" w:hRule="atLeast"/>
          <w:jc w:val="center"/>
        </w:trPr>
        <w:tc>
          <w:tcPr>
            <w:tcW w:w="2067" w:type="dxa"/>
            <w:gridSpan w:val="2"/>
            <w:vMerge w:val="restart"/>
            <w:tcBorders>
              <w:top w:val="single" w:color="auto" w:sz="4" w:space="0"/>
              <w:left w:val="single" w:color="auto" w:sz="4" w:space="0"/>
              <w:right w:val="single" w:color="auto" w:sz="4" w:space="0"/>
            </w:tcBorders>
            <w:noWrap w:val="0"/>
            <w:vAlign w:val="center"/>
          </w:tcPr>
          <w:p>
            <w:pPr>
              <w:spacing w:line="240" w:lineRule="auto"/>
              <w:jc w:val="center"/>
              <w:rPr>
                <w:rFonts w:hint="default" w:ascii="Times New Roman" w:hAnsi="Times New Roman" w:cs="Times New Roman"/>
                <w:b/>
                <w:bCs/>
                <w:color w:val="000000"/>
                <w:sz w:val="24"/>
                <w:szCs w:val="22"/>
              </w:rPr>
            </w:pPr>
            <w:r>
              <w:rPr>
                <w:rFonts w:hint="default" w:ascii="Times New Roman" w:hAnsi="Times New Roman" w:cs="Times New Roman"/>
                <w:b/>
                <w:bCs/>
                <w:color w:val="000000"/>
                <w:sz w:val="24"/>
                <w:szCs w:val="22"/>
              </w:rPr>
              <w:t>信息传输组</w:t>
            </w:r>
          </w:p>
        </w:tc>
        <w:tc>
          <w:tcPr>
            <w:tcW w:w="1593" w:type="dxa"/>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hint="default" w:ascii="Times New Roman" w:hAnsi="Times New Roman" w:cs="Times New Roman"/>
                <w:color w:val="000000"/>
                <w:sz w:val="24"/>
                <w:szCs w:val="22"/>
              </w:rPr>
            </w:pPr>
            <w:r>
              <w:rPr>
                <w:rFonts w:hint="default" w:ascii="Times New Roman" w:hAnsi="Times New Roman" w:cs="Times New Roman"/>
                <w:color w:val="000000"/>
                <w:sz w:val="24"/>
                <w:szCs w:val="22"/>
              </w:rPr>
              <w:t>吴伟业</w:t>
            </w:r>
          </w:p>
        </w:tc>
        <w:tc>
          <w:tcPr>
            <w:tcW w:w="1656" w:type="dxa"/>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hint="default" w:ascii="Times New Roman" w:hAnsi="Times New Roman" w:cs="Times New Roman"/>
                <w:color w:val="000000"/>
                <w:sz w:val="24"/>
                <w:szCs w:val="22"/>
              </w:rPr>
            </w:pPr>
            <w:r>
              <w:rPr>
                <w:rFonts w:hint="default" w:ascii="Times New Roman" w:hAnsi="Times New Roman" w:cs="Times New Roman"/>
                <w:color w:val="000000"/>
                <w:sz w:val="24"/>
                <w:szCs w:val="22"/>
              </w:rPr>
              <w:t>组长</w:t>
            </w:r>
          </w:p>
        </w:tc>
        <w:tc>
          <w:tcPr>
            <w:tcW w:w="2959" w:type="dxa"/>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hint="default" w:ascii="Times New Roman" w:hAnsi="Times New Roman" w:cs="Times New Roman"/>
                <w:color w:val="000000"/>
                <w:sz w:val="24"/>
                <w:szCs w:val="22"/>
              </w:rPr>
            </w:pPr>
            <w:r>
              <w:rPr>
                <w:rFonts w:hint="default" w:ascii="Times New Roman" w:hAnsi="Times New Roman" w:cs="Times New Roman"/>
                <w:color w:val="000000"/>
                <w:sz w:val="24"/>
                <w:szCs w:val="22"/>
              </w:rPr>
              <w:t>13702536238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23" w:hRule="atLeast"/>
          <w:jc w:val="center"/>
        </w:trPr>
        <w:tc>
          <w:tcPr>
            <w:tcW w:w="2067" w:type="dxa"/>
            <w:gridSpan w:val="2"/>
            <w:vMerge w:val="continue"/>
            <w:tcBorders>
              <w:left w:val="single" w:color="auto" w:sz="4" w:space="0"/>
              <w:right w:val="single" w:color="auto" w:sz="4" w:space="0"/>
            </w:tcBorders>
            <w:noWrap w:val="0"/>
            <w:vAlign w:val="center"/>
          </w:tcPr>
          <w:p>
            <w:pPr>
              <w:spacing w:line="240" w:lineRule="auto"/>
              <w:jc w:val="center"/>
              <w:rPr>
                <w:rFonts w:hint="default" w:ascii="Times New Roman" w:hAnsi="Times New Roman" w:cs="Times New Roman"/>
                <w:color w:val="000000"/>
                <w:sz w:val="24"/>
                <w:szCs w:val="22"/>
              </w:rPr>
            </w:pPr>
          </w:p>
        </w:tc>
        <w:tc>
          <w:tcPr>
            <w:tcW w:w="1593" w:type="dxa"/>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hint="default" w:ascii="Times New Roman" w:hAnsi="Times New Roman" w:cs="Times New Roman"/>
                <w:color w:val="000000"/>
                <w:sz w:val="24"/>
                <w:szCs w:val="22"/>
              </w:rPr>
            </w:pPr>
            <w:r>
              <w:rPr>
                <w:rFonts w:hint="default" w:ascii="Times New Roman" w:hAnsi="Times New Roman" w:cs="Times New Roman"/>
                <w:color w:val="000000"/>
                <w:sz w:val="24"/>
                <w:szCs w:val="22"/>
              </w:rPr>
              <w:t>蓝文渊</w:t>
            </w:r>
          </w:p>
        </w:tc>
        <w:tc>
          <w:tcPr>
            <w:tcW w:w="1656" w:type="dxa"/>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hint="default" w:ascii="Times New Roman" w:hAnsi="Times New Roman" w:cs="Times New Roman"/>
                <w:color w:val="000000"/>
                <w:sz w:val="24"/>
                <w:szCs w:val="22"/>
              </w:rPr>
            </w:pPr>
            <w:r>
              <w:rPr>
                <w:rFonts w:hint="default" w:ascii="Times New Roman" w:hAnsi="Times New Roman" w:cs="Times New Roman"/>
                <w:color w:val="000000"/>
                <w:sz w:val="24"/>
                <w:szCs w:val="22"/>
              </w:rPr>
              <w:t>组员</w:t>
            </w:r>
          </w:p>
        </w:tc>
        <w:tc>
          <w:tcPr>
            <w:tcW w:w="2959" w:type="dxa"/>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hint="default" w:ascii="Times New Roman" w:hAnsi="Times New Roman" w:cs="Times New Roman"/>
                <w:color w:val="000000"/>
                <w:sz w:val="24"/>
                <w:szCs w:val="22"/>
              </w:rPr>
            </w:pPr>
            <w:r>
              <w:rPr>
                <w:rFonts w:hint="default" w:ascii="Times New Roman" w:hAnsi="Times New Roman" w:cs="Times New Roman"/>
                <w:color w:val="000000"/>
                <w:sz w:val="24"/>
                <w:szCs w:val="22"/>
              </w:rPr>
              <w:t>18680171511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23" w:hRule="atLeast"/>
          <w:jc w:val="center"/>
        </w:trPr>
        <w:tc>
          <w:tcPr>
            <w:tcW w:w="2067" w:type="dxa"/>
            <w:gridSpan w:val="2"/>
            <w:vMerge w:val="continue"/>
            <w:tcBorders>
              <w:left w:val="single" w:color="auto" w:sz="4" w:space="0"/>
              <w:right w:val="single" w:color="auto" w:sz="4" w:space="0"/>
            </w:tcBorders>
            <w:noWrap w:val="0"/>
            <w:vAlign w:val="center"/>
          </w:tcPr>
          <w:p>
            <w:pPr>
              <w:spacing w:line="240" w:lineRule="auto"/>
              <w:jc w:val="center"/>
              <w:rPr>
                <w:rFonts w:hint="default" w:ascii="Times New Roman" w:hAnsi="Times New Roman" w:cs="Times New Roman"/>
                <w:color w:val="000000"/>
                <w:sz w:val="24"/>
                <w:szCs w:val="22"/>
              </w:rPr>
            </w:pPr>
          </w:p>
        </w:tc>
        <w:tc>
          <w:tcPr>
            <w:tcW w:w="1593" w:type="dxa"/>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hint="default" w:ascii="Times New Roman" w:hAnsi="Times New Roman" w:cs="Times New Roman"/>
                <w:color w:val="000000"/>
                <w:sz w:val="24"/>
                <w:szCs w:val="22"/>
              </w:rPr>
            </w:pPr>
            <w:r>
              <w:rPr>
                <w:rFonts w:hint="default" w:ascii="Times New Roman" w:hAnsi="Times New Roman" w:cs="Times New Roman"/>
                <w:color w:val="000000"/>
                <w:sz w:val="24"/>
                <w:szCs w:val="22"/>
              </w:rPr>
              <w:t>张俊</w:t>
            </w:r>
          </w:p>
        </w:tc>
        <w:tc>
          <w:tcPr>
            <w:tcW w:w="1656" w:type="dxa"/>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hint="default" w:ascii="Times New Roman" w:hAnsi="Times New Roman" w:cs="Times New Roman"/>
                <w:color w:val="000000"/>
                <w:sz w:val="24"/>
                <w:szCs w:val="22"/>
              </w:rPr>
            </w:pPr>
            <w:r>
              <w:rPr>
                <w:rFonts w:hint="default" w:ascii="Times New Roman" w:hAnsi="Times New Roman" w:cs="Times New Roman"/>
                <w:color w:val="000000"/>
                <w:sz w:val="24"/>
                <w:szCs w:val="22"/>
              </w:rPr>
              <w:t>组员</w:t>
            </w:r>
          </w:p>
        </w:tc>
        <w:tc>
          <w:tcPr>
            <w:tcW w:w="2959" w:type="dxa"/>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hint="default" w:ascii="Times New Roman" w:hAnsi="Times New Roman" w:cs="Times New Roman"/>
                <w:color w:val="000000"/>
                <w:sz w:val="24"/>
                <w:szCs w:val="22"/>
              </w:rPr>
            </w:pPr>
            <w:r>
              <w:rPr>
                <w:rFonts w:hint="default" w:ascii="Times New Roman" w:hAnsi="Times New Roman" w:cs="Times New Roman"/>
                <w:color w:val="000000"/>
                <w:sz w:val="24"/>
                <w:szCs w:val="22"/>
              </w:rPr>
              <w:t>18664420297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23" w:hRule="atLeast"/>
          <w:jc w:val="center"/>
        </w:trPr>
        <w:tc>
          <w:tcPr>
            <w:tcW w:w="3660" w:type="dxa"/>
            <w:gridSpan w:val="3"/>
            <w:tcBorders>
              <w:left w:val="single" w:color="auto" w:sz="4" w:space="0"/>
              <w:right w:val="single" w:color="auto" w:sz="4" w:space="0"/>
            </w:tcBorders>
            <w:noWrap w:val="0"/>
            <w:vAlign w:val="center"/>
          </w:tcPr>
          <w:p>
            <w:pPr>
              <w:spacing w:line="240" w:lineRule="auto"/>
              <w:jc w:val="center"/>
              <w:rPr>
                <w:rFonts w:hint="default" w:ascii="Times New Roman" w:hAnsi="Times New Roman" w:cs="Times New Roman"/>
                <w:color w:val="000000"/>
                <w:sz w:val="24"/>
                <w:szCs w:val="22"/>
              </w:rPr>
            </w:pPr>
            <w:r>
              <w:rPr>
                <w:rFonts w:hint="default" w:ascii="Times New Roman" w:hAnsi="Times New Roman" w:cs="Times New Roman"/>
                <w:b/>
                <w:bCs/>
                <w:color w:val="000000"/>
                <w:sz w:val="24"/>
                <w:szCs w:val="22"/>
              </w:rPr>
              <w:t>公司24小时值班电话</w:t>
            </w:r>
          </w:p>
        </w:tc>
        <w:tc>
          <w:tcPr>
            <w:tcW w:w="4615" w:type="dxa"/>
            <w:gridSpan w:val="2"/>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hint="default" w:ascii="Times New Roman" w:hAnsi="Times New Roman" w:cs="Times New Roman"/>
                <w:color w:val="000000"/>
                <w:sz w:val="24"/>
                <w:szCs w:val="22"/>
              </w:rPr>
            </w:pPr>
            <w:r>
              <w:rPr>
                <w:rFonts w:hint="default" w:ascii="Times New Roman" w:hAnsi="Times New Roman" w:cs="Times New Roman"/>
                <w:color w:val="000000"/>
                <w:sz w:val="24"/>
                <w:szCs w:val="22"/>
              </w:rPr>
              <w:t>0760-89926400</w:t>
            </w:r>
          </w:p>
        </w:tc>
      </w:tr>
    </w:tbl>
    <w:p>
      <w:pPr>
        <w:spacing w:line="460" w:lineRule="exact"/>
        <w:jc w:val="center"/>
        <w:rPr>
          <w:b/>
          <w:szCs w:val="28"/>
        </w:rPr>
      </w:pPr>
    </w:p>
    <w:p>
      <w:pPr>
        <w:spacing w:line="460" w:lineRule="exact"/>
        <w:jc w:val="center"/>
        <w:rPr>
          <w:b/>
          <w:szCs w:val="28"/>
        </w:rPr>
      </w:pPr>
      <w:r>
        <w:rPr>
          <w:b/>
          <w:szCs w:val="28"/>
        </w:rPr>
        <w:t>表6-3企业外部应急联络表</w:t>
      </w:r>
    </w:p>
    <w:tbl>
      <w:tblPr>
        <w:tblStyle w:val="42"/>
        <w:tblW w:w="7740"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608"/>
        <w:gridCol w:w="41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jc w:val="center"/>
        </w:trPr>
        <w:tc>
          <w:tcPr>
            <w:tcW w:w="3608" w:type="dxa"/>
            <w:vAlign w:val="center"/>
          </w:tcPr>
          <w:p>
            <w:pPr>
              <w:tabs>
                <w:tab w:val="left" w:pos="624"/>
              </w:tabs>
              <w:spacing w:line="240" w:lineRule="auto"/>
              <w:jc w:val="center"/>
              <w:rPr>
                <w:rFonts w:hAnsi="宋体"/>
                <w:sz w:val="24"/>
              </w:rPr>
            </w:pPr>
            <w:r>
              <w:rPr>
                <w:rFonts w:hAnsi="宋体"/>
                <w:sz w:val="24"/>
              </w:rPr>
              <w:t>单位名称</w:t>
            </w:r>
          </w:p>
        </w:tc>
        <w:tc>
          <w:tcPr>
            <w:tcW w:w="4132" w:type="dxa"/>
            <w:vAlign w:val="center"/>
          </w:tcPr>
          <w:p>
            <w:pPr>
              <w:tabs>
                <w:tab w:val="left" w:pos="624"/>
              </w:tabs>
              <w:spacing w:line="240" w:lineRule="auto"/>
              <w:jc w:val="center"/>
              <w:rPr>
                <w:rFonts w:hAnsi="宋体"/>
                <w:sz w:val="24"/>
              </w:rPr>
            </w:pPr>
            <w:r>
              <w:rPr>
                <w:rFonts w:hAnsi="宋体"/>
                <w:sz w:val="24"/>
              </w:rPr>
              <w:t>联系电话</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jc w:val="center"/>
        </w:trPr>
        <w:tc>
          <w:tcPr>
            <w:tcW w:w="3608" w:type="dxa"/>
            <w:vAlign w:val="center"/>
          </w:tcPr>
          <w:p>
            <w:pPr>
              <w:tabs>
                <w:tab w:val="left" w:pos="624"/>
              </w:tabs>
              <w:spacing w:line="240" w:lineRule="auto"/>
              <w:jc w:val="center"/>
              <w:rPr>
                <w:rFonts w:hAnsi="宋体"/>
                <w:sz w:val="24"/>
              </w:rPr>
            </w:pPr>
            <w:r>
              <w:rPr>
                <w:rFonts w:hAnsi="宋体"/>
                <w:sz w:val="24"/>
              </w:rPr>
              <w:t>中山市安监局</w:t>
            </w:r>
          </w:p>
        </w:tc>
        <w:tc>
          <w:tcPr>
            <w:tcW w:w="4132" w:type="dxa"/>
            <w:vAlign w:val="center"/>
          </w:tcPr>
          <w:p>
            <w:pPr>
              <w:tabs>
                <w:tab w:val="left" w:pos="624"/>
              </w:tabs>
              <w:spacing w:line="240" w:lineRule="auto"/>
              <w:jc w:val="center"/>
              <w:rPr>
                <w:rFonts w:hAnsi="宋体"/>
                <w:sz w:val="24"/>
              </w:rPr>
            </w:pPr>
            <w:r>
              <w:rPr>
                <w:rFonts w:hAnsi="宋体"/>
                <w:sz w:val="24"/>
              </w:rPr>
              <w:t>0760-88883205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jc w:val="center"/>
        </w:trPr>
        <w:tc>
          <w:tcPr>
            <w:tcW w:w="3608" w:type="dxa"/>
            <w:vAlign w:val="center"/>
          </w:tcPr>
          <w:p>
            <w:pPr>
              <w:tabs>
                <w:tab w:val="left" w:pos="624"/>
              </w:tabs>
              <w:spacing w:line="240" w:lineRule="auto"/>
              <w:jc w:val="center"/>
              <w:rPr>
                <w:rFonts w:hAnsi="宋体"/>
                <w:sz w:val="24"/>
              </w:rPr>
            </w:pPr>
            <w:r>
              <w:rPr>
                <w:rFonts w:hAnsi="宋体"/>
                <w:sz w:val="24"/>
              </w:rPr>
              <w:t>中山市消防局</w:t>
            </w:r>
          </w:p>
        </w:tc>
        <w:tc>
          <w:tcPr>
            <w:tcW w:w="4132" w:type="dxa"/>
            <w:vAlign w:val="center"/>
          </w:tcPr>
          <w:p>
            <w:pPr>
              <w:tabs>
                <w:tab w:val="left" w:pos="624"/>
              </w:tabs>
              <w:spacing w:line="240" w:lineRule="auto"/>
              <w:jc w:val="center"/>
              <w:rPr>
                <w:rFonts w:hAnsi="宋体"/>
                <w:sz w:val="24"/>
              </w:rPr>
            </w:pPr>
            <w:r>
              <w:rPr>
                <w:rFonts w:hAnsi="宋体"/>
                <w:sz w:val="24"/>
              </w:rPr>
              <w:t>0760-88822841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jc w:val="center"/>
        </w:trPr>
        <w:tc>
          <w:tcPr>
            <w:tcW w:w="3608" w:type="dxa"/>
            <w:vAlign w:val="center"/>
          </w:tcPr>
          <w:p>
            <w:pPr>
              <w:tabs>
                <w:tab w:val="left" w:pos="624"/>
              </w:tabs>
              <w:spacing w:line="240" w:lineRule="auto"/>
              <w:jc w:val="center"/>
              <w:rPr>
                <w:rFonts w:hAnsi="宋体"/>
                <w:sz w:val="24"/>
              </w:rPr>
            </w:pPr>
            <w:r>
              <w:rPr>
                <w:rFonts w:hAnsi="宋体"/>
                <w:sz w:val="24"/>
              </w:rPr>
              <w:t>中山市环保局</w:t>
            </w:r>
          </w:p>
        </w:tc>
        <w:tc>
          <w:tcPr>
            <w:tcW w:w="4132" w:type="dxa"/>
            <w:vAlign w:val="center"/>
          </w:tcPr>
          <w:p>
            <w:pPr>
              <w:tabs>
                <w:tab w:val="left" w:pos="624"/>
              </w:tabs>
              <w:spacing w:line="240" w:lineRule="auto"/>
              <w:jc w:val="center"/>
              <w:rPr>
                <w:rFonts w:hAnsi="宋体"/>
                <w:sz w:val="24"/>
              </w:rPr>
            </w:pPr>
            <w:r>
              <w:rPr>
                <w:rFonts w:hAnsi="宋体"/>
                <w:sz w:val="24"/>
              </w:rPr>
              <w:t>0760-88329817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jc w:val="center"/>
        </w:trPr>
        <w:tc>
          <w:tcPr>
            <w:tcW w:w="3608" w:type="dxa"/>
            <w:vAlign w:val="center"/>
          </w:tcPr>
          <w:p>
            <w:pPr>
              <w:tabs>
                <w:tab w:val="left" w:pos="624"/>
              </w:tabs>
              <w:spacing w:line="240" w:lineRule="auto"/>
              <w:jc w:val="center"/>
              <w:rPr>
                <w:rFonts w:hAnsi="宋体"/>
                <w:sz w:val="24"/>
              </w:rPr>
            </w:pPr>
            <w:r>
              <w:rPr>
                <w:rFonts w:hAnsi="宋体"/>
                <w:sz w:val="24"/>
              </w:rPr>
              <w:t>中山市卫生局</w:t>
            </w:r>
          </w:p>
        </w:tc>
        <w:tc>
          <w:tcPr>
            <w:tcW w:w="4132" w:type="dxa"/>
            <w:vAlign w:val="center"/>
          </w:tcPr>
          <w:p>
            <w:pPr>
              <w:tabs>
                <w:tab w:val="left" w:pos="624"/>
              </w:tabs>
              <w:spacing w:line="240" w:lineRule="auto"/>
              <w:jc w:val="center"/>
              <w:rPr>
                <w:rFonts w:hAnsi="宋体"/>
                <w:sz w:val="24"/>
              </w:rPr>
            </w:pPr>
            <w:r>
              <w:rPr>
                <w:rFonts w:hAnsi="宋体"/>
                <w:sz w:val="24"/>
              </w:rPr>
              <w:t>0760-88822883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jc w:val="center"/>
        </w:trPr>
        <w:tc>
          <w:tcPr>
            <w:tcW w:w="3608" w:type="dxa"/>
            <w:vAlign w:val="center"/>
          </w:tcPr>
          <w:p>
            <w:pPr>
              <w:tabs>
                <w:tab w:val="left" w:pos="624"/>
              </w:tabs>
              <w:spacing w:line="240" w:lineRule="auto"/>
              <w:jc w:val="center"/>
              <w:rPr>
                <w:rFonts w:hAnsi="宋体"/>
                <w:sz w:val="24"/>
              </w:rPr>
            </w:pPr>
            <w:r>
              <w:rPr>
                <w:rFonts w:hAnsi="宋体"/>
                <w:sz w:val="24"/>
              </w:rPr>
              <w:t>市交警支队</w:t>
            </w:r>
          </w:p>
        </w:tc>
        <w:tc>
          <w:tcPr>
            <w:tcW w:w="4132" w:type="dxa"/>
            <w:vAlign w:val="center"/>
          </w:tcPr>
          <w:p>
            <w:pPr>
              <w:tabs>
                <w:tab w:val="left" w:pos="624"/>
              </w:tabs>
              <w:spacing w:line="240" w:lineRule="auto"/>
              <w:jc w:val="center"/>
              <w:rPr>
                <w:rFonts w:hAnsi="宋体"/>
                <w:sz w:val="24"/>
              </w:rPr>
            </w:pPr>
            <w:r>
              <w:rPr>
                <w:rFonts w:hAnsi="宋体"/>
                <w:sz w:val="24"/>
              </w:rPr>
              <w:t>0760-88303933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jc w:val="center"/>
        </w:trPr>
        <w:tc>
          <w:tcPr>
            <w:tcW w:w="3608" w:type="dxa"/>
            <w:vAlign w:val="center"/>
          </w:tcPr>
          <w:p>
            <w:pPr>
              <w:tabs>
                <w:tab w:val="left" w:pos="624"/>
              </w:tabs>
              <w:spacing w:line="240" w:lineRule="auto"/>
              <w:jc w:val="center"/>
              <w:rPr>
                <w:rFonts w:hAnsi="宋体"/>
                <w:sz w:val="24"/>
              </w:rPr>
            </w:pPr>
            <w:r>
              <w:rPr>
                <w:rFonts w:hAnsi="宋体"/>
                <w:sz w:val="24"/>
              </w:rPr>
              <w:t>市巡警支队</w:t>
            </w:r>
          </w:p>
        </w:tc>
        <w:tc>
          <w:tcPr>
            <w:tcW w:w="4132" w:type="dxa"/>
            <w:vAlign w:val="center"/>
          </w:tcPr>
          <w:p>
            <w:pPr>
              <w:tabs>
                <w:tab w:val="left" w:pos="624"/>
              </w:tabs>
              <w:spacing w:line="240" w:lineRule="auto"/>
              <w:jc w:val="center"/>
              <w:rPr>
                <w:rFonts w:hAnsi="宋体"/>
                <w:sz w:val="24"/>
              </w:rPr>
            </w:pPr>
            <w:r>
              <w:rPr>
                <w:rFonts w:hAnsi="宋体"/>
                <w:sz w:val="24"/>
              </w:rPr>
              <w:t>0760-88877105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jc w:val="center"/>
        </w:trPr>
        <w:tc>
          <w:tcPr>
            <w:tcW w:w="3608" w:type="dxa"/>
            <w:vAlign w:val="center"/>
          </w:tcPr>
          <w:p>
            <w:pPr>
              <w:tabs>
                <w:tab w:val="left" w:pos="624"/>
              </w:tabs>
              <w:spacing w:line="240" w:lineRule="auto"/>
              <w:jc w:val="center"/>
              <w:rPr>
                <w:rFonts w:hAnsi="宋体"/>
                <w:sz w:val="24"/>
              </w:rPr>
            </w:pPr>
            <w:r>
              <w:rPr>
                <w:rFonts w:hAnsi="宋体"/>
                <w:sz w:val="24"/>
              </w:rPr>
              <w:t>中山市职业病防治所</w:t>
            </w:r>
          </w:p>
        </w:tc>
        <w:tc>
          <w:tcPr>
            <w:tcW w:w="4132" w:type="dxa"/>
            <w:vAlign w:val="center"/>
          </w:tcPr>
          <w:p>
            <w:pPr>
              <w:tabs>
                <w:tab w:val="left" w:pos="624"/>
              </w:tabs>
              <w:spacing w:line="240" w:lineRule="auto"/>
              <w:jc w:val="center"/>
              <w:rPr>
                <w:rFonts w:hAnsi="宋体"/>
                <w:sz w:val="24"/>
              </w:rPr>
            </w:pPr>
            <w:r>
              <w:rPr>
                <w:rFonts w:hAnsi="宋体"/>
                <w:sz w:val="24"/>
              </w:rPr>
              <w:t>0760-88825075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jc w:val="center"/>
        </w:trPr>
        <w:tc>
          <w:tcPr>
            <w:tcW w:w="3608" w:type="dxa"/>
            <w:vMerge w:val="restart"/>
            <w:vAlign w:val="center"/>
          </w:tcPr>
          <w:p>
            <w:pPr>
              <w:tabs>
                <w:tab w:val="left" w:pos="624"/>
              </w:tabs>
              <w:spacing w:line="240" w:lineRule="auto"/>
              <w:jc w:val="center"/>
              <w:rPr>
                <w:rFonts w:hAnsi="宋体"/>
                <w:sz w:val="24"/>
              </w:rPr>
            </w:pPr>
            <w:r>
              <w:rPr>
                <w:rFonts w:hAnsi="宋体"/>
                <w:sz w:val="24"/>
              </w:rPr>
              <w:t>中山市卫生防疫站</w:t>
            </w:r>
          </w:p>
        </w:tc>
        <w:tc>
          <w:tcPr>
            <w:tcW w:w="4132" w:type="dxa"/>
            <w:vAlign w:val="center"/>
          </w:tcPr>
          <w:p>
            <w:pPr>
              <w:tabs>
                <w:tab w:val="left" w:pos="624"/>
              </w:tabs>
              <w:spacing w:line="240" w:lineRule="auto"/>
              <w:jc w:val="center"/>
              <w:rPr>
                <w:rFonts w:hAnsi="宋体"/>
                <w:sz w:val="24"/>
              </w:rPr>
            </w:pPr>
            <w:r>
              <w:rPr>
                <w:rFonts w:hAnsi="宋体"/>
                <w:sz w:val="24"/>
              </w:rPr>
              <w:t>值班联系电话：0760-88822158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jc w:val="center"/>
        </w:trPr>
        <w:tc>
          <w:tcPr>
            <w:tcW w:w="3608" w:type="dxa"/>
            <w:vMerge w:val="continue"/>
            <w:vAlign w:val="center"/>
          </w:tcPr>
          <w:p>
            <w:pPr>
              <w:tabs>
                <w:tab w:val="left" w:pos="624"/>
              </w:tabs>
              <w:spacing w:line="240" w:lineRule="auto"/>
              <w:jc w:val="center"/>
              <w:rPr>
                <w:rFonts w:hAnsi="宋体"/>
                <w:sz w:val="24"/>
              </w:rPr>
            </w:pPr>
          </w:p>
        </w:tc>
        <w:tc>
          <w:tcPr>
            <w:tcW w:w="4132" w:type="dxa"/>
            <w:vAlign w:val="center"/>
          </w:tcPr>
          <w:p>
            <w:pPr>
              <w:tabs>
                <w:tab w:val="left" w:pos="624"/>
              </w:tabs>
              <w:spacing w:line="240" w:lineRule="auto"/>
              <w:jc w:val="center"/>
              <w:rPr>
                <w:rFonts w:hAnsi="宋体"/>
                <w:sz w:val="24"/>
              </w:rPr>
            </w:pPr>
            <w:r>
              <w:rPr>
                <w:rFonts w:hAnsi="宋体"/>
                <w:sz w:val="24"/>
              </w:rPr>
              <w:t>疾病控制中心：0760-88855964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jc w:val="center"/>
        </w:trPr>
        <w:tc>
          <w:tcPr>
            <w:tcW w:w="3608" w:type="dxa"/>
            <w:vAlign w:val="center"/>
          </w:tcPr>
          <w:p>
            <w:pPr>
              <w:tabs>
                <w:tab w:val="left" w:pos="624"/>
              </w:tabs>
              <w:spacing w:line="240" w:lineRule="auto"/>
              <w:jc w:val="center"/>
              <w:rPr>
                <w:rFonts w:hAnsi="宋体"/>
                <w:sz w:val="24"/>
              </w:rPr>
            </w:pPr>
            <w:r>
              <w:rPr>
                <w:rFonts w:hAnsi="宋体"/>
                <w:sz w:val="24"/>
              </w:rPr>
              <w:t>中山市气象站</w:t>
            </w:r>
          </w:p>
        </w:tc>
        <w:tc>
          <w:tcPr>
            <w:tcW w:w="4132" w:type="dxa"/>
            <w:vAlign w:val="center"/>
          </w:tcPr>
          <w:p>
            <w:pPr>
              <w:tabs>
                <w:tab w:val="left" w:pos="624"/>
              </w:tabs>
              <w:spacing w:line="240" w:lineRule="auto"/>
              <w:jc w:val="center"/>
              <w:rPr>
                <w:rFonts w:hAnsi="宋体"/>
                <w:sz w:val="24"/>
              </w:rPr>
            </w:pPr>
            <w:r>
              <w:rPr>
                <w:rFonts w:hAnsi="宋体"/>
                <w:sz w:val="24"/>
              </w:rPr>
              <w:t>0760-88637124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jc w:val="center"/>
        </w:trPr>
        <w:tc>
          <w:tcPr>
            <w:tcW w:w="3608" w:type="dxa"/>
            <w:vAlign w:val="center"/>
          </w:tcPr>
          <w:p>
            <w:pPr>
              <w:tabs>
                <w:tab w:val="left" w:pos="624"/>
              </w:tabs>
              <w:spacing w:line="240" w:lineRule="auto"/>
              <w:jc w:val="center"/>
              <w:rPr>
                <w:rFonts w:hAnsi="宋体"/>
                <w:sz w:val="24"/>
              </w:rPr>
            </w:pPr>
            <w:r>
              <w:rPr>
                <w:rFonts w:hAnsi="宋体"/>
                <w:sz w:val="24"/>
              </w:rPr>
              <w:t>中山市应急管理办公室</w:t>
            </w:r>
          </w:p>
        </w:tc>
        <w:tc>
          <w:tcPr>
            <w:tcW w:w="4132" w:type="dxa"/>
            <w:vAlign w:val="center"/>
          </w:tcPr>
          <w:p>
            <w:pPr>
              <w:tabs>
                <w:tab w:val="left" w:pos="624"/>
              </w:tabs>
              <w:spacing w:line="240" w:lineRule="auto"/>
              <w:jc w:val="center"/>
              <w:rPr>
                <w:rFonts w:hAnsi="宋体"/>
                <w:sz w:val="24"/>
              </w:rPr>
            </w:pPr>
            <w:r>
              <w:rPr>
                <w:rFonts w:hAnsi="宋体"/>
                <w:sz w:val="24"/>
              </w:rPr>
              <w:t>0760-88863328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jc w:val="center"/>
        </w:trPr>
        <w:tc>
          <w:tcPr>
            <w:tcW w:w="3608" w:type="dxa"/>
            <w:vAlign w:val="center"/>
          </w:tcPr>
          <w:p>
            <w:pPr>
              <w:tabs>
                <w:tab w:val="left" w:pos="624"/>
              </w:tabs>
              <w:spacing w:line="240" w:lineRule="auto"/>
              <w:jc w:val="center"/>
              <w:rPr>
                <w:rFonts w:hAnsi="宋体"/>
                <w:sz w:val="24"/>
                <w:szCs w:val="22"/>
              </w:rPr>
            </w:pPr>
            <w:r>
              <w:rPr>
                <w:rFonts w:hint="eastAsia" w:hAnsi="宋体"/>
                <w:sz w:val="24"/>
                <w:szCs w:val="22"/>
                <w:lang w:eastAsia="zh-CN"/>
              </w:rPr>
              <w:t>民众生态环境</w:t>
            </w:r>
            <w:r>
              <w:rPr>
                <w:rFonts w:hint="eastAsia" w:hAnsi="宋体"/>
                <w:sz w:val="24"/>
                <w:szCs w:val="22"/>
              </w:rPr>
              <w:t>分</w:t>
            </w:r>
            <w:r>
              <w:rPr>
                <w:rFonts w:hAnsi="宋体"/>
                <w:sz w:val="24"/>
                <w:szCs w:val="22"/>
              </w:rPr>
              <w:t>局</w:t>
            </w:r>
          </w:p>
        </w:tc>
        <w:tc>
          <w:tcPr>
            <w:tcW w:w="4132" w:type="dxa"/>
            <w:vAlign w:val="center"/>
          </w:tcPr>
          <w:p>
            <w:pPr>
              <w:tabs>
                <w:tab w:val="left" w:pos="624"/>
              </w:tabs>
              <w:spacing w:line="240" w:lineRule="auto"/>
              <w:jc w:val="center"/>
              <w:rPr>
                <w:rFonts w:hAnsi="宋体"/>
                <w:sz w:val="24"/>
                <w:szCs w:val="22"/>
              </w:rPr>
            </w:pPr>
            <w:r>
              <w:rPr>
                <w:rFonts w:hint="eastAsia" w:hAnsi="宋体"/>
                <w:sz w:val="24"/>
                <w:szCs w:val="22"/>
              </w:rPr>
              <w:t>0760-85570277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jc w:val="center"/>
        </w:trPr>
        <w:tc>
          <w:tcPr>
            <w:tcW w:w="3608" w:type="dxa"/>
            <w:vAlign w:val="center"/>
          </w:tcPr>
          <w:p>
            <w:pPr>
              <w:tabs>
                <w:tab w:val="left" w:pos="624"/>
              </w:tabs>
              <w:spacing w:line="240" w:lineRule="auto"/>
              <w:jc w:val="center"/>
              <w:rPr>
                <w:rFonts w:hAnsi="宋体"/>
                <w:sz w:val="24"/>
                <w:szCs w:val="22"/>
              </w:rPr>
            </w:pPr>
            <w:r>
              <w:rPr>
                <w:rFonts w:hint="eastAsia" w:ascii="宋体" w:hAnsi="宋体"/>
                <w:sz w:val="24"/>
              </w:rPr>
              <w:t>民众镇消防中队</w:t>
            </w:r>
          </w:p>
        </w:tc>
        <w:tc>
          <w:tcPr>
            <w:tcW w:w="4132" w:type="dxa"/>
            <w:vAlign w:val="center"/>
          </w:tcPr>
          <w:p>
            <w:pPr>
              <w:tabs>
                <w:tab w:val="left" w:pos="624"/>
              </w:tabs>
              <w:spacing w:line="240" w:lineRule="auto"/>
              <w:jc w:val="center"/>
              <w:rPr>
                <w:rFonts w:hint="default" w:hAnsi="宋体" w:eastAsia="宋体"/>
                <w:sz w:val="24"/>
                <w:szCs w:val="22"/>
                <w:lang w:val="en-US" w:eastAsia="zh-CN"/>
              </w:rPr>
            </w:pPr>
            <w:r>
              <w:rPr>
                <w:rFonts w:hint="eastAsia" w:hAnsi="宋体"/>
                <w:sz w:val="24"/>
                <w:szCs w:val="22"/>
                <w:lang w:val="en-US" w:eastAsia="zh-CN"/>
              </w:rPr>
              <w:t>119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jc w:val="center"/>
        </w:trPr>
        <w:tc>
          <w:tcPr>
            <w:tcW w:w="3608" w:type="dxa"/>
            <w:vAlign w:val="center"/>
          </w:tcPr>
          <w:p>
            <w:pPr>
              <w:tabs>
                <w:tab w:val="left" w:pos="624"/>
              </w:tabs>
              <w:spacing w:line="240" w:lineRule="auto"/>
              <w:jc w:val="center"/>
              <w:rPr>
                <w:rFonts w:hAnsi="宋体"/>
                <w:sz w:val="24"/>
                <w:szCs w:val="22"/>
              </w:rPr>
            </w:pPr>
            <w:r>
              <w:rPr>
                <w:rFonts w:hint="eastAsia" w:hAnsi="宋体"/>
                <w:sz w:val="24"/>
                <w:szCs w:val="22"/>
              </w:rPr>
              <w:t>民众医院</w:t>
            </w:r>
          </w:p>
        </w:tc>
        <w:tc>
          <w:tcPr>
            <w:tcW w:w="4132" w:type="dxa"/>
            <w:vAlign w:val="center"/>
          </w:tcPr>
          <w:p>
            <w:pPr>
              <w:tabs>
                <w:tab w:val="left" w:pos="624"/>
              </w:tabs>
              <w:spacing w:line="240" w:lineRule="auto"/>
              <w:jc w:val="center"/>
              <w:rPr>
                <w:rFonts w:hint="eastAsia" w:hAnsi="宋体"/>
                <w:sz w:val="24"/>
                <w:szCs w:val="22"/>
                <w:lang w:val="en-GB"/>
              </w:rPr>
            </w:pPr>
            <w:r>
              <w:rPr>
                <w:rFonts w:hint="eastAsia" w:hAnsi="宋体"/>
                <w:sz w:val="24"/>
                <w:szCs w:val="22"/>
                <w:lang w:val="en-GB"/>
              </w:rPr>
              <w:t>120</w:t>
            </w:r>
          </w:p>
          <w:p>
            <w:pPr>
              <w:tabs>
                <w:tab w:val="left" w:pos="624"/>
              </w:tabs>
              <w:spacing w:line="240" w:lineRule="auto"/>
              <w:jc w:val="center"/>
              <w:rPr>
                <w:rFonts w:hAnsi="宋体"/>
                <w:sz w:val="24"/>
                <w:szCs w:val="22"/>
              </w:rPr>
            </w:pPr>
            <w:r>
              <w:rPr>
                <w:rFonts w:hint="eastAsia" w:hAnsi="宋体"/>
                <w:sz w:val="24"/>
                <w:szCs w:val="22"/>
                <w:lang w:val="en-GB"/>
              </w:rPr>
              <w:t>0760-85575254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jc w:val="center"/>
        </w:trPr>
        <w:tc>
          <w:tcPr>
            <w:tcW w:w="3608" w:type="dxa"/>
            <w:vAlign w:val="center"/>
          </w:tcPr>
          <w:p>
            <w:pPr>
              <w:tabs>
                <w:tab w:val="left" w:pos="624"/>
              </w:tabs>
              <w:spacing w:line="240" w:lineRule="auto"/>
              <w:jc w:val="center"/>
              <w:rPr>
                <w:rFonts w:hint="eastAsia" w:hAnsi="宋体"/>
                <w:sz w:val="24"/>
                <w:szCs w:val="22"/>
                <w:lang w:eastAsia="zh-CN"/>
              </w:rPr>
            </w:pPr>
            <w:r>
              <w:rPr>
                <w:rFonts w:hint="eastAsia" w:hAnsi="宋体"/>
                <w:sz w:val="24"/>
                <w:szCs w:val="22"/>
                <w:lang w:eastAsia="zh-CN"/>
              </w:rPr>
              <w:t>广东嬴胜节能有限公司</w:t>
            </w:r>
          </w:p>
        </w:tc>
        <w:tc>
          <w:tcPr>
            <w:tcW w:w="4132" w:type="dxa"/>
            <w:vAlign w:val="center"/>
          </w:tcPr>
          <w:p>
            <w:pPr>
              <w:tabs>
                <w:tab w:val="left" w:pos="624"/>
              </w:tabs>
              <w:spacing w:line="240" w:lineRule="auto"/>
              <w:jc w:val="center"/>
              <w:rPr>
                <w:rFonts w:hint="eastAsia" w:hAnsi="宋体"/>
                <w:sz w:val="24"/>
                <w:szCs w:val="22"/>
                <w:lang w:eastAsia="zh-CN"/>
              </w:rPr>
            </w:pPr>
            <w:r>
              <w:rPr>
                <w:rFonts w:hint="eastAsia" w:hAnsi="宋体"/>
                <w:sz w:val="24"/>
                <w:szCs w:val="22"/>
                <w:lang w:eastAsia="zh-CN"/>
              </w:rPr>
              <w:t>18961017567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jc w:val="center"/>
        </w:trPr>
        <w:tc>
          <w:tcPr>
            <w:tcW w:w="3608" w:type="dxa"/>
            <w:vAlign w:val="center"/>
          </w:tcPr>
          <w:p>
            <w:pPr>
              <w:tabs>
                <w:tab w:val="left" w:pos="624"/>
              </w:tabs>
              <w:spacing w:line="240" w:lineRule="auto"/>
              <w:jc w:val="center"/>
              <w:rPr>
                <w:rFonts w:hint="eastAsia" w:hAnsi="宋体"/>
                <w:sz w:val="24"/>
                <w:szCs w:val="22"/>
                <w:lang w:eastAsia="zh-CN"/>
              </w:rPr>
            </w:pPr>
            <w:r>
              <w:rPr>
                <w:rFonts w:hint="eastAsia" w:hAnsi="宋体"/>
                <w:sz w:val="24"/>
                <w:szCs w:val="22"/>
                <w:lang w:eastAsia="zh-CN"/>
              </w:rPr>
              <w:t>中山市德马汽车零部件有限公司</w:t>
            </w:r>
          </w:p>
        </w:tc>
        <w:tc>
          <w:tcPr>
            <w:tcW w:w="4132" w:type="dxa"/>
            <w:vAlign w:val="center"/>
          </w:tcPr>
          <w:p>
            <w:pPr>
              <w:tabs>
                <w:tab w:val="left" w:pos="624"/>
              </w:tabs>
              <w:spacing w:line="240" w:lineRule="auto"/>
              <w:jc w:val="center"/>
              <w:rPr>
                <w:rFonts w:hint="eastAsia" w:hAnsi="宋体"/>
                <w:sz w:val="24"/>
                <w:szCs w:val="22"/>
                <w:lang w:eastAsia="zh-CN"/>
              </w:rPr>
            </w:pPr>
            <w:r>
              <w:rPr>
                <w:rFonts w:hint="eastAsia" w:hAnsi="宋体"/>
                <w:sz w:val="24"/>
                <w:szCs w:val="22"/>
                <w:lang w:eastAsia="zh-CN"/>
              </w:rPr>
              <w:t>0760-85550222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jc w:val="center"/>
        </w:trPr>
        <w:tc>
          <w:tcPr>
            <w:tcW w:w="3608" w:type="dxa"/>
            <w:vAlign w:val="center"/>
          </w:tcPr>
          <w:p>
            <w:pPr>
              <w:tabs>
                <w:tab w:val="left" w:pos="624"/>
              </w:tabs>
              <w:spacing w:line="240" w:lineRule="auto"/>
              <w:jc w:val="center"/>
              <w:rPr>
                <w:rFonts w:hint="eastAsia" w:hAnsi="宋体"/>
                <w:sz w:val="24"/>
                <w:szCs w:val="22"/>
                <w:lang w:eastAsia="zh-CN"/>
              </w:rPr>
            </w:pPr>
            <w:r>
              <w:rPr>
                <w:rFonts w:hint="eastAsia" w:hAnsi="宋体"/>
                <w:sz w:val="24"/>
                <w:szCs w:val="22"/>
                <w:lang w:eastAsia="zh-CN"/>
              </w:rPr>
              <w:t>中山沙仔社区</w:t>
            </w:r>
          </w:p>
        </w:tc>
        <w:tc>
          <w:tcPr>
            <w:tcW w:w="4132" w:type="dxa"/>
            <w:vAlign w:val="center"/>
          </w:tcPr>
          <w:p>
            <w:pPr>
              <w:tabs>
                <w:tab w:val="left" w:pos="624"/>
              </w:tabs>
              <w:jc w:val="center"/>
              <w:rPr>
                <w:rFonts w:hint="eastAsia"/>
                <w:sz w:val="24"/>
                <w:szCs w:val="24"/>
              </w:rPr>
            </w:pPr>
            <w:r>
              <w:rPr>
                <w:rFonts w:hint="eastAsia"/>
                <w:sz w:val="24"/>
                <w:szCs w:val="24"/>
              </w:rPr>
              <w:t>杨</w:t>
            </w:r>
            <w:r>
              <w:rPr>
                <w:rFonts w:hint="eastAsia"/>
                <w:sz w:val="24"/>
                <w:szCs w:val="24"/>
                <w:lang w:eastAsia="zh-CN"/>
              </w:rPr>
              <w:t>先生：</w:t>
            </w:r>
            <w:r>
              <w:rPr>
                <w:rFonts w:hint="eastAsia"/>
                <w:sz w:val="24"/>
                <w:szCs w:val="24"/>
              </w:rPr>
              <w:t>13928120968</w:t>
            </w:r>
          </w:p>
          <w:p>
            <w:pPr>
              <w:tabs>
                <w:tab w:val="left" w:pos="624"/>
              </w:tabs>
              <w:spacing w:line="240" w:lineRule="auto"/>
              <w:jc w:val="center"/>
              <w:rPr>
                <w:rFonts w:hint="eastAsia" w:hAnsi="宋体"/>
                <w:sz w:val="24"/>
                <w:szCs w:val="22"/>
                <w:lang w:eastAsia="zh-CN"/>
              </w:rPr>
            </w:pPr>
            <w:r>
              <w:rPr>
                <w:rFonts w:hint="eastAsia"/>
                <w:sz w:val="24"/>
                <w:szCs w:val="24"/>
              </w:rPr>
              <w:t>吴</w:t>
            </w:r>
            <w:r>
              <w:rPr>
                <w:rFonts w:hint="eastAsia"/>
                <w:sz w:val="24"/>
                <w:szCs w:val="24"/>
                <w:lang w:eastAsia="zh-CN"/>
              </w:rPr>
              <w:t>小姐：</w:t>
            </w:r>
            <w:r>
              <w:rPr>
                <w:rFonts w:hint="eastAsia"/>
                <w:sz w:val="24"/>
                <w:szCs w:val="24"/>
              </w:rPr>
              <w:t>13702512817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jc w:val="center"/>
        </w:trPr>
        <w:tc>
          <w:tcPr>
            <w:tcW w:w="3608" w:type="dxa"/>
            <w:vAlign w:val="center"/>
          </w:tcPr>
          <w:p>
            <w:pPr>
              <w:tabs>
                <w:tab w:val="left" w:pos="624"/>
              </w:tabs>
              <w:spacing w:line="240" w:lineRule="auto"/>
              <w:jc w:val="center"/>
              <w:rPr>
                <w:rFonts w:hint="eastAsia" w:hAnsi="宋体"/>
                <w:sz w:val="24"/>
                <w:szCs w:val="22"/>
                <w:lang w:eastAsia="zh-CN"/>
              </w:rPr>
            </w:pPr>
            <w:r>
              <w:rPr>
                <w:rFonts w:hint="eastAsia" w:hAnsi="宋体"/>
                <w:sz w:val="24"/>
                <w:szCs w:val="22"/>
                <w:lang w:eastAsia="zh-CN"/>
              </w:rPr>
              <w:t>中山新平社区</w:t>
            </w:r>
          </w:p>
        </w:tc>
        <w:tc>
          <w:tcPr>
            <w:tcW w:w="4132" w:type="dxa"/>
            <w:vAlign w:val="center"/>
          </w:tcPr>
          <w:p>
            <w:pPr>
              <w:tabs>
                <w:tab w:val="left" w:pos="624"/>
              </w:tabs>
              <w:spacing w:line="240" w:lineRule="auto"/>
              <w:jc w:val="center"/>
              <w:rPr>
                <w:rFonts w:hint="eastAsia" w:hAnsi="宋体"/>
                <w:sz w:val="24"/>
                <w:szCs w:val="22"/>
                <w:lang w:eastAsia="zh-CN"/>
              </w:rPr>
            </w:pPr>
            <w:r>
              <w:rPr>
                <w:rFonts w:hint="eastAsia"/>
                <w:sz w:val="24"/>
                <w:szCs w:val="24"/>
              </w:rPr>
              <w:t>0760-85575604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jc w:val="center"/>
        </w:trPr>
        <w:tc>
          <w:tcPr>
            <w:tcW w:w="3608" w:type="dxa"/>
            <w:vAlign w:val="center"/>
          </w:tcPr>
          <w:p>
            <w:pPr>
              <w:tabs>
                <w:tab w:val="left" w:pos="624"/>
              </w:tabs>
              <w:spacing w:line="240" w:lineRule="auto"/>
              <w:jc w:val="center"/>
              <w:rPr>
                <w:rFonts w:hint="eastAsia" w:hAnsi="宋体"/>
                <w:sz w:val="24"/>
                <w:szCs w:val="22"/>
                <w:lang w:eastAsia="zh-CN"/>
              </w:rPr>
            </w:pPr>
            <w:r>
              <w:rPr>
                <w:rFonts w:hint="eastAsia" w:hAnsi="宋体"/>
                <w:sz w:val="24"/>
                <w:szCs w:val="22"/>
                <w:lang w:eastAsia="zh-CN"/>
              </w:rPr>
              <w:t>中山新建社区</w:t>
            </w:r>
          </w:p>
        </w:tc>
        <w:tc>
          <w:tcPr>
            <w:tcW w:w="4132" w:type="dxa"/>
            <w:vAlign w:val="center"/>
          </w:tcPr>
          <w:p>
            <w:pPr>
              <w:tabs>
                <w:tab w:val="left" w:pos="624"/>
              </w:tabs>
              <w:spacing w:line="240" w:lineRule="auto"/>
              <w:jc w:val="center"/>
              <w:rPr>
                <w:rFonts w:hint="eastAsia" w:hAnsi="宋体"/>
                <w:b/>
                <w:bCs/>
                <w:sz w:val="24"/>
                <w:szCs w:val="22"/>
                <w:lang w:eastAsia="zh-CN"/>
              </w:rPr>
            </w:pPr>
            <w:r>
              <w:rPr>
                <w:rFonts w:hint="eastAsia"/>
                <w:sz w:val="24"/>
                <w:szCs w:val="24"/>
              </w:rPr>
              <w:t>0760-85575604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jc w:val="center"/>
        </w:trPr>
        <w:tc>
          <w:tcPr>
            <w:tcW w:w="3608" w:type="dxa"/>
            <w:vAlign w:val="center"/>
          </w:tcPr>
          <w:p>
            <w:pPr>
              <w:tabs>
                <w:tab w:val="left" w:pos="624"/>
              </w:tabs>
              <w:spacing w:line="240" w:lineRule="auto"/>
              <w:jc w:val="center"/>
              <w:rPr>
                <w:rFonts w:hint="eastAsia" w:hAnsi="宋体"/>
                <w:sz w:val="24"/>
                <w:szCs w:val="22"/>
                <w:lang w:eastAsia="zh-CN"/>
              </w:rPr>
            </w:pPr>
            <w:r>
              <w:rPr>
                <w:rFonts w:hint="eastAsia" w:hAnsi="宋体"/>
                <w:sz w:val="24"/>
                <w:szCs w:val="22"/>
                <w:lang w:eastAsia="zh-CN"/>
              </w:rPr>
              <w:t>广州同兴村</w:t>
            </w:r>
          </w:p>
        </w:tc>
        <w:tc>
          <w:tcPr>
            <w:tcW w:w="4132" w:type="dxa"/>
            <w:vAlign w:val="center"/>
          </w:tcPr>
          <w:p>
            <w:pPr>
              <w:tabs>
                <w:tab w:val="left" w:pos="624"/>
              </w:tabs>
              <w:spacing w:line="240" w:lineRule="auto"/>
              <w:jc w:val="center"/>
              <w:rPr>
                <w:rFonts w:hint="eastAsia" w:hAnsi="宋体"/>
                <w:sz w:val="24"/>
                <w:szCs w:val="22"/>
                <w:lang w:eastAsia="zh-CN"/>
              </w:rPr>
            </w:pPr>
            <w:r>
              <w:rPr>
                <w:rFonts w:hint="eastAsia"/>
                <w:sz w:val="24"/>
                <w:szCs w:val="24"/>
              </w:rPr>
              <w:t>020-84943671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jc w:val="center"/>
        </w:trPr>
        <w:tc>
          <w:tcPr>
            <w:tcW w:w="3608" w:type="dxa"/>
            <w:vAlign w:val="top"/>
          </w:tcPr>
          <w:p>
            <w:pPr>
              <w:tabs>
                <w:tab w:val="left" w:pos="624"/>
              </w:tabs>
              <w:spacing w:line="240" w:lineRule="auto"/>
              <w:jc w:val="center"/>
              <w:rPr>
                <w:rFonts w:hint="eastAsia" w:hAnsi="宋体"/>
                <w:sz w:val="24"/>
                <w:szCs w:val="22"/>
                <w:lang w:eastAsia="zh-CN"/>
              </w:rPr>
            </w:pPr>
            <w:r>
              <w:rPr>
                <w:rFonts w:hint="eastAsia" w:hAnsi="宋体"/>
                <w:sz w:val="24"/>
                <w:szCs w:val="22"/>
                <w:lang w:eastAsia="zh-CN"/>
              </w:rPr>
              <w:t>广州年丰村</w:t>
            </w:r>
          </w:p>
        </w:tc>
        <w:tc>
          <w:tcPr>
            <w:tcW w:w="4132" w:type="dxa"/>
            <w:vAlign w:val="center"/>
          </w:tcPr>
          <w:p>
            <w:pPr>
              <w:tabs>
                <w:tab w:val="left" w:pos="624"/>
              </w:tabs>
              <w:spacing w:line="240" w:lineRule="auto"/>
              <w:jc w:val="center"/>
              <w:rPr>
                <w:rFonts w:hint="eastAsia" w:hAnsi="宋体"/>
                <w:sz w:val="24"/>
                <w:szCs w:val="22"/>
                <w:lang w:eastAsia="zh-CN"/>
              </w:rPr>
            </w:pPr>
            <w:r>
              <w:rPr>
                <w:rFonts w:hint="eastAsia"/>
                <w:sz w:val="24"/>
                <w:szCs w:val="24"/>
              </w:rPr>
              <w:t>020-84943692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jc w:val="center"/>
        </w:trPr>
        <w:tc>
          <w:tcPr>
            <w:tcW w:w="3608" w:type="dxa"/>
            <w:vAlign w:val="top"/>
          </w:tcPr>
          <w:p>
            <w:pPr>
              <w:tabs>
                <w:tab w:val="left" w:pos="624"/>
              </w:tabs>
              <w:spacing w:line="240" w:lineRule="auto"/>
              <w:jc w:val="center"/>
              <w:rPr>
                <w:rFonts w:hint="eastAsia" w:hAnsi="宋体"/>
                <w:sz w:val="24"/>
                <w:szCs w:val="22"/>
                <w:lang w:eastAsia="zh-CN"/>
              </w:rPr>
            </w:pPr>
            <w:r>
              <w:rPr>
                <w:rFonts w:hint="eastAsia" w:hAnsi="宋体"/>
                <w:sz w:val="24"/>
                <w:szCs w:val="22"/>
                <w:lang w:eastAsia="zh-CN"/>
              </w:rPr>
              <w:t>广州新安村</w:t>
            </w:r>
          </w:p>
        </w:tc>
        <w:tc>
          <w:tcPr>
            <w:tcW w:w="4132" w:type="dxa"/>
            <w:vAlign w:val="center"/>
          </w:tcPr>
          <w:p>
            <w:pPr>
              <w:tabs>
                <w:tab w:val="left" w:pos="624"/>
              </w:tabs>
              <w:spacing w:line="240" w:lineRule="auto"/>
              <w:jc w:val="center"/>
              <w:rPr>
                <w:rFonts w:hint="eastAsia" w:hAnsi="宋体"/>
                <w:sz w:val="24"/>
                <w:szCs w:val="22"/>
                <w:lang w:eastAsia="zh-CN"/>
              </w:rPr>
            </w:pPr>
            <w:r>
              <w:rPr>
                <w:rFonts w:hint="eastAsia" w:hAnsi="宋体"/>
                <w:sz w:val="24"/>
                <w:szCs w:val="22"/>
                <w:lang w:val="en-US" w:eastAsia="zh-CN"/>
              </w:rPr>
              <w:t>020-</w:t>
            </w:r>
            <w:r>
              <w:rPr>
                <w:rFonts w:hint="eastAsia" w:hAnsi="宋体"/>
                <w:sz w:val="24"/>
                <w:szCs w:val="22"/>
                <w:lang w:eastAsia="zh-CN"/>
              </w:rPr>
              <w:t>84943843</w:t>
            </w:r>
          </w:p>
        </w:tc>
      </w:tr>
    </w:tbl>
    <w:p>
      <w:pPr>
        <w:spacing w:line="460" w:lineRule="exact"/>
        <w:jc w:val="center"/>
        <w:rPr>
          <w:b/>
          <w:szCs w:val="28"/>
        </w:rPr>
      </w:pPr>
    </w:p>
    <w:p>
      <w:bookmarkStart w:id="242" w:name="_Toc3746"/>
      <w:bookmarkStart w:id="243" w:name="_Toc13675"/>
      <w:bookmarkStart w:id="244" w:name="_Toc18305"/>
    </w:p>
    <w:p/>
    <w:p/>
    <w:p/>
    <w:p/>
    <w:p/>
    <w:p/>
    <w:p/>
    <w:p/>
    <w:p/>
    <w:p/>
    <w:p/>
    <w:p>
      <w:pPr>
        <w:pStyle w:val="2"/>
        <w:jc w:val="center"/>
      </w:pPr>
      <w:bookmarkStart w:id="245" w:name="_Toc10116"/>
      <w:r>
        <w:t>7应急处置</w:t>
      </w:r>
      <w:bookmarkEnd w:id="242"/>
      <w:bookmarkEnd w:id="243"/>
      <w:bookmarkEnd w:id="244"/>
      <w:bookmarkEnd w:id="245"/>
    </w:p>
    <w:p>
      <w:pPr>
        <w:pStyle w:val="3"/>
      </w:pPr>
      <w:bookmarkStart w:id="246" w:name="_Toc4847"/>
      <w:bookmarkStart w:id="247" w:name="_Toc10135"/>
      <w:bookmarkStart w:id="248" w:name="_Toc10802"/>
      <w:bookmarkStart w:id="249" w:name="_Toc9428"/>
      <w:r>
        <w:t>7.1启动条件</w:t>
      </w:r>
      <w:bookmarkEnd w:id="246"/>
      <w:bookmarkEnd w:id="247"/>
      <w:bookmarkEnd w:id="248"/>
      <w:bookmarkEnd w:id="249"/>
    </w:p>
    <w:p>
      <w:pPr>
        <w:widowControl/>
        <w:spacing w:line="360" w:lineRule="auto"/>
        <w:ind w:firstLine="552" w:firstLineChars="200"/>
        <w:jc w:val="left"/>
        <w:rPr>
          <w:szCs w:val="28"/>
        </w:rPr>
      </w:pPr>
      <w:r>
        <w:rPr>
          <w:szCs w:val="28"/>
        </w:rPr>
        <w:t xml:space="preserve">即将发生或已经发生以下事故时，应当立即启动应急预案： </w:t>
      </w:r>
    </w:p>
    <w:p>
      <w:pPr>
        <w:spacing w:line="360" w:lineRule="auto"/>
        <w:ind w:firstLine="19" w:firstLineChars="7"/>
        <w:rPr>
          <w:b/>
        </w:rPr>
      </w:pPr>
      <w:r>
        <w:rPr>
          <w:b/>
        </w:rPr>
        <w:t>7.1.1  III级：</w:t>
      </w:r>
      <w:r>
        <w:rPr>
          <w:rFonts w:hint="eastAsia"/>
          <w:b/>
        </w:rPr>
        <w:t>车间级紧急状态</w:t>
      </w:r>
    </w:p>
    <w:p>
      <w:pPr>
        <w:widowControl/>
        <w:spacing w:line="360" w:lineRule="auto"/>
        <w:ind w:firstLine="552" w:firstLineChars="200"/>
        <w:jc w:val="left"/>
        <w:rPr>
          <w:szCs w:val="28"/>
        </w:rPr>
      </w:pPr>
      <w:r>
        <w:rPr>
          <w:rFonts w:hint="eastAsia"/>
          <w:szCs w:val="28"/>
        </w:rPr>
        <w:t>事故的有害影响局限在车间内，并且可被现场操作者控制在局部区域内，可以立即处理完成，对公司内、外环境基本不会产生影响。</w:t>
      </w:r>
      <w:r>
        <w:rPr>
          <w:szCs w:val="28"/>
        </w:rPr>
        <w:t>启动三级响应：由</w:t>
      </w:r>
      <w:r>
        <w:rPr>
          <w:rFonts w:hint="eastAsia"/>
          <w:szCs w:val="28"/>
        </w:rPr>
        <w:t>车间负责人</w:t>
      </w:r>
      <w:r>
        <w:rPr>
          <w:szCs w:val="28"/>
        </w:rPr>
        <w:t>负责应急指挥</w:t>
      </w:r>
      <w:r>
        <w:rPr>
          <w:rFonts w:hint="eastAsia"/>
          <w:szCs w:val="28"/>
          <w:lang w:eastAsia="zh-CN"/>
        </w:rPr>
        <w:t>，并通知相关应急专业小组</w:t>
      </w:r>
      <w:r>
        <w:rPr>
          <w:szCs w:val="28"/>
        </w:rPr>
        <w:t>；组织相关人员进行应急处置。</w:t>
      </w:r>
    </w:p>
    <w:p>
      <w:pPr>
        <w:numPr>
          <w:ilvl w:val="0"/>
          <w:numId w:val="8"/>
        </w:numPr>
        <w:spacing w:line="360" w:lineRule="auto"/>
        <w:ind w:firstLine="295" w:firstLineChars="107"/>
        <w:rPr>
          <w:szCs w:val="28"/>
        </w:rPr>
      </w:pPr>
      <w:r>
        <w:rPr>
          <w:rFonts w:hint="eastAsia"/>
          <w:szCs w:val="28"/>
        </w:rPr>
        <w:t>生产装置、</w:t>
      </w:r>
      <w:r>
        <w:rPr>
          <w:rFonts w:hint="eastAsia"/>
          <w:szCs w:val="28"/>
          <w:lang w:eastAsia="zh-CN"/>
        </w:rPr>
        <w:t>输送管道</w:t>
      </w:r>
      <w:r>
        <w:rPr>
          <w:rFonts w:hint="eastAsia"/>
          <w:szCs w:val="28"/>
        </w:rPr>
        <w:t>等发生轻微泄漏</w:t>
      </w:r>
      <w:r>
        <w:rPr>
          <w:szCs w:val="28"/>
        </w:rPr>
        <w:t>，泄漏污染物</w:t>
      </w:r>
      <w:r>
        <w:rPr>
          <w:rFonts w:hint="eastAsia"/>
          <w:szCs w:val="28"/>
        </w:rPr>
        <w:t>控制在围堰内</w:t>
      </w:r>
      <w:r>
        <w:rPr>
          <w:szCs w:val="28"/>
        </w:rPr>
        <w:t>；</w:t>
      </w:r>
    </w:p>
    <w:p>
      <w:pPr>
        <w:numPr>
          <w:ilvl w:val="0"/>
          <w:numId w:val="8"/>
        </w:numPr>
        <w:spacing w:line="360" w:lineRule="auto"/>
        <w:ind w:firstLine="295" w:firstLineChars="107"/>
        <w:rPr>
          <w:rFonts w:hint="eastAsia" w:eastAsia="宋体"/>
          <w:szCs w:val="28"/>
          <w:lang w:eastAsia="zh-CN"/>
        </w:rPr>
      </w:pPr>
      <w:r>
        <w:rPr>
          <w:szCs w:val="28"/>
        </w:rPr>
        <w:t>危废仓库</w:t>
      </w:r>
      <w:r>
        <w:rPr>
          <w:rFonts w:hint="eastAsia"/>
          <w:szCs w:val="28"/>
        </w:rPr>
        <w:t>内</w:t>
      </w:r>
      <w:r>
        <w:rPr>
          <w:szCs w:val="28"/>
        </w:rPr>
        <w:t>出现危险废物泄漏</w:t>
      </w:r>
      <w:r>
        <w:rPr>
          <w:rFonts w:hint="eastAsia"/>
          <w:szCs w:val="28"/>
          <w:lang w:eastAsia="zh-CN"/>
        </w:rPr>
        <w:t>。</w:t>
      </w:r>
    </w:p>
    <w:p>
      <w:pPr>
        <w:spacing w:line="360" w:lineRule="auto"/>
        <w:ind w:firstLine="19" w:firstLineChars="7"/>
        <w:rPr>
          <w:b/>
        </w:rPr>
      </w:pPr>
      <w:r>
        <w:rPr>
          <w:b/>
        </w:rPr>
        <w:t>7.1.2  II级：</w:t>
      </w:r>
      <w:r>
        <w:rPr>
          <w:rFonts w:hint="eastAsia"/>
          <w:b/>
        </w:rPr>
        <w:t>企业级紧急状态</w:t>
      </w:r>
    </w:p>
    <w:p>
      <w:pPr>
        <w:spacing w:line="360" w:lineRule="auto"/>
        <w:ind w:firstLine="552" w:firstLineChars="200"/>
        <w:rPr>
          <w:szCs w:val="28"/>
        </w:rPr>
      </w:pPr>
      <w:r>
        <w:rPr>
          <w:rFonts w:hint="eastAsia"/>
          <w:szCs w:val="28"/>
        </w:rPr>
        <w:t>事故的影响和危害性尚未超出本</w:t>
      </w:r>
      <w:r>
        <w:rPr>
          <w:rFonts w:hint="eastAsia"/>
          <w:szCs w:val="28"/>
          <w:lang w:eastAsia="zh-CN"/>
        </w:rPr>
        <w:t>公司</w:t>
      </w:r>
      <w:r>
        <w:rPr>
          <w:rFonts w:hint="eastAsia"/>
          <w:szCs w:val="28"/>
        </w:rPr>
        <w:t>边界，</w:t>
      </w:r>
      <w:r>
        <w:rPr>
          <w:szCs w:val="28"/>
        </w:rPr>
        <w:t>在短时间内可处置控制，</w:t>
      </w:r>
      <w:r>
        <w:rPr>
          <w:rFonts w:hint="eastAsia"/>
          <w:szCs w:val="28"/>
        </w:rPr>
        <w:t>对公司内部有一定的影响，但</w:t>
      </w:r>
      <w:r>
        <w:rPr>
          <w:szCs w:val="28"/>
        </w:rPr>
        <w:t>未对周边企业、社区产生影响</w:t>
      </w:r>
      <w:r>
        <w:rPr>
          <w:rFonts w:hint="eastAsia"/>
          <w:szCs w:val="28"/>
        </w:rPr>
        <w:t>。</w:t>
      </w:r>
      <w:r>
        <w:rPr>
          <w:szCs w:val="28"/>
        </w:rPr>
        <w:t>启动二级响应：由</w:t>
      </w:r>
      <w:r>
        <w:rPr>
          <w:rFonts w:hint="eastAsia"/>
          <w:szCs w:val="28"/>
        </w:rPr>
        <w:t>总指挥</w:t>
      </w:r>
      <w:r>
        <w:rPr>
          <w:szCs w:val="28"/>
        </w:rPr>
        <w:t>负责指挥，组织相关应急小组开展应急工作。</w:t>
      </w:r>
    </w:p>
    <w:p>
      <w:pPr>
        <w:spacing w:line="360" w:lineRule="auto"/>
        <w:ind w:firstLine="552" w:firstLineChars="200"/>
        <w:rPr>
          <w:szCs w:val="28"/>
        </w:rPr>
      </w:pPr>
      <w:r>
        <w:rPr>
          <w:szCs w:val="28"/>
        </w:rPr>
        <w:t>（1）废气治理措施出现异常排放</w:t>
      </w:r>
      <w:r>
        <w:rPr>
          <w:rFonts w:hint="eastAsia"/>
          <w:szCs w:val="28"/>
          <w:lang w:eastAsia="zh-CN"/>
        </w:rPr>
        <w:t>，经停机修检即可恢复正常</w:t>
      </w:r>
      <w:r>
        <w:rPr>
          <w:szCs w:val="28"/>
        </w:rPr>
        <w:t>；</w:t>
      </w:r>
    </w:p>
    <w:p>
      <w:pPr>
        <w:spacing w:line="360" w:lineRule="auto"/>
        <w:ind w:firstLine="552" w:firstLineChars="200"/>
        <w:rPr>
          <w:rFonts w:hint="eastAsia"/>
          <w:szCs w:val="28"/>
        </w:rPr>
      </w:pPr>
      <w:r>
        <w:rPr>
          <w:rFonts w:hint="eastAsia"/>
          <w:szCs w:val="28"/>
          <w:lang w:eastAsia="zh-CN"/>
        </w:rPr>
        <w:t>（</w:t>
      </w:r>
      <w:r>
        <w:rPr>
          <w:rFonts w:hint="eastAsia"/>
          <w:szCs w:val="28"/>
          <w:lang w:val="en-US" w:eastAsia="zh-CN"/>
        </w:rPr>
        <w:t>2</w:t>
      </w:r>
      <w:r>
        <w:rPr>
          <w:rFonts w:hint="eastAsia"/>
          <w:szCs w:val="28"/>
          <w:lang w:eastAsia="zh-CN"/>
        </w:rPr>
        <w:t>）</w:t>
      </w:r>
      <w:r>
        <w:rPr>
          <w:rFonts w:hint="eastAsia"/>
          <w:szCs w:val="28"/>
        </w:rPr>
        <w:t>生产装置、</w:t>
      </w:r>
      <w:r>
        <w:rPr>
          <w:rFonts w:hint="eastAsia"/>
          <w:szCs w:val="28"/>
          <w:lang w:eastAsia="zh-CN"/>
        </w:rPr>
        <w:t>输送管道</w:t>
      </w:r>
      <w:r>
        <w:rPr>
          <w:rFonts w:hint="eastAsia"/>
          <w:szCs w:val="28"/>
        </w:rPr>
        <w:t>等发生大量泄漏，</w:t>
      </w:r>
      <w:r>
        <w:rPr>
          <w:rFonts w:hint="eastAsia"/>
          <w:szCs w:val="28"/>
          <w:lang w:eastAsia="zh-CN"/>
        </w:rPr>
        <w:t>污泥、沼液</w:t>
      </w:r>
      <w:r>
        <w:rPr>
          <w:rFonts w:hint="eastAsia"/>
          <w:szCs w:val="28"/>
        </w:rPr>
        <w:t>不能控制在围堰内，但可以进入事故池中；</w:t>
      </w:r>
    </w:p>
    <w:p>
      <w:pPr>
        <w:spacing w:line="360" w:lineRule="auto"/>
        <w:ind w:firstLine="552" w:firstLineChars="200"/>
        <w:rPr>
          <w:rFonts w:hint="eastAsia"/>
          <w:szCs w:val="28"/>
          <w:lang w:eastAsia="zh-CN"/>
        </w:rPr>
      </w:pPr>
      <w:r>
        <w:rPr>
          <w:rFonts w:hint="eastAsia"/>
          <w:szCs w:val="28"/>
          <w:lang w:eastAsia="zh-CN"/>
        </w:rPr>
        <w:t>（</w:t>
      </w:r>
      <w:r>
        <w:rPr>
          <w:rFonts w:hint="eastAsia"/>
          <w:szCs w:val="28"/>
          <w:lang w:val="en-US" w:eastAsia="zh-CN"/>
        </w:rPr>
        <w:t>3</w:t>
      </w:r>
      <w:r>
        <w:rPr>
          <w:rFonts w:hint="eastAsia"/>
          <w:szCs w:val="28"/>
          <w:lang w:eastAsia="zh-CN"/>
        </w:rPr>
        <w:t>）</w:t>
      </w:r>
      <w:r>
        <w:rPr>
          <w:rFonts w:hint="eastAsia"/>
          <w:szCs w:val="28"/>
        </w:rPr>
        <w:t>厂区引发局部</w:t>
      </w:r>
      <w:r>
        <w:rPr>
          <w:rFonts w:hint="eastAsia"/>
          <w:szCs w:val="28"/>
          <w:lang w:eastAsia="zh-CN"/>
        </w:rPr>
        <w:t>小型</w:t>
      </w:r>
      <w:r>
        <w:rPr>
          <w:rFonts w:hint="eastAsia"/>
          <w:szCs w:val="28"/>
        </w:rPr>
        <w:t>火灾，但采取内部的消防栓、灭火器可以控制火情，并且消防废水</w:t>
      </w:r>
      <w:r>
        <w:rPr>
          <w:rFonts w:hint="eastAsia"/>
          <w:szCs w:val="28"/>
          <w:lang w:eastAsia="zh-CN"/>
        </w:rPr>
        <w:t>、洗消废水</w:t>
      </w:r>
      <w:r>
        <w:rPr>
          <w:rFonts w:hint="eastAsia"/>
          <w:szCs w:val="28"/>
        </w:rPr>
        <w:t>截留在厂区内</w:t>
      </w:r>
      <w:r>
        <w:rPr>
          <w:rFonts w:hint="eastAsia"/>
          <w:szCs w:val="28"/>
          <w:lang w:eastAsia="zh-CN"/>
        </w:rPr>
        <w:t>。</w:t>
      </w:r>
    </w:p>
    <w:p>
      <w:pPr>
        <w:spacing w:line="360" w:lineRule="auto"/>
        <w:rPr>
          <w:b/>
        </w:rPr>
      </w:pPr>
      <w:r>
        <w:rPr>
          <w:b/>
        </w:rPr>
        <w:t>7.1.3  I级：</w:t>
      </w:r>
      <w:r>
        <w:rPr>
          <w:rFonts w:hint="eastAsia"/>
          <w:b/>
        </w:rPr>
        <w:t>社会级紧急状态</w:t>
      </w:r>
    </w:p>
    <w:p>
      <w:pPr>
        <w:widowControl/>
        <w:spacing w:line="360" w:lineRule="auto"/>
        <w:ind w:firstLine="552" w:firstLineChars="200"/>
        <w:jc w:val="left"/>
        <w:rPr>
          <w:rFonts w:hint="eastAsia"/>
          <w:szCs w:val="28"/>
        </w:rPr>
      </w:pPr>
      <w:r>
        <w:rPr>
          <w:rFonts w:hint="eastAsia"/>
          <w:szCs w:val="28"/>
        </w:rPr>
        <w:t>事故的有害影响在公司外，</w:t>
      </w:r>
      <w:r>
        <w:rPr>
          <w:rFonts w:hint="eastAsia"/>
          <w:szCs w:val="28"/>
          <w:lang w:eastAsia="zh-CN"/>
        </w:rPr>
        <w:t>可能引发或已经</w:t>
      </w:r>
      <w:r>
        <w:rPr>
          <w:szCs w:val="28"/>
        </w:rPr>
        <w:t>发生</w:t>
      </w:r>
      <w:r>
        <w:rPr>
          <w:rFonts w:hint="eastAsia"/>
          <w:szCs w:val="28"/>
        </w:rPr>
        <w:t>大面积的</w:t>
      </w:r>
      <w:r>
        <w:rPr>
          <w:szCs w:val="28"/>
        </w:rPr>
        <w:t>火灾爆炸事故，泄漏</w:t>
      </w:r>
      <w:r>
        <w:rPr>
          <w:rFonts w:hint="eastAsia"/>
          <w:szCs w:val="28"/>
          <w:lang w:eastAsia="zh-CN"/>
        </w:rPr>
        <w:t>物质</w:t>
      </w:r>
      <w:r>
        <w:rPr>
          <w:szCs w:val="28"/>
        </w:rPr>
        <w:t>已流入水域或扩散到周边社区、企业；造成的泄漏公司已无能力进行控制，</w:t>
      </w:r>
      <w:r>
        <w:rPr>
          <w:rFonts w:hint="eastAsia"/>
          <w:szCs w:val="28"/>
        </w:rPr>
        <w:t>对外环境造成了影响</w:t>
      </w:r>
      <w:r>
        <w:rPr>
          <w:szCs w:val="28"/>
        </w:rPr>
        <w:t>。启动一级应急响：由公司应急指挥小组总指挥执行；根据严重的程度，</w:t>
      </w:r>
      <w:r>
        <w:rPr>
          <w:rFonts w:hint="eastAsia"/>
          <w:szCs w:val="28"/>
        </w:rPr>
        <w:t>通知</w:t>
      </w:r>
      <w:r>
        <w:rPr>
          <w:rFonts w:hint="eastAsia"/>
          <w:szCs w:val="28"/>
          <w:lang w:eastAsia="zh-CN"/>
        </w:rPr>
        <w:t>民众镇</w:t>
      </w:r>
      <w:r>
        <w:rPr>
          <w:rFonts w:hint="eastAsia"/>
          <w:szCs w:val="28"/>
        </w:rPr>
        <w:t>有关</w:t>
      </w:r>
      <w:r>
        <w:rPr>
          <w:szCs w:val="28"/>
        </w:rPr>
        <w:t>部门</w:t>
      </w:r>
      <w:r>
        <w:rPr>
          <w:rFonts w:hint="eastAsia"/>
          <w:szCs w:val="28"/>
        </w:rPr>
        <w:t>，再由</w:t>
      </w:r>
      <w:r>
        <w:rPr>
          <w:rFonts w:hint="eastAsia"/>
          <w:szCs w:val="28"/>
          <w:lang w:eastAsia="zh-CN"/>
        </w:rPr>
        <w:t>民众镇</w:t>
      </w:r>
      <w:r>
        <w:rPr>
          <w:rFonts w:hint="eastAsia"/>
          <w:szCs w:val="28"/>
        </w:rPr>
        <w:t>有关</w:t>
      </w:r>
      <w:r>
        <w:rPr>
          <w:szCs w:val="28"/>
        </w:rPr>
        <w:t>部门</w:t>
      </w:r>
      <w:r>
        <w:rPr>
          <w:rFonts w:hint="eastAsia"/>
          <w:szCs w:val="28"/>
        </w:rPr>
        <w:t>通知中山市有关部门，由</w:t>
      </w:r>
      <w:r>
        <w:rPr>
          <w:rFonts w:hint="eastAsia"/>
          <w:szCs w:val="28"/>
          <w:lang w:eastAsia="zh-CN"/>
        </w:rPr>
        <w:t>民众镇</w:t>
      </w:r>
      <w:r>
        <w:rPr>
          <w:rFonts w:hint="eastAsia"/>
          <w:szCs w:val="28"/>
        </w:rPr>
        <w:t>政府领导和</w:t>
      </w:r>
      <w:r>
        <w:rPr>
          <w:szCs w:val="28"/>
        </w:rPr>
        <w:t>市领导决定</w:t>
      </w:r>
      <w:r>
        <w:rPr>
          <w:rFonts w:hint="eastAsia"/>
          <w:szCs w:val="28"/>
        </w:rPr>
        <w:t>是否</w:t>
      </w:r>
      <w:r>
        <w:rPr>
          <w:szCs w:val="28"/>
        </w:rPr>
        <w:t>启动</w:t>
      </w:r>
      <w:r>
        <w:rPr>
          <w:rFonts w:hint="eastAsia"/>
          <w:szCs w:val="28"/>
        </w:rPr>
        <w:t>《中山市突发环境事件应急预案》，</w:t>
      </w:r>
      <w:r>
        <w:rPr>
          <w:szCs w:val="28"/>
        </w:rPr>
        <w:t>并采取相应的应急措施。遇</w:t>
      </w:r>
      <w:r>
        <w:rPr>
          <w:rFonts w:hint="eastAsia"/>
          <w:szCs w:val="28"/>
          <w:lang w:eastAsia="zh-CN"/>
        </w:rPr>
        <w:t>民众镇</w:t>
      </w:r>
      <w:r>
        <w:rPr>
          <w:rFonts w:hint="eastAsia"/>
          <w:szCs w:val="28"/>
        </w:rPr>
        <w:t>、中山</w:t>
      </w:r>
      <w:r>
        <w:rPr>
          <w:szCs w:val="28"/>
        </w:rPr>
        <w:t>市成立</w:t>
      </w:r>
      <w:r>
        <w:rPr>
          <w:rFonts w:hint="eastAsia"/>
          <w:szCs w:val="28"/>
        </w:rPr>
        <w:t>的</w:t>
      </w:r>
      <w:r>
        <w:rPr>
          <w:szCs w:val="28"/>
        </w:rPr>
        <w:t>现场应急指挥部时，移交政府指挥部人员指挥并介绍事故情况和已采取的应急措施，配合协助应急指挥与处置。</w:t>
      </w:r>
    </w:p>
    <w:p>
      <w:pPr>
        <w:spacing w:line="360" w:lineRule="auto"/>
        <w:ind w:firstLine="552" w:firstLineChars="200"/>
        <w:rPr>
          <w:szCs w:val="28"/>
        </w:rPr>
      </w:pPr>
      <w:r>
        <w:rPr>
          <w:rFonts w:hint="eastAsia"/>
          <w:szCs w:val="28"/>
        </w:rPr>
        <w:t>（1）厂区内引发大型火灾，不能被厂区消防力量扑灭，必须依靠外部消防力量。</w:t>
      </w:r>
    </w:p>
    <w:p>
      <w:pPr>
        <w:spacing w:line="360" w:lineRule="auto"/>
        <w:ind w:firstLine="552" w:firstLineChars="200"/>
        <w:rPr>
          <w:szCs w:val="28"/>
        </w:rPr>
      </w:pPr>
      <w:r>
        <w:rPr>
          <w:rFonts w:hint="eastAsia"/>
          <w:szCs w:val="28"/>
        </w:rPr>
        <w:t>（2）生产废水</w:t>
      </w:r>
      <w:r>
        <w:rPr>
          <w:rFonts w:hint="eastAsia"/>
          <w:szCs w:val="28"/>
          <w:lang w:eastAsia="zh-CN"/>
        </w:rPr>
        <w:t>装卸过程，因操作失误排入纳污河涌</w:t>
      </w:r>
      <w:r>
        <w:rPr>
          <w:rFonts w:hint="eastAsia"/>
          <w:szCs w:val="28"/>
        </w:rPr>
        <w:t>。</w:t>
      </w:r>
    </w:p>
    <w:p>
      <w:pPr>
        <w:spacing w:line="360" w:lineRule="auto"/>
        <w:ind w:firstLine="552" w:firstLineChars="200"/>
        <w:rPr>
          <w:rFonts w:hint="eastAsia"/>
          <w:szCs w:val="28"/>
          <w:lang w:eastAsia="zh-CN"/>
        </w:rPr>
      </w:pPr>
      <w:r>
        <w:rPr>
          <w:rFonts w:hint="eastAsia"/>
          <w:szCs w:val="28"/>
        </w:rPr>
        <w:t>（3）废气处理设施设施设施失效，造成废气污染物未经有效处理大量排放，影响厂区周边大气环境</w:t>
      </w:r>
      <w:r>
        <w:rPr>
          <w:rFonts w:hint="eastAsia"/>
          <w:szCs w:val="28"/>
          <w:lang w:eastAsia="zh-CN"/>
        </w:rPr>
        <w:t>；</w:t>
      </w:r>
    </w:p>
    <w:p>
      <w:pPr>
        <w:spacing w:line="360" w:lineRule="auto"/>
        <w:ind w:firstLine="552" w:firstLineChars="200"/>
        <w:rPr>
          <w:rFonts w:hint="eastAsia"/>
          <w:szCs w:val="28"/>
          <w:lang w:eastAsia="zh-CN"/>
        </w:rPr>
      </w:pPr>
      <w:r>
        <w:rPr>
          <w:rFonts w:hint="eastAsia"/>
          <w:szCs w:val="28"/>
          <w:lang w:eastAsia="zh-CN"/>
        </w:rPr>
        <w:t>（</w:t>
      </w:r>
      <w:r>
        <w:rPr>
          <w:rFonts w:hint="eastAsia"/>
          <w:szCs w:val="28"/>
          <w:lang w:val="en-US" w:eastAsia="zh-CN"/>
        </w:rPr>
        <w:t>4</w:t>
      </w:r>
      <w:r>
        <w:rPr>
          <w:rFonts w:hint="eastAsia"/>
          <w:szCs w:val="28"/>
          <w:lang w:eastAsia="zh-CN"/>
        </w:rPr>
        <w:t>）厌氧储罐沼气集气囊、脱硫塔及沼气管道出现泄漏，影响厂区周边大气环境，可能导致其他区域材料起火或爆炸；</w:t>
      </w:r>
    </w:p>
    <w:p>
      <w:pPr>
        <w:spacing w:line="360" w:lineRule="auto"/>
        <w:ind w:firstLine="552" w:firstLineChars="200"/>
        <w:rPr>
          <w:rFonts w:hint="eastAsia" w:eastAsia="宋体"/>
          <w:szCs w:val="28"/>
          <w:lang w:val="en-US" w:eastAsia="zh-CN"/>
        </w:rPr>
      </w:pPr>
      <w:r>
        <w:rPr>
          <w:rFonts w:hint="eastAsia"/>
          <w:szCs w:val="28"/>
          <w:lang w:eastAsia="zh-CN"/>
        </w:rPr>
        <w:t>（</w:t>
      </w:r>
      <w:r>
        <w:rPr>
          <w:rFonts w:hint="eastAsia"/>
          <w:szCs w:val="28"/>
          <w:lang w:val="en-US" w:eastAsia="zh-CN"/>
        </w:rPr>
        <w:t>5</w:t>
      </w:r>
      <w:r>
        <w:rPr>
          <w:rFonts w:hint="eastAsia"/>
          <w:szCs w:val="28"/>
          <w:lang w:eastAsia="zh-CN"/>
        </w:rPr>
        <w:t>）</w:t>
      </w:r>
      <w:r>
        <w:rPr>
          <w:rFonts w:hint="eastAsia"/>
          <w:szCs w:val="28"/>
        </w:rPr>
        <w:t>消防废水外泄，可能污染周边水环境</w:t>
      </w:r>
      <w:r>
        <w:rPr>
          <w:rFonts w:hint="eastAsia"/>
          <w:szCs w:val="28"/>
          <w:lang w:val="en-US" w:eastAsia="zh-CN"/>
        </w:rPr>
        <w:t>.</w:t>
      </w:r>
    </w:p>
    <w:p>
      <w:pPr>
        <w:pStyle w:val="3"/>
      </w:pPr>
      <w:bookmarkStart w:id="250" w:name="_Toc19078"/>
      <w:bookmarkStart w:id="251" w:name="_Toc285462560"/>
      <w:bookmarkStart w:id="252" w:name="_Toc299086096"/>
      <w:bookmarkStart w:id="253" w:name="_Toc291422101"/>
      <w:bookmarkStart w:id="254" w:name="_Toc285461867"/>
      <w:bookmarkStart w:id="255" w:name="_Toc366597783"/>
      <w:bookmarkStart w:id="256" w:name="_Toc3366"/>
      <w:bookmarkStart w:id="257" w:name="_Toc21067"/>
      <w:bookmarkStart w:id="258" w:name="_Toc3413"/>
      <w:bookmarkStart w:id="259" w:name="_Toc285462098"/>
      <w:r>
        <w:t>7.2信息报告与处置</w:t>
      </w:r>
      <w:bookmarkEnd w:id="250"/>
      <w:bookmarkEnd w:id="251"/>
      <w:bookmarkEnd w:id="252"/>
      <w:bookmarkEnd w:id="253"/>
      <w:bookmarkEnd w:id="254"/>
      <w:bookmarkEnd w:id="255"/>
      <w:bookmarkEnd w:id="256"/>
      <w:bookmarkEnd w:id="257"/>
      <w:bookmarkEnd w:id="258"/>
      <w:bookmarkEnd w:id="259"/>
    </w:p>
    <w:p>
      <w:pPr>
        <w:spacing w:line="360" w:lineRule="auto"/>
        <w:ind w:firstLine="19" w:firstLineChars="7"/>
        <w:rPr>
          <w:b/>
        </w:rPr>
      </w:pPr>
      <w:bookmarkStart w:id="260" w:name="_Toc299615422"/>
      <w:bookmarkStart w:id="261" w:name="_Toc291422102"/>
      <w:bookmarkStart w:id="262" w:name="_Toc285462561"/>
      <w:bookmarkStart w:id="263" w:name="_Toc285462099"/>
      <w:bookmarkStart w:id="264" w:name="_Toc285461868"/>
      <w:bookmarkStart w:id="265" w:name="_Toc299086097"/>
      <w:r>
        <w:rPr>
          <w:b/>
        </w:rPr>
        <w:t>7.2.1信息报告与接警</w:t>
      </w:r>
      <w:bookmarkEnd w:id="260"/>
    </w:p>
    <w:p>
      <w:pPr>
        <w:widowControl/>
        <w:spacing w:line="360" w:lineRule="auto"/>
        <w:ind w:firstLine="552" w:firstLineChars="200"/>
        <w:jc w:val="left"/>
        <w:rPr>
          <w:szCs w:val="28"/>
          <w:highlight w:val="red"/>
        </w:rPr>
      </w:pPr>
      <w:r>
        <w:rPr>
          <w:szCs w:val="28"/>
        </w:rPr>
        <w:t>公司24小时应急值班室设在办公室，</w:t>
      </w:r>
      <w:r>
        <w:rPr>
          <w:rFonts w:hint="eastAsia"/>
          <w:szCs w:val="28"/>
        </w:rPr>
        <w:t>值班</w:t>
      </w:r>
      <w:r>
        <w:rPr>
          <w:szCs w:val="28"/>
        </w:rPr>
        <w:t>电话：</w:t>
      </w:r>
      <w:r>
        <w:rPr>
          <w:rFonts w:hint="eastAsia"/>
          <w:szCs w:val="28"/>
        </w:rPr>
        <w:t>0760-89926400</w:t>
      </w:r>
      <w:r>
        <w:rPr>
          <w:szCs w:val="28"/>
        </w:rPr>
        <w:t>，事故信息接收和通报程序：事故现场工作人员发现后，立即向现场负责人（班组长）报告，现场负责人接到报警后，根据事故发生地点、种类、强度和事故可能的危害通知本公司应急指挥部有关人员。接警人员在掌握基本情况后，立即通知应急总指挥，报告事故情况以及可能发生的应急响应级别。应急组织机构成员联系方式见表5-1。</w:t>
      </w:r>
    </w:p>
    <w:p>
      <w:pPr>
        <w:spacing w:line="360" w:lineRule="auto"/>
        <w:ind w:firstLine="552" w:firstLineChars="200"/>
        <w:rPr>
          <w:szCs w:val="28"/>
        </w:rPr>
      </w:pPr>
      <w:r>
        <w:rPr>
          <w:szCs w:val="28"/>
        </w:rPr>
        <w:t>事故发现人、事故现场负责人</w:t>
      </w:r>
      <w:r>
        <w:rPr>
          <w:rFonts w:hint="eastAsia"/>
          <w:szCs w:val="28"/>
          <w:lang w:eastAsia="zh-CN"/>
        </w:rPr>
        <w:t>、</w:t>
      </w:r>
      <w:r>
        <w:rPr>
          <w:szCs w:val="28"/>
        </w:rPr>
        <w:t>应急现场指挥部按预警级别按下图7-1逐级上报。紧急情况下，可越级报告，或拨打110或119，有人员受伤严重的拨打120。</w:t>
      </w:r>
    </w:p>
    <w:p>
      <w:pPr>
        <w:spacing w:line="360" w:lineRule="auto"/>
        <w:ind w:firstLine="552" w:firstLineChars="200"/>
        <w:rPr>
          <w:szCs w:val="28"/>
        </w:rPr>
      </w:pPr>
    </w:p>
    <w:p>
      <w:pPr>
        <w:spacing w:line="360" w:lineRule="auto"/>
        <w:jc w:val="center"/>
        <w:rPr>
          <w:szCs w:val="28"/>
        </w:rPr>
      </w:pPr>
      <w:r>
        <w:pict>
          <v:group id="_x0000_s8191" o:spid="_x0000_s8191" o:spt="203" style="height:387.95pt;width:333pt;" coordorigin="1620,1717" coordsize="6660,7758" editas="canvas">
            <o:lock v:ext="edit"/>
            <v:shape id="_x0000_s8192" o:spid="_x0000_s8192" o:spt="75" type="#_x0000_t75" style="position:absolute;left:1620;top:1717;height:7758;width:6660;" filled="f" stroked="t" coordsize="21600,21600">
              <v:fill on="f" focussize="0,0"/>
              <v:stroke color="#000000" joinstyle="miter"/>
              <v:imagedata o:title=""/>
              <o:lock v:ext="edit" rotation="t" text="t" aspectratio="t"/>
            </v:shape>
            <v:shape id="_x0000_s8193" o:spid="_x0000_s8193" o:spt="202" type="#_x0000_t202" style="position:absolute;left:4680;top:1873;height:624;width:1439;" fillcolor="#FFFFFF" filled="t" stroked="t" coordsize="21600,21600">
              <v:path/>
              <v:fill on="t" color2="#FFFFFF" focussize="0,0"/>
              <v:stroke color="#000000" joinstyle="miter"/>
              <v:imagedata o:title=""/>
              <o:lock v:ext="edit" aspectratio="f"/>
              <v:textbox>
                <w:txbxContent>
                  <w:p>
                    <w:pPr>
                      <w:spacing w:line="240" w:lineRule="auto"/>
                      <w:rPr>
                        <w:rFonts w:eastAsia="宋体"/>
                        <w:sz w:val="21"/>
                        <w:szCs w:val="21"/>
                      </w:rPr>
                    </w:pPr>
                    <w:r>
                      <w:rPr>
                        <w:rFonts w:hAnsi="宋体" w:eastAsia="宋体"/>
                        <w:sz w:val="21"/>
                        <w:szCs w:val="21"/>
                      </w:rPr>
                      <w:t>事故发现者</w:t>
                    </w:r>
                  </w:p>
                </w:txbxContent>
              </v:textbox>
            </v:shape>
            <v:line id="_x0000_s8194" o:spid="_x0000_s8194" o:spt="20" style="position:absolute;left:5400;top:2497;height:780;width:1;" filled="f" stroked="t" coordsize="21600,21600">
              <v:path arrowok="t"/>
              <v:fill on="f" focussize="0,0"/>
              <v:stroke color="#000000" endarrow="block"/>
              <v:imagedata o:title=""/>
              <o:lock v:ext="edit" aspectratio="f"/>
            </v:line>
            <v:shape id="_x0000_s8195" o:spid="_x0000_s8195" o:spt="202" type="#_x0000_t202" style="position:absolute;left:4680;top:3277;height:779;width:1620;" fillcolor="#FFFFFF" filled="t" stroked="t" coordsize="21600,21600">
              <v:path/>
              <v:fill on="t" color2="#FFFFFF" focussize="0,0"/>
              <v:stroke color="#000000" joinstyle="miter"/>
              <v:imagedata o:title=""/>
              <o:lock v:ext="edit" aspectratio="f"/>
              <v:textbox>
                <w:txbxContent>
                  <w:p>
                    <w:pPr>
                      <w:spacing w:line="240" w:lineRule="exact"/>
                      <w:jc w:val="center"/>
                      <w:rPr>
                        <w:rFonts w:hint="eastAsia" w:eastAsia="宋体"/>
                        <w:sz w:val="21"/>
                        <w:szCs w:val="21"/>
                      </w:rPr>
                    </w:pPr>
                    <w:r>
                      <w:rPr>
                        <w:rFonts w:hint="eastAsia" w:hAnsi="宋体" w:eastAsia="宋体"/>
                        <w:sz w:val="21"/>
                        <w:szCs w:val="21"/>
                      </w:rPr>
                      <w:t>事故现场负责人</w:t>
                    </w:r>
                  </w:p>
                </w:txbxContent>
              </v:textbox>
            </v:shape>
            <v:line id="_x0000_s8196" o:spid="_x0000_s8196" o:spt="20" style="position:absolute;left:5400;top:4057;height:780;width:1;" filled="f" stroked="t" coordsize="21600,21600">
              <v:path arrowok="t"/>
              <v:fill on="f" focussize="0,0"/>
              <v:stroke color="#000000" endarrow="block"/>
              <v:imagedata o:title=""/>
              <o:lock v:ext="edit" aspectratio="f"/>
            </v:line>
            <v:shape id="_x0000_s8197" o:spid="_x0000_s8197" o:spt="202" type="#_x0000_t202" style="position:absolute;left:4680;top:4837;height:467;width:1798;" fillcolor="#FFFFFF" filled="t" stroked="t" coordsize="21600,21600">
              <v:path/>
              <v:fill on="t" color2="#FFFFFF" focussize="0,0"/>
              <v:stroke color="#000000" joinstyle="miter"/>
              <v:imagedata o:title=""/>
              <o:lock v:ext="edit" aspectratio="f"/>
              <v:textbox>
                <w:txbxContent>
                  <w:p>
                    <w:pPr>
                      <w:spacing w:line="240" w:lineRule="exact"/>
                      <w:jc w:val="center"/>
                      <w:rPr>
                        <w:rFonts w:hint="eastAsia" w:eastAsia="宋体"/>
                        <w:sz w:val="21"/>
                        <w:szCs w:val="21"/>
                        <w:lang w:eastAsia="zh-CN"/>
                      </w:rPr>
                    </w:pPr>
                    <w:r>
                      <w:rPr>
                        <w:rFonts w:hint="eastAsia" w:hAnsi="宋体" w:eastAsia="宋体"/>
                        <w:sz w:val="21"/>
                        <w:szCs w:val="21"/>
                      </w:rPr>
                      <w:t>应急</w:t>
                    </w:r>
                    <w:r>
                      <w:rPr>
                        <w:rFonts w:hint="eastAsia" w:hAnsi="宋体"/>
                        <w:sz w:val="21"/>
                        <w:szCs w:val="21"/>
                        <w:lang w:eastAsia="zh-CN"/>
                      </w:rPr>
                      <w:t>指挥小组</w:t>
                    </w:r>
                  </w:p>
                </w:txbxContent>
              </v:textbox>
            </v:shape>
            <v:line id="_x0000_s8198" o:spid="_x0000_s8198" o:spt="20" style="position:absolute;left:3420;top:3745;flip:x;height:1;width:1260;" filled="f" stroked="t" coordsize="21600,21600">
              <v:path arrowok="t"/>
              <v:fill on="f" focussize="0,0"/>
              <v:stroke color="#000000" endarrow="block"/>
              <v:imagedata o:title=""/>
              <o:lock v:ext="edit" aspectratio="f"/>
            </v:line>
            <v:shape id="_x0000_s8199" o:spid="_x0000_s8199" o:spt="202" type="#_x0000_t202" style="position:absolute;left:1800;top:3433;height:468;width:1620;" fillcolor="#FFFFFF" filled="t" stroked="t" coordsize="21600,21600">
              <v:path/>
              <v:fill on="t" color2="#FFFFFF" focussize="0,0"/>
              <v:stroke color="#000000" joinstyle="miter"/>
              <v:imagedata o:title=""/>
              <o:lock v:ext="edit" aspectratio="f"/>
              <v:textbox>
                <w:txbxContent>
                  <w:p>
                    <w:pPr>
                      <w:spacing w:line="240" w:lineRule="exact"/>
                      <w:jc w:val="center"/>
                      <w:rPr>
                        <w:rFonts w:eastAsia="宋体"/>
                        <w:sz w:val="21"/>
                        <w:szCs w:val="21"/>
                      </w:rPr>
                    </w:pPr>
                    <w:r>
                      <w:rPr>
                        <w:rFonts w:hint="eastAsia" w:hAnsi="宋体" w:eastAsia="宋体"/>
                        <w:sz w:val="21"/>
                        <w:szCs w:val="21"/>
                      </w:rPr>
                      <w:t>110、120、119</w:t>
                    </w:r>
                  </w:p>
                </w:txbxContent>
              </v:textbox>
            </v:shape>
            <v:line id="_x0000_s8200" o:spid="_x0000_s8200" o:spt="20" style="position:absolute;left:2520;top:2185;height:1248;width:1;" filled="f" stroked="t" coordsize="21600,21600">
              <v:path arrowok="t"/>
              <v:fill on="f" focussize="0,0"/>
              <v:stroke color="#000000" endarrow="block"/>
              <v:imagedata o:title=""/>
              <o:lock v:ext="edit" aspectratio="f"/>
            </v:line>
            <v:line id="_x0000_s8201" o:spid="_x0000_s8201" o:spt="20" style="position:absolute;left:5400;top:5305;height:780;width:0;" filled="f" stroked="t" coordsize="21600,21600">
              <v:path arrowok="t"/>
              <v:fill on="f" focussize="0,0"/>
              <v:stroke color="#000000" endarrow="block"/>
              <v:imagedata o:title=""/>
              <o:lock v:ext="edit" aspectratio="f"/>
            </v:line>
            <v:shape id="_x0000_s8202" o:spid="_x0000_s8202" o:spt="202" type="#_x0000_t202" style="position:absolute;left:4680;top:6085;height:467;width:1800;" fillcolor="#FFFFFF" filled="t" stroked="t" coordsize="21600,21600">
              <v:path/>
              <v:fill on="t" color2="#FFFFFF" focussize="0,0"/>
              <v:stroke color="#000000" joinstyle="miter"/>
              <v:imagedata o:title=""/>
              <o:lock v:ext="edit" aspectratio="f"/>
              <v:textbox>
                <w:txbxContent>
                  <w:p>
                    <w:pPr>
                      <w:spacing w:line="240" w:lineRule="exact"/>
                      <w:jc w:val="center"/>
                      <w:rPr>
                        <w:rFonts w:hint="eastAsia" w:eastAsia="宋体"/>
                        <w:sz w:val="21"/>
                        <w:szCs w:val="21"/>
                      </w:rPr>
                    </w:pPr>
                    <w:r>
                      <w:rPr>
                        <w:rFonts w:hint="eastAsia" w:hAnsi="宋体" w:eastAsia="宋体"/>
                        <w:sz w:val="21"/>
                        <w:szCs w:val="21"/>
                      </w:rPr>
                      <w:t>应急指挥部</w:t>
                    </w:r>
                  </w:p>
                </w:txbxContent>
              </v:textbox>
            </v:shape>
            <v:line id="_x0000_s8203" o:spid="_x0000_s8203" o:spt="20" style="position:absolute;left:5400;top:6554;height:780;width:1;" filled="f" stroked="t" coordsize="21600,21600">
              <v:path arrowok="t"/>
              <v:fill on="f" focussize="0,0"/>
              <v:stroke color="#000000" endarrow="block"/>
              <v:imagedata o:title=""/>
              <o:lock v:ext="edit" aspectratio="f"/>
            </v:line>
            <v:shape id="_x0000_s8204" o:spid="_x0000_s8204" o:spt="202" type="#_x0000_t202" style="position:absolute;left:4605;top:7309;height:467;width:2160;" fillcolor="#FFFFFF" filled="t" stroked="t" coordsize="21600,21600">
              <v:path/>
              <v:fill on="t" color2="#FFFFFF" focussize="0,0"/>
              <v:stroke color="#000000" joinstyle="miter"/>
              <v:imagedata o:title=""/>
              <o:lock v:ext="edit" aspectratio="f"/>
              <v:textbox>
                <w:txbxContent>
                  <w:p>
                    <w:pPr>
                      <w:spacing w:line="240" w:lineRule="exact"/>
                      <w:jc w:val="center"/>
                      <w:rPr>
                        <w:rFonts w:hint="eastAsia" w:eastAsia="宋体"/>
                        <w:sz w:val="21"/>
                        <w:szCs w:val="21"/>
                      </w:rPr>
                    </w:pPr>
                    <w:r>
                      <w:rPr>
                        <w:rFonts w:hint="eastAsia" w:hAnsi="宋体"/>
                        <w:sz w:val="21"/>
                        <w:szCs w:val="21"/>
                        <w:lang w:eastAsia="zh-CN"/>
                      </w:rPr>
                      <w:t>民众镇</w:t>
                    </w:r>
                    <w:r>
                      <w:rPr>
                        <w:rFonts w:hint="eastAsia" w:hAnsi="宋体" w:eastAsia="宋体"/>
                        <w:sz w:val="21"/>
                        <w:szCs w:val="21"/>
                      </w:rPr>
                      <w:t>应急指挥部</w:t>
                    </w:r>
                  </w:p>
                </w:txbxContent>
              </v:textbox>
            </v:shape>
            <v:line id="_x0000_s8205" o:spid="_x0000_s8205" o:spt="20" style="position:absolute;left:2520;top:2185;flip:x;height:1;width:2160;" filled="f" stroked="t" coordsize="21600,21600">
              <v:path arrowok="t"/>
              <v:fill on="f" focussize="0,0"/>
              <v:stroke color="#000000"/>
              <v:imagedata o:title=""/>
              <o:lock v:ext="edit" aspectratio="f"/>
            </v:line>
            <v:line id="_x0000_s8206" o:spid="_x0000_s8206" o:spt="20" style="position:absolute;left:2520;top:5149;flip:x;height:1;width:2160;" filled="f" stroked="t" coordsize="21600,21600">
              <v:path arrowok="t"/>
              <v:fill on="f" focussize="0,0"/>
              <v:stroke color="#000000"/>
              <v:imagedata o:title=""/>
              <o:lock v:ext="edit" aspectratio="f"/>
            </v:line>
            <v:line id="_x0000_s8207" o:spid="_x0000_s8207" o:spt="20" style="position:absolute;left:2520;top:3901;flip:y;height:1248;width:1;" filled="f" stroked="t" coordsize="21600,21600">
              <v:path arrowok="t"/>
              <v:fill on="f" focussize="0,0"/>
              <v:stroke color="#000000" endarrow="block"/>
              <v:imagedata o:title=""/>
              <o:lock v:ext="edit" aspectratio="f"/>
            </v:line>
            <v:line id="_x0000_s8208" o:spid="_x0000_s8208" o:spt="20" style="position:absolute;left:6120;top:2185;height:0;width:900;" filled="f" stroked="t" coordsize="21600,21600">
              <v:path arrowok="t"/>
              <v:fill on="f" focussize="0,0"/>
              <v:stroke color="#000000"/>
              <v:imagedata o:title=""/>
              <o:lock v:ext="edit" aspectratio="f"/>
            </v:line>
            <v:line id="_x0000_s8209" o:spid="_x0000_s8209" o:spt="20" style="position:absolute;left:7020;top:2185;height:2808;width:1;" filled="f" stroked="t" coordsize="21600,21600">
              <v:path arrowok="t"/>
              <v:fill on="f" focussize="0,0"/>
              <v:stroke color="#000000"/>
              <v:imagedata o:title=""/>
              <o:lock v:ext="edit" aspectratio="f"/>
            </v:line>
            <v:line id="_x0000_s8210" o:spid="_x0000_s8210" o:spt="20" style="position:absolute;left:6480;top:4993;flip:x;height:0;width:540;" filled="f" stroked="t" coordsize="21600,21600">
              <v:path arrowok="t"/>
              <v:fill on="f" focussize="0,0"/>
              <v:stroke color="#000000" endarrow="block"/>
              <v:imagedata o:title=""/>
              <o:lock v:ext="edit" aspectratio="f"/>
            </v:line>
            <v:shape id="_x0000_s8211" o:spid="_x0000_s8211" o:spt="202" type="#_x0000_t202" style="position:absolute;left:3060;top:1873;height:688;width:1439;" fillcolor="#FFFFFF" filled="t" stroked="f" coordsize="21600,21600">
              <v:path/>
              <v:fill on="t" color2="#FFFFFF" opacity="0f" focussize="0,0"/>
              <v:stroke on="f"/>
              <v:imagedata o:title=""/>
              <o:lock v:ext="edit" aspectratio="f"/>
              <v:textbox>
                <w:txbxContent>
                  <w:p>
                    <w:pPr>
                      <w:spacing w:line="240" w:lineRule="exact"/>
                      <w:rPr>
                        <w:rFonts w:hint="eastAsia" w:eastAsia="宋体"/>
                        <w:sz w:val="21"/>
                        <w:szCs w:val="21"/>
                      </w:rPr>
                    </w:pPr>
                    <w:r>
                      <w:rPr>
                        <w:rFonts w:hint="eastAsia" w:hAnsi="宋体" w:eastAsia="宋体"/>
                        <w:sz w:val="21"/>
                        <w:szCs w:val="21"/>
                      </w:rPr>
                      <w:t>根据事故严重程度</w:t>
                    </w:r>
                  </w:p>
                </w:txbxContent>
              </v:textbox>
            </v:shape>
            <v:shape id="_x0000_s8212" o:spid="_x0000_s8212" o:spt="202" type="#_x0000_t202" style="position:absolute;left:3113;top:4848;height:688;width:1439;" fillcolor="#FFFFFF" filled="t" stroked="f" coordsize="21600,21600">
              <v:path/>
              <v:fill on="t" color2="#FFFFFF" opacity="0f" focussize="0,0"/>
              <v:stroke on="f"/>
              <v:imagedata o:title=""/>
              <o:lock v:ext="edit" aspectratio="f"/>
              <v:textbox>
                <w:txbxContent>
                  <w:p>
                    <w:pPr>
                      <w:spacing w:line="240" w:lineRule="exact"/>
                      <w:rPr>
                        <w:rFonts w:hint="eastAsia" w:eastAsia="宋体"/>
                        <w:sz w:val="21"/>
                        <w:szCs w:val="21"/>
                      </w:rPr>
                    </w:pPr>
                    <w:r>
                      <w:rPr>
                        <w:rFonts w:hint="eastAsia" w:hAnsi="宋体" w:eastAsia="宋体"/>
                        <w:sz w:val="21"/>
                        <w:szCs w:val="21"/>
                      </w:rPr>
                      <w:t>根据事故严重程度</w:t>
                    </w:r>
                  </w:p>
                </w:txbxContent>
              </v:textbox>
            </v:shape>
            <v:shape id="_x0000_s8213" o:spid="_x0000_s8213" o:spt="202" type="#_x0000_t202" style="position:absolute;left:3417;top:3475;height:688;width:1439;" fillcolor="#FFFFFF" filled="t" stroked="f" coordsize="21600,21600">
              <v:path/>
              <v:fill on="t" color2="#FFFFFF" opacity="0f" focussize="0,0"/>
              <v:stroke on="f"/>
              <v:imagedata o:title=""/>
              <o:lock v:ext="edit" aspectratio="f"/>
              <v:textbox>
                <w:txbxContent>
                  <w:p>
                    <w:pPr>
                      <w:spacing w:line="240" w:lineRule="exact"/>
                      <w:rPr>
                        <w:rFonts w:hint="eastAsia" w:eastAsia="宋体"/>
                        <w:sz w:val="21"/>
                        <w:szCs w:val="21"/>
                      </w:rPr>
                    </w:pPr>
                    <w:r>
                      <w:rPr>
                        <w:rFonts w:hint="eastAsia" w:hAnsi="宋体" w:eastAsia="宋体"/>
                        <w:sz w:val="21"/>
                        <w:szCs w:val="21"/>
                      </w:rPr>
                      <w:t>根据事故严重程度</w:t>
                    </w:r>
                  </w:p>
                </w:txbxContent>
              </v:textbox>
            </v:shape>
            <v:shape id="_x0000_s8214" o:spid="_x0000_s8214" o:spt="202" type="#_x0000_t202" style="position:absolute;left:4635;top:8461;height:467;width:2160;" fillcolor="#FFFFFF" filled="t" stroked="t" coordsize="21600,21600">
              <v:path/>
              <v:fill on="t" color2="#FFFFFF" focussize="0,0"/>
              <v:stroke color="#000000" joinstyle="miter"/>
              <v:imagedata o:title=""/>
              <o:lock v:ext="edit" aspectratio="f"/>
              <v:textbox>
                <w:txbxContent>
                  <w:p>
                    <w:pPr>
                      <w:spacing w:line="240" w:lineRule="exact"/>
                      <w:jc w:val="center"/>
                      <w:rPr>
                        <w:rFonts w:hint="eastAsia" w:eastAsia="宋体"/>
                        <w:sz w:val="21"/>
                        <w:szCs w:val="21"/>
                      </w:rPr>
                    </w:pPr>
                    <w:r>
                      <w:rPr>
                        <w:rFonts w:hint="eastAsia" w:hAnsi="宋体" w:eastAsia="宋体"/>
                        <w:sz w:val="21"/>
                        <w:szCs w:val="21"/>
                      </w:rPr>
                      <w:t>市应急指挥部</w:t>
                    </w:r>
                  </w:p>
                </w:txbxContent>
              </v:textbox>
            </v:shape>
            <v:line id="_x0000_s8215" o:spid="_x0000_s8215" o:spt="20" style="position:absolute;left:5430;top:7821;height:625;width:1;" filled="f" stroked="t" coordsize="21600,21600">
              <v:path arrowok="t"/>
              <v:fill on="f" focussize="0,0"/>
              <v:stroke color="#000000" endarrow="block"/>
              <v:imagedata o:title=""/>
              <o:lock v:ext="edit" aspectratio="f"/>
            </v:line>
            <w10:wrap type="none"/>
            <w10:anchorlock/>
          </v:group>
        </w:pict>
      </w:r>
    </w:p>
    <w:p>
      <w:pPr>
        <w:spacing w:line="360" w:lineRule="auto"/>
        <w:jc w:val="center"/>
        <w:rPr>
          <w:b/>
          <w:sz w:val="24"/>
        </w:rPr>
      </w:pPr>
      <w:r>
        <w:rPr>
          <w:b/>
          <w:sz w:val="24"/>
        </w:rPr>
        <w:t>图7-1 信息报告流程图</w:t>
      </w:r>
    </w:p>
    <w:p>
      <w:pPr>
        <w:spacing w:line="360" w:lineRule="auto"/>
        <w:ind w:firstLine="562"/>
        <w:jc w:val="center"/>
        <w:rPr>
          <w:b/>
          <w:sz w:val="24"/>
        </w:rPr>
      </w:pPr>
    </w:p>
    <w:p>
      <w:pPr>
        <w:spacing w:line="360" w:lineRule="auto"/>
        <w:ind w:firstLine="19" w:firstLineChars="7"/>
        <w:rPr>
          <w:b/>
        </w:rPr>
      </w:pPr>
      <w:bookmarkStart w:id="266" w:name="_Toc299615423"/>
      <w:r>
        <w:rPr>
          <w:b/>
        </w:rPr>
        <w:t>7.2.2信息上报与通报</w:t>
      </w:r>
      <w:bookmarkEnd w:id="266"/>
    </w:p>
    <w:p>
      <w:pPr>
        <w:spacing w:line="360" w:lineRule="auto"/>
        <w:ind w:firstLine="555"/>
        <w:rPr>
          <w:szCs w:val="28"/>
        </w:rPr>
      </w:pPr>
      <w:r>
        <w:rPr>
          <w:szCs w:val="28"/>
        </w:rPr>
        <w:t>事故现场发现人第一时间向事故现场负责人报告，或根据事故严重程度直接拨打110、119等应急救援电话。</w:t>
      </w:r>
    </w:p>
    <w:p>
      <w:pPr>
        <w:spacing w:line="360" w:lineRule="auto"/>
        <w:ind w:firstLine="555"/>
        <w:rPr>
          <w:rFonts w:hint="eastAsia"/>
          <w:szCs w:val="28"/>
        </w:rPr>
      </w:pPr>
      <w:r>
        <w:rPr>
          <w:rFonts w:hint="eastAsia"/>
          <w:szCs w:val="28"/>
        </w:rPr>
        <w:t>现场负责人、应急指挥</w:t>
      </w:r>
      <w:r>
        <w:rPr>
          <w:rFonts w:hint="eastAsia"/>
          <w:szCs w:val="28"/>
          <w:lang w:eastAsia="zh-CN"/>
        </w:rPr>
        <w:t>小组</w:t>
      </w:r>
      <w:r>
        <w:rPr>
          <w:rFonts w:hint="eastAsia"/>
          <w:szCs w:val="28"/>
        </w:rPr>
        <w:t>接到报告后，应当按照事故情况启动现场处置方案、公司应急预案，现场指挥</w:t>
      </w:r>
      <w:r>
        <w:rPr>
          <w:rFonts w:hint="eastAsia"/>
          <w:szCs w:val="28"/>
          <w:lang w:eastAsia="zh-CN"/>
        </w:rPr>
        <w:t>小组</w:t>
      </w:r>
      <w:r>
        <w:rPr>
          <w:rFonts w:hint="eastAsia"/>
          <w:szCs w:val="28"/>
        </w:rPr>
        <w:t>应10分钟内向公司应急总指挥部报告，事故应急总指挥部向</w:t>
      </w:r>
      <w:r>
        <w:rPr>
          <w:rFonts w:hint="eastAsia"/>
          <w:szCs w:val="28"/>
          <w:lang w:eastAsia="zh-CN"/>
        </w:rPr>
        <w:t>民众镇</w:t>
      </w:r>
      <w:r>
        <w:rPr>
          <w:rFonts w:hint="eastAsia"/>
          <w:szCs w:val="28"/>
        </w:rPr>
        <w:t>、市应急部门报告，建立企业、</w:t>
      </w:r>
      <w:r>
        <w:rPr>
          <w:rFonts w:hint="eastAsia"/>
          <w:szCs w:val="28"/>
          <w:lang w:eastAsia="zh-CN"/>
        </w:rPr>
        <w:t>民众镇</w:t>
      </w:r>
      <w:r>
        <w:rPr>
          <w:rFonts w:hint="eastAsia"/>
          <w:szCs w:val="28"/>
        </w:rPr>
        <w:t>和市区</w:t>
      </w:r>
      <w:r>
        <w:rPr>
          <w:rFonts w:hint="eastAsia"/>
          <w:szCs w:val="28"/>
          <w:lang w:eastAsia="zh-CN"/>
        </w:rPr>
        <w:t>多</w:t>
      </w:r>
      <w:r>
        <w:rPr>
          <w:rFonts w:hint="eastAsia"/>
          <w:szCs w:val="28"/>
        </w:rPr>
        <w:t>级事故联防体系，提高事故应急能力。</w:t>
      </w:r>
    </w:p>
    <w:p>
      <w:pPr>
        <w:spacing w:line="360" w:lineRule="auto"/>
        <w:ind w:firstLine="555"/>
        <w:rPr>
          <w:rFonts w:hint="eastAsia"/>
          <w:szCs w:val="28"/>
        </w:rPr>
      </w:pPr>
    </w:p>
    <w:p>
      <w:pPr>
        <w:spacing w:line="360" w:lineRule="auto"/>
        <w:ind w:firstLine="555"/>
        <w:rPr>
          <w:rFonts w:hint="eastAsia"/>
          <w:szCs w:val="28"/>
        </w:rPr>
      </w:pPr>
    </w:p>
    <w:p>
      <w:pPr>
        <w:spacing w:line="360" w:lineRule="auto"/>
        <w:ind w:firstLine="555"/>
        <w:rPr>
          <w:rFonts w:hint="eastAsia"/>
          <w:szCs w:val="28"/>
        </w:rPr>
      </w:pPr>
      <w:r>
        <w:rPr>
          <w:rFonts w:hint="eastAsia"/>
          <w:szCs w:val="28"/>
        </w:rPr>
        <w:t>事故报告应当包括以下内容：</w:t>
      </w:r>
    </w:p>
    <w:p>
      <w:pPr>
        <w:spacing w:line="360" w:lineRule="auto"/>
        <w:ind w:firstLine="555"/>
        <w:rPr>
          <w:rFonts w:hint="eastAsia"/>
          <w:szCs w:val="28"/>
        </w:rPr>
      </w:pPr>
      <w:r>
        <w:rPr>
          <w:rFonts w:hint="eastAsia"/>
          <w:szCs w:val="28"/>
        </w:rPr>
        <w:t>（1）事故发生单位概况；</w:t>
      </w:r>
    </w:p>
    <w:p>
      <w:pPr>
        <w:spacing w:line="360" w:lineRule="auto"/>
        <w:ind w:firstLine="555"/>
        <w:rPr>
          <w:rFonts w:hint="eastAsia"/>
          <w:szCs w:val="28"/>
        </w:rPr>
      </w:pPr>
      <w:r>
        <w:rPr>
          <w:rFonts w:hint="eastAsia"/>
          <w:szCs w:val="28"/>
        </w:rPr>
        <w:t>（2）事故发生的时间、地点以及事故现场情况；</w:t>
      </w:r>
    </w:p>
    <w:p>
      <w:pPr>
        <w:spacing w:line="360" w:lineRule="auto"/>
        <w:ind w:firstLine="555"/>
        <w:rPr>
          <w:rFonts w:hint="eastAsia"/>
          <w:szCs w:val="28"/>
        </w:rPr>
      </w:pPr>
      <w:r>
        <w:rPr>
          <w:rFonts w:hint="eastAsia"/>
          <w:szCs w:val="28"/>
        </w:rPr>
        <w:t>（3）事故的简要经过；</w:t>
      </w:r>
    </w:p>
    <w:p>
      <w:pPr>
        <w:spacing w:line="360" w:lineRule="auto"/>
        <w:ind w:firstLine="555"/>
        <w:rPr>
          <w:rFonts w:hint="eastAsia"/>
          <w:szCs w:val="28"/>
        </w:rPr>
      </w:pPr>
      <w:r>
        <w:rPr>
          <w:rFonts w:hint="eastAsia"/>
          <w:szCs w:val="28"/>
        </w:rPr>
        <w:t>（4）事故已经造成或者可能造成的伤亡和初步估计的</w:t>
      </w:r>
      <w:r>
        <w:rPr>
          <w:rFonts w:hint="eastAsia"/>
          <w:szCs w:val="28"/>
          <w:lang w:eastAsia="zh-CN"/>
        </w:rPr>
        <w:t>污染物扩散情况</w:t>
      </w:r>
      <w:r>
        <w:rPr>
          <w:rFonts w:hint="eastAsia"/>
          <w:szCs w:val="28"/>
        </w:rPr>
        <w:t>；</w:t>
      </w:r>
    </w:p>
    <w:p>
      <w:pPr>
        <w:spacing w:line="360" w:lineRule="auto"/>
        <w:ind w:firstLine="555"/>
        <w:rPr>
          <w:rFonts w:hint="eastAsia"/>
          <w:szCs w:val="28"/>
        </w:rPr>
      </w:pPr>
      <w:r>
        <w:rPr>
          <w:rFonts w:hint="eastAsia"/>
          <w:szCs w:val="28"/>
        </w:rPr>
        <w:t>（5）已经采取的措施；</w:t>
      </w:r>
    </w:p>
    <w:p>
      <w:pPr>
        <w:spacing w:line="360" w:lineRule="auto"/>
        <w:ind w:firstLine="555"/>
        <w:rPr>
          <w:rFonts w:hint="eastAsia"/>
          <w:szCs w:val="28"/>
        </w:rPr>
      </w:pPr>
      <w:r>
        <w:rPr>
          <w:rFonts w:hint="eastAsia"/>
          <w:szCs w:val="28"/>
        </w:rPr>
        <w:t>（6）其他应当报告的情况。</w:t>
      </w:r>
    </w:p>
    <w:p>
      <w:pPr>
        <w:spacing w:line="360" w:lineRule="auto"/>
        <w:ind w:firstLine="555"/>
        <w:rPr>
          <w:rFonts w:hint="eastAsia"/>
          <w:szCs w:val="28"/>
        </w:rPr>
      </w:pPr>
      <w:r>
        <w:rPr>
          <w:rFonts w:hint="eastAsia"/>
          <w:szCs w:val="28"/>
        </w:rPr>
        <w:t>情况紧急时，事故现场有关人员可以直接向</w:t>
      </w:r>
      <w:r>
        <w:rPr>
          <w:rFonts w:hint="eastAsia"/>
          <w:szCs w:val="28"/>
          <w:lang w:eastAsia="zh-CN"/>
        </w:rPr>
        <w:t>民众镇生态环境分局</w:t>
      </w:r>
      <w:r>
        <w:rPr>
          <w:rFonts w:hint="eastAsia"/>
          <w:szCs w:val="28"/>
        </w:rPr>
        <w:t>和</w:t>
      </w:r>
      <w:r>
        <w:rPr>
          <w:rFonts w:hint="eastAsia"/>
          <w:szCs w:val="28"/>
          <w:lang w:eastAsia="zh-CN"/>
        </w:rPr>
        <w:t>民众镇</w:t>
      </w:r>
      <w:r>
        <w:rPr>
          <w:rFonts w:hint="eastAsia"/>
          <w:szCs w:val="28"/>
        </w:rPr>
        <w:t>应急部门报告。</w:t>
      </w:r>
    </w:p>
    <w:p>
      <w:pPr>
        <w:spacing w:line="360" w:lineRule="auto"/>
        <w:ind w:firstLine="555"/>
        <w:rPr>
          <w:rFonts w:hint="eastAsia"/>
          <w:szCs w:val="28"/>
        </w:rPr>
      </w:pPr>
      <w:r>
        <w:rPr>
          <w:rFonts w:hint="eastAsia"/>
          <w:szCs w:val="28"/>
        </w:rPr>
        <w:t>信息报告形式分为事故快报和正式书面事故报告：</w:t>
      </w:r>
    </w:p>
    <w:p>
      <w:pPr>
        <w:spacing w:line="360" w:lineRule="auto"/>
        <w:ind w:firstLine="555"/>
        <w:rPr>
          <w:rFonts w:hint="eastAsia"/>
          <w:b/>
          <w:bCs/>
          <w:szCs w:val="28"/>
        </w:rPr>
      </w:pPr>
      <w:r>
        <w:rPr>
          <w:rFonts w:hint="eastAsia"/>
          <w:b/>
          <w:bCs/>
          <w:szCs w:val="28"/>
        </w:rPr>
        <w:t>一、事故快报（包括电话快报和书面快报）</w:t>
      </w:r>
    </w:p>
    <w:p>
      <w:pPr>
        <w:spacing w:line="360" w:lineRule="auto"/>
        <w:ind w:firstLine="555"/>
        <w:rPr>
          <w:rFonts w:hint="eastAsia"/>
          <w:szCs w:val="28"/>
        </w:rPr>
      </w:pPr>
      <w:r>
        <w:rPr>
          <w:rFonts w:hint="eastAsia"/>
          <w:szCs w:val="28"/>
        </w:rPr>
        <w:t>（1）电话快报：经总指挥确认后，</w:t>
      </w:r>
      <w:r>
        <w:rPr>
          <w:rFonts w:hint="eastAsia"/>
          <w:szCs w:val="28"/>
          <w:lang w:eastAsia="zh-CN"/>
        </w:rPr>
        <w:t>信息传输组</w:t>
      </w:r>
      <w:r>
        <w:rPr>
          <w:rFonts w:hint="eastAsia"/>
          <w:szCs w:val="28"/>
        </w:rPr>
        <w:t>立即通过电话报</w:t>
      </w:r>
      <w:r>
        <w:rPr>
          <w:rFonts w:hint="eastAsia"/>
          <w:szCs w:val="28"/>
          <w:lang w:eastAsia="zh-CN"/>
        </w:rPr>
        <w:t>民众镇生态环境分局</w:t>
      </w:r>
      <w:r>
        <w:rPr>
          <w:rFonts w:hint="eastAsia"/>
          <w:szCs w:val="28"/>
        </w:rPr>
        <w:t>和</w:t>
      </w:r>
      <w:r>
        <w:rPr>
          <w:rFonts w:hint="eastAsia"/>
          <w:szCs w:val="28"/>
          <w:lang w:eastAsia="zh-CN"/>
        </w:rPr>
        <w:t>民众镇</w:t>
      </w:r>
      <w:r>
        <w:rPr>
          <w:rFonts w:hint="eastAsia"/>
          <w:szCs w:val="28"/>
        </w:rPr>
        <w:t>应急部门。</w:t>
      </w:r>
    </w:p>
    <w:p>
      <w:pPr>
        <w:spacing w:line="360" w:lineRule="auto"/>
        <w:ind w:firstLine="555"/>
        <w:rPr>
          <w:rFonts w:hint="eastAsia"/>
          <w:szCs w:val="28"/>
        </w:rPr>
      </w:pPr>
      <w:r>
        <w:rPr>
          <w:rFonts w:hint="eastAsia"/>
          <w:szCs w:val="28"/>
        </w:rPr>
        <w:t>（2）书面快报：报告完毕后，指挥部在半小时内填写事故快报表，报</w:t>
      </w:r>
      <w:r>
        <w:rPr>
          <w:rFonts w:hint="eastAsia"/>
          <w:szCs w:val="28"/>
          <w:lang w:eastAsia="zh-CN"/>
        </w:rPr>
        <w:t>民众镇生态环境分局</w:t>
      </w:r>
      <w:r>
        <w:rPr>
          <w:rFonts w:hint="eastAsia"/>
          <w:szCs w:val="28"/>
        </w:rPr>
        <w:t>和</w:t>
      </w:r>
      <w:r>
        <w:rPr>
          <w:rFonts w:hint="eastAsia"/>
          <w:szCs w:val="28"/>
          <w:lang w:eastAsia="zh-CN"/>
        </w:rPr>
        <w:t>民众镇</w:t>
      </w:r>
      <w:r>
        <w:rPr>
          <w:rFonts w:hint="eastAsia"/>
          <w:szCs w:val="28"/>
        </w:rPr>
        <w:t>应急部门。</w:t>
      </w:r>
    </w:p>
    <w:p>
      <w:pPr>
        <w:spacing w:line="360" w:lineRule="auto"/>
        <w:ind w:firstLine="555"/>
        <w:rPr>
          <w:rFonts w:hint="eastAsia"/>
          <w:szCs w:val="28"/>
        </w:rPr>
      </w:pPr>
      <w:r>
        <w:rPr>
          <w:rFonts w:hint="eastAsia"/>
          <w:szCs w:val="28"/>
        </w:rPr>
        <w:t>二、正式书面事故报告</w:t>
      </w:r>
    </w:p>
    <w:p>
      <w:pPr>
        <w:spacing w:line="360" w:lineRule="auto"/>
        <w:ind w:firstLine="555"/>
        <w:rPr>
          <w:szCs w:val="28"/>
        </w:rPr>
      </w:pPr>
      <w:r>
        <w:rPr>
          <w:rFonts w:hint="eastAsia"/>
          <w:szCs w:val="28"/>
        </w:rPr>
        <w:t>指挥部应尽快行文，经总指挥确认后报</w:t>
      </w:r>
      <w:r>
        <w:rPr>
          <w:rFonts w:hint="eastAsia"/>
          <w:szCs w:val="28"/>
          <w:lang w:eastAsia="zh-CN"/>
        </w:rPr>
        <w:t>民众镇生态环境分局</w:t>
      </w:r>
      <w:r>
        <w:rPr>
          <w:rFonts w:hint="eastAsia"/>
          <w:szCs w:val="28"/>
        </w:rPr>
        <w:t>和</w:t>
      </w:r>
      <w:r>
        <w:rPr>
          <w:rFonts w:hint="eastAsia"/>
          <w:szCs w:val="28"/>
          <w:lang w:eastAsia="zh-CN"/>
        </w:rPr>
        <w:t>民众镇</w:t>
      </w:r>
      <w:r>
        <w:rPr>
          <w:rFonts w:hint="eastAsia"/>
          <w:szCs w:val="28"/>
        </w:rPr>
        <w:t>应急部门</w:t>
      </w:r>
      <w:r>
        <w:rPr>
          <w:szCs w:val="28"/>
        </w:rPr>
        <w:t>。</w:t>
      </w:r>
    </w:p>
    <w:p>
      <w:pPr>
        <w:spacing w:line="360" w:lineRule="auto"/>
        <w:ind w:firstLine="19" w:firstLineChars="7"/>
        <w:rPr>
          <w:b/>
        </w:rPr>
      </w:pPr>
      <w:r>
        <w:rPr>
          <w:b/>
        </w:rPr>
        <w:t>7.2.3信息传递</w:t>
      </w:r>
    </w:p>
    <w:p>
      <w:pPr>
        <w:spacing w:line="360" w:lineRule="auto"/>
        <w:ind w:firstLine="552" w:firstLineChars="200"/>
        <w:rPr>
          <w:szCs w:val="28"/>
        </w:rPr>
      </w:pPr>
      <w:r>
        <w:rPr>
          <w:szCs w:val="28"/>
        </w:rPr>
        <w:t>事故发生后，现场负责人通过电话快速报告给各级应急组织负责人。当发生的事故可能波及公司外围时，由应急指挥部通过电话、人员信息传递等通讯手段，迅速向周边企业、单位、居民通报事故简况。在发布信息时，必须发布事态的紧急程度，提出撤离的具体方法。撤离方法中应明确采取的预防措施、注意事项、撤离方向和撤离距离。周边企业、单位、居民点联系方式见</w:t>
      </w:r>
      <w:r>
        <w:rPr>
          <w:rFonts w:hint="eastAsia"/>
          <w:szCs w:val="28"/>
          <w:lang w:eastAsia="zh-CN"/>
        </w:rPr>
        <w:t>附</w:t>
      </w:r>
      <w:r>
        <w:rPr>
          <w:szCs w:val="28"/>
        </w:rPr>
        <w:t>表。</w:t>
      </w:r>
    </w:p>
    <w:p>
      <w:pPr>
        <w:spacing w:line="360" w:lineRule="auto"/>
        <w:ind w:firstLine="552" w:firstLineChars="200"/>
        <w:rPr>
          <w:szCs w:val="28"/>
        </w:rPr>
      </w:pPr>
    </w:p>
    <w:p>
      <w:pPr>
        <w:spacing w:line="360" w:lineRule="auto"/>
        <w:ind w:firstLine="19" w:firstLineChars="7"/>
        <w:rPr>
          <w:b/>
        </w:rPr>
      </w:pPr>
      <w:r>
        <w:rPr>
          <w:b/>
        </w:rPr>
        <w:t>7.2.4事件报告内容</w:t>
      </w:r>
    </w:p>
    <w:p>
      <w:pPr>
        <w:spacing w:line="360" w:lineRule="auto"/>
        <w:ind w:firstLine="552" w:firstLineChars="200"/>
        <w:rPr>
          <w:szCs w:val="28"/>
        </w:rPr>
      </w:pPr>
      <w:r>
        <w:rPr>
          <w:szCs w:val="28"/>
        </w:rPr>
        <w:t>突发环境事件的报告分为初报、续报和处理结果报告三类。初报从发现事件后起1小时内上报；续报在查清有关基本情况后随时上报；处理结果报告在事件处理完毕后立即上报。</w:t>
      </w:r>
    </w:p>
    <w:p>
      <w:pPr>
        <w:spacing w:line="360" w:lineRule="auto"/>
        <w:ind w:firstLine="552" w:firstLineChars="200"/>
        <w:rPr>
          <w:szCs w:val="28"/>
        </w:rPr>
      </w:pPr>
      <w:r>
        <w:rPr>
          <w:szCs w:val="28"/>
        </w:rPr>
        <w:t>初报可用电话直接报告，主要内容包括：环境事件的类型、发生时间、地点、污染源、主要污染物质、人员受害情况、事件潜在的危害程度、转化方式趋向等初步情况。</w:t>
      </w:r>
    </w:p>
    <w:p>
      <w:pPr>
        <w:spacing w:line="360" w:lineRule="auto"/>
        <w:ind w:firstLine="552" w:firstLineChars="200"/>
        <w:rPr>
          <w:szCs w:val="28"/>
        </w:rPr>
      </w:pPr>
      <w:r>
        <w:rPr>
          <w:szCs w:val="28"/>
        </w:rPr>
        <w:t>续报可通过网络或书面报告，在初报的基础上报告有关确切数据，事件发生的原因、过程、进展情况及采取的应急措施等基本情况。</w:t>
      </w:r>
    </w:p>
    <w:p>
      <w:pPr>
        <w:spacing w:line="360" w:lineRule="auto"/>
        <w:ind w:firstLine="552" w:firstLineChars="200"/>
        <w:rPr>
          <w:szCs w:val="28"/>
        </w:rPr>
      </w:pPr>
      <w:r>
        <w:rPr>
          <w:szCs w:val="28"/>
        </w:rPr>
        <w:t>处理结果报告采用书面报告，处理结果报告在初报和续报的基础上，报告处理事件的措施、过程和结果，事件潜在或间接的危害、社会影响、处理后的遗留问题，参加处理工作的有关部门和工作内容，出具有关危害与损失的证明文件等详细情况。</w:t>
      </w:r>
    </w:p>
    <w:bookmarkEnd w:id="261"/>
    <w:bookmarkEnd w:id="262"/>
    <w:bookmarkEnd w:id="263"/>
    <w:bookmarkEnd w:id="264"/>
    <w:bookmarkEnd w:id="265"/>
    <w:p>
      <w:pPr>
        <w:pStyle w:val="3"/>
        <w:rPr>
          <w:szCs w:val="30"/>
        </w:rPr>
      </w:pPr>
      <w:bookmarkStart w:id="267" w:name="_Toc25243"/>
      <w:bookmarkStart w:id="268" w:name="_Toc32058"/>
      <w:bookmarkStart w:id="269" w:name="_Toc28794"/>
      <w:bookmarkStart w:id="270" w:name="_Toc29302"/>
      <w:r>
        <w:t>7.3应急响应与措施</w:t>
      </w:r>
      <w:bookmarkEnd w:id="267"/>
      <w:bookmarkEnd w:id="268"/>
      <w:bookmarkEnd w:id="269"/>
      <w:bookmarkEnd w:id="270"/>
    </w:p>
    <w:p>
      <w:pPr>
        <w:spacing w:line="360" w:lineRule="auto"/>
        <w:ind w:firstLine="19" w:firstLineChars="7"/>
        <w:rPr>
          <w:b/>
        </w:rPr>
      </w:pPr>
      <w:r>
        <w:rPr>
          <w:b/>
        </w:rPr>
        <w:t>7.3.1响应分级</w:t>
      </w:r>
    </w:p>
    <w:p>
      <w:pPr>
        <w:spacing w:line="360" w:lineRule="auto"/>
        <w:ind w:firstLine="552" w:firstLineChars="200"/>
        <w:rPr>
          <w:szCs w:val="28"/>
        </w:rPr>
      </w:pPr>
      <w:r>
        <w:rPr>
          <w:szCs w:val="28"/>
        </w:rPr>
        <w:t>事故响应按照分级负责的原则，根据事故危害、影响范围和控制事态的能力，本预案应急响应分为三级应急响应，即：一级（厂区外）应急响应、二级（厂区内）应急响应、三级（车间内）应急响应。</w:t>
      </w:r>
    </w:p>
    <w:p>
      <w:pPr>
        <w:spacing w:line="360" w:lineRule="auto"/>
        <w:ind w:firstLine="554" w:firstLineChars="200"/>
        <w:rPr>
          <w:b/>
          <w:szCs w:val="28"/>
        </w:rPr>
      </w:pPr>
      <w:r>
        <w:rPr>
          <w:b/>
          <w:szCs w:val="28"/>
        </w:rPr>
        <w:t>（1）一级（厂区外）响应</w:t>
      </w:r>
    </w:p>
    <w:p>
      <w:pPr>
        <w:spacing w:line="360" w:lineRule="auto"/>
        <w:ind w:firstLine="552" w:firstLineChars="200"/>
        <w:rPr>
          <w:szCs w:val="28"/>
        </w:rPr>
      </w:pPr>
      <w:r>
        <w:rPr>
          <w:szCs w:val="28"/>
        </w:rPr>
        <w:t>一级（社会级）响应是指事故超出厂区的控制能力，可能或已经波及到厂区外的状态，而做出相应的响应。</w:t>
      </w:r>
    </w:p>
    <w:p>
      <w:pPr>
        <w:spacing w:line="360" w:lineRule="auto"/>
        <w:ind w:firstLine="554" w:firstLineChars="200"/>
        <w:rPr>
          <w:b/>
          <w:szCs w:val="28"/>
        </w:rPr>
      </w:pPr>
      <w:r>
        <w:rPr>
          <w:b/>
          <w:szCs w:val="28"/>
        </w:rPr>
        <w:t>（2）二级（厂区内）响应</w:t>
      </w:r>
    </w:p>
    <w:p>
      <w:pPr>
        <w:spacing w:line="360" w:lineRule="auto"/>
        <w:ind w:firstLine="552" w:firstLineChars="200"/>
        <w:rPr>
          <w:szCs w:val="28"/>
        </w:rPr>
      </w:pPr>
      <w:r>
        <w:rPr>
          <w:szCs w:val="28"/>
        </w:rPr>
        <w:t>二级（企业级）响应是指事故超出现场可控状态，或可能波及到其他岗位，尚处于企业可控状态，未波及相邻企业的状态，而做出相应的响应。</w:t>
      </w:r>
    </w:p>
    <w:p>
      <w:pPr>
        <w:spacing w:line="360" w:lineRule="auto"/>
        <w:ind w:firstLine="554" w:firstLineChars="200"/>
        <w:rPr>
          <w:b/>
          <w:szCs w:val="28"/>
        </w:rPr>
      </w:pPr>
      <w:r>
        <w:rPr>
          <w:b/>
          <w:szCs w:val="28"/>
        </w:rPr>
        <w:t>（3）三级（车间内）响应</w:t>
      </w:r>
    </w:p>
    <w:p>
      <w:pPr>
        <w:spacing w:line="360" w:lineRule="auto"/>
        <w:ind w:firstLine="552" w:firstLineChars="200"/>
        <w:rPr>
          <w:szCs w:val="28"/>
        </w:rPr>
      </w:pPr>
      <w:r>
        <w:rPr>
          <w:szCs w:val="28"/>
        </w:rPr>
        <w:t>三级（部门、现场级）响应是指事故发生的初期，处于现场可控状态，未波及到其它岗位，而做出相应的响应。</w:t>
      </w:r>
    </w:p>
    <w:p>
      <w:pPr>
        <w:spacing w:line="360" w:lineRule="auto"/>
        <w:ind w:firstLine="19" w:firstLineChars="7"/>
        <w:rPr>
          <w:b/>
        </w:rPr>
      </w:pPr>
      <w:r>
        <w:rPr>
          <w:b/>
        </w:rPr>
        <w:t>7.3.2响应程序</w:t>
      </w:r>
    </w:p>
    <w:p>
      <w:pPr>
        <w:spacing w:line="360" w:lineRule="auto"/>
        <w:ind w:firstLine="552" w:firstLineChars="200"/>
        <w:rPr>
          <w:szCs w:val="28"/>
        </w:rPr>
      </w:pPr>
      <w:r>
        <w:rPr>
          <w:szCs w:val="28"/>
        </w:rPr>
        <w:t>应急响应程序按过程分为前期处理、接警、响应级别确定、应急启动、救援行动、应急监测、应急结束、后期处置和信息报送等几个过程。</w:t>
      </w:r>
    </w:p>
    <w:p>
      <w:pPr>
        <w:spacing w:line="360" w:lineRule="auto"/>
        <w:ind w:firstLine="552" w:firstLineChars="200"/>
        <w:rPr>
          <w:szCs w:val="28"/>
        </w:rPr>
      </w:pPr>
      <w:r>
        <w:rPr>
          <w:rFonts w:hint="eastAsia"/>
          <w:szCs w:val="28"/>
        </w:rPr>
        <w:t>总体</w:t>
      </w:r>
      <w:r>
        <w:rPr>
          <w:szCs w:val="28"/>
        </w:rPr>
        <w:t>应急响应程序</w:t>
      </w:r>
      <w:r>
        <w:rPr>
          <w:rFonts w:hint="eastAsia"/>
          <w:szCs w:val="28"/>
        </w:rPr>
        <w:t>见图7-</w:t>
      </w:r>
      <w:r>
        <w:rPr>
          <w:rFonts w:hint="eastAsia"/>
          <w:szCs w:val="28"/>
          <w:lang w:val="en-US" w:eastAsia="zh-CN"/>
        </w:rPr>
        <w:t>2</w:t>
      </w:r>
      <w:r>
        <w:rPr>
          <w:rFonts w:hint="eastAsia"/>
          <w:szCs w:val="28"/>
        </w:rPr>
        <w:t>所示</w:t>
      </w:r>
      <w:r>
        <w:rPr>
          <w:szCs w:val="28"/>
        </w:rPr>
        <w:t>。</w:t>
      </w:r>
    </w:p>
    <w:p>
      <w:pPr>
        <w:spacing w:before="120" w:beforeLines="50"/>
        <w:jc w:val="center"/>
        <w:rPr>
          <w:b/>
          <w:szCs w:val="28"/>
        </w:rPr>
      </w:pPr>
      <w:r>
        <w:pict>
          <v:group id="_x0000_s8288" o:spid="_x0000_s8288" o:spt="203" style="height:553.8pt;width:459pt;" coordorigin="1382,4900" coordsize="9180,11076" editas="canvas">
            <o:lock v:ext="edit"/>
            <v:shape id="_x0000_s8289" o:spid="_x0000_s8289" o:spt="75" type="#_x0000_t75" style="position:absolute;left:1382;top:4900;height:11076;width:9180;" filled="f" stroked="t" coordsize="21600,21600">
              <v:fill on="f" focussize="0,0"/>
              <v:stroke color="#000000" joinstyle="miter"/>
              <v:imagedata o:title=""/>
              <o:lock v:ext="edit" rotation="t" text="t" aspectratio="t"/>
            </v:shape>
            <v:rect id="_x0000_s8290" o:spid="_x0000_s8290" o:spt="1" style="position:absolute;left:5702;top:6148;height:468;width:900;" fillcolor="#FFFFFF" filled="t" stroked="t" coordsize="21600,21600">
              <v:path/>
              <v:fill on="t" color2="#FFFFFF" focussize="0,0"/>
              <v:stroke color="#000000" joinstyle="miter"/>
              <v:imagedata o:title=""/>
              <o:lock v:ext="edit" aspectratio="f"/>
              <v:textbox>
                <w:txbxContent>
                  <w:p>
                    <w:pPr>
                      <w:spacing w:line="240" w:lineRule="exact"/>
                      <w:jc w:val="center"/>
                      <w:rPr>
                        <w:rFonts w:eastAsia="宋体"/>
                        <w:sz w:val="21"/>
                        <w:szCs w:val="21"/>
                      </w:rPr>
                    </w:pPr>
                    <w:r>
                      <w:rPr>
                        <w:rFonts w:hAnsi="宋体" w:eastAsia="宋体"/>
                        <w:sz w:val="21"/>
                        <w:szCs w:val="21"/>
                      </w:rPr>
                      <w:t>接警</w:t>
                    </w:r>
                  </w:p>
                </w:txbxContent>
              </v:textbox>
            </v:rect>
            <v:rect id="_x0000_s8291" o:spid="_x0000_s8291" o:spt="1" style="position:absolute;left:1742;top:7708;height:468;width:1800;" fillcolor="#FFFFFF" filled="t" stroked="t" coordsize="21600,21600">
              <v:path/>
              <v:fill on="t" color2="#FFFFFF" focussize="0,0"/>
              <v:stroke color="#000000" joinstyle="miter"/>
              <v:imagedata o:title=""/>
              <o:lock v:ext="edit" aspectratio="f"/>
              <v:textbox inset="0mm,1.27mm,0mm,1.27mm">
                <w:txbxContent>
                  <w:p>
                    <w:pPr>
                      <w:spacing w:line="240" w:lineRule="exact"/>
                      <w:jc w:val="center"/>
                      <w:rPr>
                        <w:rFonts w:hint="eastAsia" w:eastAsia="宋体"/>
                        <w:sz w:val="21"/>
                        <w:szCs w:val="21"/>
                      </w:rPr>
                    </w:pPr>
                    <w:r>
                      <w:rPr>
                        <w:rFonts w:hint="eastAsia" w:hAnsi="宋体" w:eastAsia="宋体"/>
                        <w:sz w:val="21"/>
                        <w:szCs w:val="21"/>
                      </w:rPr>
                      <w:t>不启动应急响应</w:t>
                    </w:r>
                  </w:p>
                </w:txbxContent>
              </v:textbox>
            </v:rect>
            <v:rect id="_x0000_s8292" o:spid="_x0000_s8292" o:spt="1" style="position:absolute;left:5702;top:5056;height:468;width:900;" fillcolor="#FFFFFF" filled="t" stroked="t" coordsize="21600,21600">
              <v:path/>
              <v:fill on="t" color2="#FFFFFF" focussize="0,0"/>
              <v:stroke color="#000000" joinstyle="miter"/>
              <v:imagedata o:title=""/>
              <o:lock v:ext="edit" aspectratio="f"/>
              <v:textbox>
                <w:txbxContent>
                  <w:p>
                    <w:pPr>
                      <w:spacing w:line="240" w:lineRule="exact"/>
                      <w:jc w:val="center"/>
                      <w:rPr>
                        <w:rFonts w:hint="eastAsia" w:eastAsia="宋体"/>
                        <w:sz w:val="21"/>
                        <w:szCs w:val="21"/>
                      </w:rPr>
                    </w:pPr>
                    <w:r>
                      <w:rPr>
                        <w:rFonts w:hint="eastAsia" w:hAnsi="宋体" w:eastAsia="宋体"/>
                        <w:sz w:val="21"/>
                        <w:szCs w:val="21"/>
                      </w:rPr>
                      <w:t>报警</w:t>
                    </w:r>
                  </w:p>
                </w:txbxContent>
              </v:textbox>
            </v:rect>
            <v:rect id="_x0000_s8293" o:spid="_x0000_s8293" o:spt="1" style="position:absolute;left:6782;top:5056;height:468;width:1980;" fillcolor="#FFFFFF" filled="t" stroked="f" coordsize="21600,21600">
              <v:path/>
              <v:fill on="t" color2="#FFFFFF" focussize="0,0"/>
              <v:stroke on="f"/>
              <v:imagedata o:title=""/>
              <o:lock v:ext="edit" aspectratio="f"/>
              <v:textbox>
                <w:txbxContent>
                  <w:p>
                    <w:pPr>
                      <w:spacing w:line="240" w:lineRule="exact"/>
                      <w:jc w:val="center"/>
                      <w:rPr>
                        <w:rFonts w:hint="eastAsia" w:eastAsia="宋体"/>
                        <w:sz w:val="21"/>
                        <w:szCs w:val="21"/>
                      </w:rPr>
                    </w:pPr>
                    <w:r>
                      <w:rPr>
                        <w:rFonts w:hint="eastAsia" w:hAnsi="宋体" w:eastAsia="宋体"/>
                        <w:sz w:val="21"/>
                        <w:szCs w:val="21"/>
                      </w:rPr>
                      <w:t>（事故现场人员）</w:t>
                    </w:r>
                  </w:p>
                </w:txbxContent>
              </v:textbox>
            </v:rect>
            <v:rect id="_x0000_s8294" o:spid="_x0000_s8294" o:spt="1" style="position:absolute;left:6782;top:6148;height:468;width:2520;" fillcolor="#FFFFFF" filled="t" stroked="f" coordsize="21600,21600">
              <v:path/>
              <v:fill on="t" color2="#FFFFFF" focussize="0,0"/>
              <v:stroke on="f"/>
              <v:imagedata o:title=""/>
              <o:lock v:ext="edit" aspectratio="f"/>
              <v:textbox>
                <w:txbxContent>
                  <w:p>
                    <w:pPr>
                      <w:spacing w:line="240" w:lineRule="exact"/>
                      <w:jc w:val="center"/>
                      <w:rPr>
                        <w:rFonts w:hint="eastAsia" w:eastAsia="宋体"/>
                        <w:sz w:val="21"/>
                        <w:szCs w:val="21"/>
                      </w:rPr>
                    </w:pPr>
                    <w:r>
                      <w:rPr>
                        <w:rFonts w:hint="eastAsia" w:hAnsi="宋体" w:eastAsia="宋体"/>
                        <w:sz w:val="21"/>
                        <w:szCs w:val="21"/>
                      </w:rPr>
                      <w:t>（上级领导或指挥人员）</w:t>
                    </w:r>
                  </w:p>
                </w:txbxContent>
              </v:textbox>
            </v:rect>
            <v:line id="_x0000_s8295" o:spid="_x0000_s8295" o:spt="20" style="position:absolute;left:6242;top:5524;height:624;width:0;" filled="f" stroked="t" coordsize="21600,21600">
              <v:path arrowok="t"/>
              <v:fill on="f" focussize="0,0"/>
              <v:stroke color="#000000" endarrow="block"/>
              <v:imagedata o:title=""/>
              <o:lock v:ext="edit" aspectratio="f"/>
            </v:line>
            <v:line id="_x0000_s8296" o:spid="_x0000_s8296" o:spt="20" style="position:absolute;left:6242;top:6616;height:468;width:0;" filled="f" stroked="t" coordsize="21600,21600">
              <v:path arrowok="t"/>
              <v:fill on="f" focussize="0,0"/>
              <v:stroke color="#000000" endarrow="block"/>
              <v:imagedata o:title=""/>
              <o:lock v:ext="edit" aspectratio="f"/>
            </v:line>
            <v:line id="_x0000_s8297" o:spid="_x0000_s8297" o:spt="20" style="position:absolute;left:2102;top:7084;height:1;width:7020;" filled="f" stroked="t" coordsize="21600,21600">
              <v:path arrowok="t"/>
              <v:fill on="f" focussize="0,0"/>
              <v:stroke color="#000000"/>
              <v:imagedata o:title=""/>
              <o:lock v:ext="edit" aspectratio="f"/>
            </v:line>
            <v:line id="_x0000_s8298" o:spid="_x0000_s8298" o:spt="20" style="position:absolute;left:2102;top:7084;height:624;width:0;" filled="f" stroked="t" coordsize="21600,21600">
              <v:path arrowok="t"/>
              <v:fill on="f" focussize="0,0"/>
              <v:stroke color="#000000" endarrow="block"/>
              <v:imagedata o:title=""/>
              <o:lock v:ext="edit" aspectratio="f"/>
            </v:line>
            <v:rect id="_x0000_s8299" o:spid="_x0000_s8299" o:spt="1" style="position:absolute;left:1922;top:7240;height:468;width:2520;" fillcolor="#FFFFFF" filled="t" stroked="f" coordsize="21600,21600">
              <v:path/>
              <v:fill on="t" color2="#FFFFFF" opacity="0f" focussize="0,0"/>
              <v:stroke on="f"/>
              <v:imagedata o:title=""/>
              <o:lock v:ext="edit" aspectratio="f"/>
              <v:textbox>
                <w:txbxContent>
                  <w:p>
                    <w:pPr>
                      <w:spacing w:line="240" w:lineRule="exact"/>
                      <w:jc w:val="center"/>
                      <w:rPr>
                        <w:rFonts w:hint="eastAsia" w:eastAsia="宋体"/>
                        <w:sz w:val="21"/>
                        <w:szCs w:val="21"/>
                      </w:rPr>
                    </w:pPr>
                    <w:r>
                      <w:rPr>
                        <w:rFonts w:hint="eastAsia" w:hAnsi="宋体" w:eastAsia="宋体"/>
                        <w:sz w:val="21"/>
                        <w:szCs w:val="21"/>
                      </w:rPr>
                      <w:t>低于最低响应级别</w:t>
                    </w:r>
                  </w:p>
                </w:txbxContent>
              </v:textbox>
            </v:rect>
            <v:line id="_x0000_s8300" o:spid="_x0000_s8300" o:spt="20" style="position:absolute;left:4622;top:7084;height:624;width:0;" filled="f" stroked="t" coordsize="21600,21600">
              <v:path arrowok="t"/>
              <v:fill on="f" focussize="0,0"/>
              <v:stroke color="#000000" endarrow="block"/>
              <v:imagedata o:title=""/>
              <o:lock v:ext="edit" aspectratio="f"/>
            </v:line>
            <v:rect id="_x0000_s8301" o:spid="_x0000_s8301" o:spt="1" style="position:absolute;left:4622;top:7084;height:468;width:1260;" fillcolor="#FFFFFF" filled="t" stroked="f" coordsize="21600,21600">
              <v:path/>
              <v:fill on="t" color2="#FFFFFF" opacity="0f" focussize="0,0"/>
              <v:stroke on="f"/>
              <v:imagedata o:title=""/>
              <o:lock v:ext="edit" aspectratio="f"/>
              <v:textbox>
                <w:txbxContent>
                  <w:p>
                    <w:pPr>
                      <w:spacing w:line="240" w:lineRule="auto"/>
                      <w:rPr>
                        <w:szCs w:val="21"/>
                      </w:rPr>
                    </w:pPr>
                    <w:r>
                      <w:rPr>
                        <w:rFonts w:hint="eastAsia" w:ascii="宋体" w:hAnsi="宋体" w:eastAsia="宋体"/>
                        <w:sz w:val="21"/>
                        <w:szCs w:val="21"/>
                      </w:rPr>
                      <w:t>Ⅲ级事故</w:t>
                    </w:r>
                  </w:p>
                </w:txbxContent>
              </v:textbox>
            </v:rect>
            <v:rect id="_x0000_s8302" o:spid="_x0000_s8302" o:spt="1" style="position:absolute;left:3902;top:7708;height:468;width:1800;" fillcolor="#FFFFFF" filled="t" stroked="t" coordsize="21600,21600">
              <v:path/>
              <v:fill on="t" color2="#FFFFFF" focussize="0,0"/>
              <v:stroke color="#000000" joinstyle="miter"/>
              <v:imagedata o:title=""/>
              <o:lock v:ext="edit" aspectratio="f"/>
              <v:textbox inset="0mm,1.27mm,0mm,1.27mm">
                <w:txbxContent>
                  <w:p>
                    <w:pPr>
                      <w:spacing w:line="240" w:lineRule="exact"/>
                      <w:jc w:val="center"/>
                      <w:rPr>
                        <w:rFonts w:hint="eastAsia" w:eastAsia="宋体"/>
                        <w:sz w:val="21"/>
                        <w:szCs w:val="21"/>
                      </w:rPr>
                    </w:pPr>
                    <w:r>
                      <w:rPr>
                        <w:rFonts w:hint="eastAsia" w:hAnsi="宋体" w:eastAsia="宋体"/>
                        <w:sz w:val="21"/>
                        <w:szCs w:val="21"/>
                      </w:rPr>
                      <w:t>启动三级响应</w:t>
                    </w:r>
                  </w:p>
                </w:txbxContent>
              </v:textbox>
            </v:rect>
            <v:line id="_x0000_s8303" o:spid="_x0000_s8303" o:spt="20" style="position:absolute;left:6962;top:7084;height:624;width:1;" filled="f" stroked="t" coordsize="21600,21600">
              <v:path arrowok="t"/>
              <v:fill on="f" focussize="0,0"/>
              <v:stroke color="#000000" endarrow="block"/>
              <v:imagedata o:title=""/>
              <o:lock v:ext="edit" aspectratio="f"/>
            </v:line>
            <v:rect id="_x0000_s8304" o:spid="_x0000_s8304" o:spt="1" style="position:absolute;left:6962;top:7084;height:468;width:1260;" fillcolor="#FFFFFF" filled="t" stroked="f" coordsize="21600,21600">
              <v:path/>
              <v:fill on="t" color2="#FFFFFF" opacity="0f" focussize="0,0"/>
              <v:stroke on="f"/>
              <v:imagedata o:title=""/>
              <o:lock v:ext="edit" aspectratio="f"/>
              <v:textbox>
                <w:txbxContent>
                  <w:p>
                    <w:pPr>
                      <w:spacing w:line="240" w:lineRule="auto"/>
                      <w:rPr>
                        <w:szCs w:val="21"/>
                      </w:rPr>
                    </w:pPr>
                    <w:r>
                      <w:rPr>
                        <w:rFonts w:hint="eastAsia" w:ascii="宋体" w:hAnsi="宋体" w:eastAsia="宋体"/>
                        <w:sz w:val="21"/>
                        <w:szCs w:val="21"/>
                      </w:rPr>
                      <w:t>Ⅱ级事故</w:t>
                    </w:r>
                  </w:p>
                </w:txbxContent>
              </v:textbox>
            </v:rect>
            <v:rect id="_x0000_s8305" o:spid="_x0000_s8305" o:spt="1" style="position:absolute;left:6242;top:7708;height:468;width:1800;" fillcolor="#FFFFFF" filled="t" stroked="t" coordsize="21600,21600">
              <v:path/>
              <v:fill on="t" color2="#FFFFFF" focussize="0,0"/>
              <v:stroke color="#000000" joinstyle="miter"/>
              <v:imagedata o:title=""/>
              <o:lock v:ext="edit" aspectratio="f"/>
              <v:textbox inset="0mm,1.27mm,0mm,1.27mm">
                <w:txbxContent>
                  <w:p>
                    <w:pPr>
                      <w:spacing w:line="240" w:lineRule="exact"/>
                      <w:jc w:val="center"/>
                      <w:rPr>
                        <w:rFonts w:hint="eastAsia" w:eastAsia="宋体"/>
                        <w:sz w:val="21"/>
                        <w:szCs w:val="21"/>
                      </w:rPr>
                    </w:pPr>
                    <w:r>
                      <w:rPr>
                        <w:rFonts w:hint="eastAsia" w:hAnsi="宋体" w:eastAsia="宋体"/>
                        <w:sz w:val="21"/>
                        <w:szCs w:val="21"/>
                      </w:rPr>
                      <w:t>启动二级响应</w:t>
                    </w:r>
                  </w:p>
                </w:txbxContent>
              </v:textbox>
            </v:rect>
            <v:line id="_x0000_s8306" o:spid="_x0000_s8306" o:spt="20" style="position:absolute;left:9122;top:7084;height:624;width:1;" filled="f" stroked="t" coordsize="21600,21600">
              <v:path arrowok="t"/>
              <v:fill on="f" focussize="0,0"/>
              <v:stroke color="#000000" endarrow="block"/>
              <v:imagedata o:title=""/>
              <o:lock v:ext="edit" aspectratio="f"/>
            </v:line>
            <v:rect id="_x0000_s8307" o:spid="_x0000_s8307" o:spt="1" style="position:absolute;left:9122;top:7084;height:468;width:1260;" fillcolor="#FFFFFF" filled="t" stroked="f" coordsize="21600,21600">
              <v:path/>
              <v:fill on="t" color2="#FFFFFF" opacity="0f" focussize="0,0"/>
              <v:stroke on="f"/>
              <v:imagedata o:title=""/>
              <o:lock v:ext="edit" aspectratio="f"/>
              <v:textbox>
                <w:txbxContent>
                  <w:p>
                    <w:pPr>
                      <w:spacing w:line="240" w:lineRule="auto"/>
                      <w:rPr>
                        <w:szCs w:val="21"/>
                      </w:rPr>
                    </w:pPr>
                    <w:r>
                      <w:rPr>
                        <w:rFonts w:hint="eastAsia" w:ascii="宋体" w:hAnsi="宋体" w:eastAsia="宋体"/>
                        <w:sz w:val="21"/>
                        <w:szCs w:val="21"/>
                      </w:rPr>
                      <w:t>Ⅰ级事故</w:t>
                    </w:r>
                  </w:p>
                </w:txbxContent>
              </v:textbox>
            </v:rect>
            <v:rect id="_x0000_s8308" o:spid="_x0000_s8308" o:spt="1" style="position:absolute;left:8402;top:7708;height:468;width:1800;" fillcolor="#FFFFFF" filled="t" stroked="t" coordsize="21600,21600">
              <v:path/>
              <v:fill on="t" color2="#FFFFFF" focussize="0,0"/>
              <v:stroke color="#000000" joinstyle="miter"/>
              <v:imagedata o:title=""/>
              <o:lock v:ext="edit" aspectratio="f"/>
              <v:textbox inset="0mm,1.27mm,0mm,1.27mm">
                <w:txbxContent>
                  <w:p>
                    <w:pPr>
                      <w:spacing w:line="240" w:lineRule="exact"/>
                      <w:jc w:val="center"/>
                      <w:rPr>
                        <w:rFonts w:hint="eastAsia" w:eastAsia="宋体"/>
                        <w:sz w:val="21"/>
                        <w:szCs w:val="21"/>
                      </w:rPr>
                    </w:pPr>
                    <w:r>
                      <w:rPr>
                        <w:rFonts w:hint="eastAsia" w:hAnsi="宋体" w:eastAsia="宋体"/>
                        <w:sz w:val="21"/>
                        <w:szCs w:val="21"/>
                      </w:rPr>
                      <w:t>启动一级响应</w:t>
                    </w:r>
                  </w:p>
                </w:txbxContent>
              </v:textbox>
            </v:rect>
            <v:line id="_x0000_s8309" o:spid="_x0000_s8309" o:spt="20" style="position:absolute;left:4622;top:8176;height:624;width:0;" filled="f" stroked="t" coordsize="21600,21600">
              <v:path arrowok="t"/>
              <v:fill on="f" focussize="0,0"/>
              <v:stroke color="#000000" endarrow="block"/>
              <v:imagedata o:title=""/>
              <o:lock v:ext="edit" aspectratio="f"/>
            </v:line>
            <v:rect id="_x0000_s8310" o:spid="_x0000_s8310" o:spt="1" style="position:absolute;left:3902;top:8800;height:468;width:1800;" fillcolor="#FFFFFF" filled="t" stroked="t" coordsize="21600,21600">
              <v:path/>
              <v:fill on="t" color2="#FFFFFF" focussize="0,0"/>
              <v:stroke color="#000000" joinstyle="miter" dashstyle="dash"/>
              <v:imagedata o:title=""/>
              <o:lock v:ext="edit" aspectratio="f"/>
              <v:textbox inset="0mm,1.27mm,0mm,1.27mm">
                <w:txbxContent>
                  <w:p>
                    <w:pPr>
                      <w:spacing w:line="240" w:lineRule="exact"/>
                      <w:jc w:val="center"/>
                      <w:rPr>
                        <w:rFonts w:hint="eastAsia" w:eastAsia="宋体"/>
                        <w:sz w:val="21"/>
                        <w:szCs w:val="21"/>
                      </w:rPr>
                    </w:pPr>
                    <w:r>
                      <w:rPr>
                        <w:rFonts w:hint="eastAsia" w:hAnsi="宋体" w:eastAsia="宋体"/>
                        <w:sz w:val="21"/>
                        <w:szCs w:val="21"/>
                      </w:rPr>
                      <w:t>现场处置方案</w:t>
                    </w:r>
                  </w:p>
                </w:txbxContent>
              </v:textbox>
            </v:rect>
            <v:line id="_x0000_s8311" o:spid="_x0000_s8311" o:spt="20" style="position:absolute;left:6962;top:8176;height:624;width:1;" filled="f" stroked="t" coordsize="21600,21600">
              <v:path arrowok="t"/>
              <v:fill on="f" focussize="0,0"/>
              <v:stroke color="#000000" endarrow="block"/>
              <v:imagedata o:title=""/>
              <o:lock v:ext="edit" aspectratio="f"/>
            </v:line>
            <v:rect id="_x0000_s8312" o:spid="_x0000_s8312" o:spt="1" style="position:absolute;left:6242;top:8800;height:468;width:1800;" fillcolor="#FFFFFF" filled="t" stroked="t" coordsize="21600,21600">
              <v:path/>
              <v:fill on="t" color2="#FFFFFF" focussize="0,0"/>
              <v:stroke color="#000000" joinstyle="miter" dashstyle="dash"/>
              <v:imagedata o:title=""/>
              <o:lock v:ext="edit" aspectratio="f"/>
              <v:textbox inset="0mm,1.27mm,0mm,1.27mm">
                <w:txbxContent>
                  <w:p>
                    <w:pPr>
                      <w:spacing w:line="240" w:lineRule="exact"/>
                      <w:jc w:val="center"/>
                      <w:rPr>
                        <w:rFonts w:hint="eastAsia" w:eastAsia="宋体"/>
                        <w:sz w:val="21"/>
                        <w:szCs w:val="21"/>
                      </w:rPr>
                    </w:pPr>
                    <w:r>
                      <w:rPr>
                        <w:rFonts w:hint="eastAsia" w:hAnsi="宋体" w:eastAsia="宋体"/>
                        <w:sz w:val="21"/>
                        <w:szCs w:val="21"/>
                      </w:rPr>
                      <w:t>公司内应急预案</w:t>
                    </w:r>
                  </w:p>
                </w:txbxContent>
              </v:textbox>
            </v:rect>
            <v:line id="_x0000_s8313" o:spid="_x0000_s8313" o:spt="20" style="position:absolute;left:9122;top:8176;height:624;width:1;" filled="f" stroked="t" coordsize="21600,21600">
              <v:path arrowok="t"/>
              <v:fill on="f" focussize="0,0"/>
              <v:stroke color="#000000" endarrow="block"/>
              <v:imagedata o:title=""/>
              <o:lock v:ext="edit" aspectratio="f"/>
            </v:line>
            <v:rect id="_x0000_s8314" o:spid="_x0000_s8314" o:spt="1" style="position:absolute;left:8402;top:8800;height:468;width:1800;" fillcolor="#FFFFFF" filled="t" stroked="t" coordsize="21600,21600">
              <v:path/>
              <v:fill on="t" color2="#FFFFFF" focussize="0,0"/>
              <v:stroke color="#000000" joinstyle="miter" dashstyle="dash"/>
              <v:imagedata o:title=""/>
              <o:lock v:ext="edit" aspectratio="f"/>
              <v:textbox inset="0mm,1.27mm,0mm,1.27mm">
                <w:txbxContent>
                  <w:p>
                    <w:pPr>
                      <w:spacing w:line="240" w:lineRule="exact"/>
                      <w:jc w:val="center"/>
                      <w:rPr>
                        <w:rFonts w:hint="eastAsia" w:eastAsia="宋体"/>
                        <w:sz w:val="21"/>
                        <w:szCs w:val="21"/>
                      </w:rPr>
                    </w:pPr>
                    <w:r>
                      <w:rPr>
                        <w:rFonts w:hint="eastAsia" w:hAnsi="宋体" w:eastAsia="宋体"/>
                        <w:sz w:val="21"/>
                        <w:szCs w:val="21"/>
                      </w:rPr>
                      <w:t>政府应急预案</w:t>
                    </w:r>
                  </w:p>
                </w:txbxContent>
              </v:textbox>
            </v:rect>
            <v:line id="_x0000_s8315" o:spid="_x0000_s8315" o:spt="20" style="position:absolute;left:4622;top:9268;height:624;width:0;" filled="f" stroked="t" coordsize="21600,21600">
              <v:path arrowok="t"/>
              <v:fill on="f" focussize="0,0"/>
              <v:stroke color="#000000" endarrow="block"/>
              <v:imagedata o:title=""/>
              <o:lock v:ext="edit" aspectratio="f"/>
            </v:line>
            <v:shape id="_x0000_s8316" o:spid="_x0000_s8316" o:spt="4" type="#_x0000_t4" style="position:absolute;left:3826;top:9925;height:903;width:1696;" fillcolor="#FFFFFF" filled="t" stroked="t" coordsize="21600,21600">
              <v:path/>
              <v:fill on="t" color2="#FFFFFF" focussize="0,0"/>
              <v:stroke color="#000000" joinstyle="miter"/>
              <v:imagedata o:title=""/>
              <o:lock v:ext="edit" aspectratio="f"/>
            </v:shape>
            <v:rect id="_x0000_s8317" o:spid="_x0000_s8317" o:spt="1" style="position:absolute;left:4066;top:10072;height:675;width:1260;" fillcolor="#FFFFFF" filled="t" stroked="f" coordsize="21600,21600">
              <v:path/>
              <v:fill on="t" color2="#FFFFFF" opacity="0f" focussize="0,0"/>
              <v:stroke on="f"/>
              <v:imagedata o:title=""/>
              <o:lock v:ext="edit" aspectratio="f"/>
              <v:textbox>
                <w:txbxContent>
                  <w:p>
                    <w:pPr>
                      <w:spacing w:line="240" w:lineRule="auto"/>
                      <w:rPr>
                        <w:szCs w:val="21"/>
                      </w:rPr>
                    </w:pPr>
                    <w:r>
                      <w:rPr>
                        <w:rFonts w:hint="eastAsia" w:ascii="宋体" w:hAnsi="宋体" w:eastAsia="宋体"/>
                        <w:sz w:val="21"/>
                        <w:szCs w:val="21"/>
                      </w:rPr>
                      <w:t>自主处置</w:t>
                    </w:r>
                  </w:p>
                </w:txbxContent>
              </v:textbox>
            </v:rect>
            <v:line id="_x0000_s8318" o:spid="_x0000_s8318" o:spt="20" style="position:absolute;left:5522;top:10360;height:0;width:360;" filled="f" stroked="t" coordsize="21600,21600">
              <v:path arrowok="t"/>
              <v:fill on="f" focussize="0,0"/>
              <v:stroke color="#000000"/>
              <v:imagedata o:title=""/>
              <o:lock v:ext="edit" aspectratio="f"/>
            </v:line>
            <v:line id="_x0000_s8319" o:spid="_x0000_s8319" o:spt="20" style="position:absolute;left:5882;top:7864;flip:y;height:2496;width:0;" filled="f" stroked="t" coordsize="21600,21600">
              <v:path arrowok="t"/>
              <v:fill on="f" focussize="0,0"/>
              <v:stroke color="#000000"/>
              <v:imagedata o:title=""/>
              <o:lock v:ext="edit" aspectratio="f"/>
            </v:line>
            <v:line id="_x0000_s8320" o:spid="_x0000_s8320" o:spt="20" style="position:absolute;left:5882;top:7864;height:0;width:360;" filled="f" stroked="t" coordsize="21600,21600">
              <v:path arrowok="t"/>
              <v:fill on="f" focussize="0,0"/>
              <v:stroke color="#000000" endarrow="block"/>
              <v:imagedata o:title=""/>
              <o:lock v:ext="edit" aspectratio="f"/>
            </v:line>
            <v:rect id="_x0000_s8321" o:spid="_x0000_s8321" o:spt="1" style="position:absolute;left:5522;top:9892;height:468;width:720;" fillcolor="#FFFFFF" filled="t" stroked="f" coordsize="21600,21600">
              <v:path/>
              <v:fill on="t" color2="#FFFFFF" opacity="0f" focussize="0,0"/>
              <v:stroke on="f"/>
              <v:imagedata o:title=""/>
              <o:lock v:ext="edit" aspectratio="f"/>
              <v:textbox>
                <w:txbxContent>
                  <w:p>
                    <w:pPr>
                      <w:spacing w:line="240" w:lineRule="auto"/>
                      <w:rPr>
                        <w:szCs w:val="21"/>
                      </w:rPr>
                    </w:pPr>
                    <w:r>
                      <w:rPr>
                        <w:rFonts w:hint="eastAsia" w:ascii="宋体" w:hAnsi="宋体" w:eastAsia="宋体"/>
                        <w:sz w:val="21"/>
                        <w:szCs w:val="21"/>
                      </w:rPr>
                      <w:t>NO</w:t>
                    </w:r>
                  </w:p>
                </w:txbxContent>
              </v:textbox>
            </v:rect>
            <v:line id="_x0000_s8322" o:spid="_x0000_s8322" o:spt="20" style="position:absolute;left:4622;top:10828;height:624;width:0;" filled="f" stroked="t" coordsize="21600,21600">
              <v:path arrowok="t"/>
              <v:fill on="f" focussize="0,0"/>
              <v:stroke color="#000000" endarrow="block"/>
              <v:imagedata o:title=""/>
              <o:lock v:ext="edit" aspectratio="f"/>
            </v:line>
            <v:rect id="_x0000_s8323" o:spid="_x0000_s8323" o:spt="1" style="position:absolute;left:4442;top:10828;height:468;width:720;" fillcolor="#FFFFFF" filled="t" stroked="f" coordsize="21600,21600">
              <v:path/>
              <v:fill on="t" color2="#FFFFFF" opacity="0f" focussize="0,0"/>
              <v:stroke on="f"/>
              <v:imagedata o:title=""/>
              <o:lock v:ext="edit" aspectratio="f"/>
              <v:textbox>
                <w:txbxContent>
                  <w:p>
                    <w:pPr>
                      <w:spacing w:line="240" w:lineRule="auto"/>
                      <w:rPr>
                        <w:szCs w:val="21"/>
                      </w:rPr>
                    </w:pPr>
                    <w:r>
                      <w:rPr>
                        <w:rFonts w:hint="eastAsia" w:ascii="宋体" w:hAnsi="宋体" w:eastAsia="宋体"/>
                        <w:sz w:val="21"/>
                        <w:szCs w:val="21"/>
                      </w:rPr>
                      <w:t>YES</w:t>
                    </w:r>
                  </w:p>
                </w:txbxContent>
              </v:textbox>
            </v:rect>
            <v:rect id="_x0000_s8324" o:spid="_x0000_s8324" o:spt="1" style="position:absolute;left:4082;top:11452;height:468;width:1440;" fillcolor="#FFFFFF" filled="t" stroked="t" coordsize="21600,21600">
              <v:path/>
              <v:fill on="t" color2="#FFFFFF" focussize="0,0"/>
              <v:stroke color="#000000" joinstyle="miter"/>
              <v:imagedata o:title=""/>
              <o:lock v:ext="edit" aspectratio="f"/>
              <v:textbox inset="0mm,1.27mm,0mm,1.27mm">
                <w:txbxContent>
                  <w:p>
                    <w:pPr>
                      <w:spacing w:line="240" w:lineRule="exact"/>
                      <w:jc w:val="center"/>
                      <w:rPr>
                        <w:rFonts w:hint="eastAsia" w:eastAsia="宋体"/>
                        <w:sz w:val="21"/>
                        <w:szCs w:val="21"/>
                      </w:rPr>
                    </w:pPr>
                    <w:r>
                      <w:rPr>
                        <w:rFonts w:hint="eastAsia" w:hAnsi="宋体" w:eastAsia="宋体"/>
                        <w:sz w:val="21"/>
                        <w:szCs w:val="21"/>
                      </w:rPr>
                      <w:t>应急行动</w:t>
                    </w:r>
                  </w:p>
                </w:txbxContent>
              </v:textbox>
            </v:rect>
            <v:line id="_x0000_s8325" o:spid="_x0000_s8325" o:spt="20" style="position:absolute;left:3182;top:11764;height:0;width:900;" filled="f" stroked="t" coordsize="21600,21600">
              <v:path arrowok="t"/>
              <v:fill on="f" focussize="0,0"/>
              <v:stroke color="#000000" endarrow="block"/>
              <v:imagedata o:title=""/>
              <o:lock v:ext="edit" aspectratio="f"/>
            </v:line>
            <v:rect id="_x0000_s8326" o:spid="_x0000_s8326" o:spt="1" style="position:absolute;left:1382;top:11452;height:468;width:1800;" fillcolor="#FFFFFF" filled="t" stroked="t" coordsize="21600,21600">
              <v:path/>
              <v:fill on="t" color2="#FFFFFF" focussize="0,0"/>
              <v:stroke color="#000000" joinstyle="miter"/>
              <v:imagedata o:title=""/>
              <o:lock v:ext="edit" aspectratio="f"/>
              <v:textbox inset="0mm,1.27mm,0mm,1.27mm">
                <w:txbxContent>
                  <w:p>
                    <w:pPr>
                      <w:spacing w:line="240" w:lineRule="exact"/>
                      <w:jc w:val="center"/>
                      <w:rPr>
                        <w:rFonts w:hint="eastAsia" w:eastAsia="宋体"/>
                        <w:sz w:val="21"/>
                        <w:szCs w:val="21"/>
                      </w:rPr>
                    </w:pPr>
                    <w:r>
                      <w:rPr>
                        <w:rFonts w:hint="eastAsia" w:hAnsi="宋体" w:eastAsia="宋体"/>
                        <w:sz w:val="21"/>
                        <w:szCs w:val="21"/>
                      </w:rPr>
                      <w:t>班组应急人员</w:t>
                    </w:r>
                  </w:p>
                </w:txbxContent>
              </v:textbox>
            </v:rect>
            <v:line id="_x0000_s8327" o:spid="_x0000_s8327" o:spt="20" style="position:absolute;left:4622;top:11920;height:624;width:0;" filled="f" stroked="t" coordsize="21600,21600">
              <v:path arrowok="t"/>
              <v:fill on="f" focussize="0,0"/>
              <v:stroke color="#000000" endarrow="block"/>
              <v:imagedata o:title=""/>
              <o:lock v:ext="edit" aspectratio="f"/>
            </v:line>
            <v:rect id="_x0000_s8328" o:spid="_x0000_s8328" o:spt="1" style="position:absolute;left:3902;top:12544;height:468;width:1800;" fillcolor="#FFFFFF" filled="t" stroked="t" coordsize="21600,21600">
              <v:path/>
              <v:fill on="t" color2="#FFFFFF" focussize="0,0"/>
              <v:stroke color="#000000" joinstyle="miter"/>
              <v:imagedata o:title=""/>
              <o:lock v:ext="edit" aspectratio="f"/>
              <v:textbox inset="0mm,1.27mm,0mm,1.27mm">
                <w:txbxContent>
                  <w:p>
                    <w:pPr>
                      <w:spacing w:line="240" w:lineRule="exact"/>
                      <w:jc w:val="center"/>
                      <w:rPr>
                        <w:rFonts w:hint="eastAsia" w:eastAsia="宋体"/>
                        <w:sz w:val="21"/>
                        <w:szCs w:val="21"/>
                      </w:rPr>
                    </w:pPr>
                    <w:r>
                      <w:rPr>
                        <w:rFonts w:hint="eastAsia" w:hAnsi="宋体" w:eastAsia="宋体"/>
                        <w:sz w:val="21"/>
                        <w:szCs w:val="21"/>
                      </w:rPr>
                      <w:t>总结分析与预防</w:t>
                    </w:r>
                  </w:p>
                </w:txbxContent>
              </v:textbox>
            </v:rect>
            <v:line id="_x0000_s8329" o:spid="_x0000_s8329" o:spt="20" style="position:absolute;left:6962;top:9268;height:624;width:1;" filled="f" stroked="t" coordsize="21600,21600">
              <v:path arrowok="t"/>
              <v:fill on="f" focussize="0,0"/>
              <v:stroke color="#000000" endarrow="block"/>
              <v:imagedata o:title=""/>
              <o:lock v:ext="edit" aspectratio="f"/>
            </v:line>
            <v:shape id="_x0000_s8330" o:spid="_x0000_s8330" o:spt="4" type="#_x0000_t4" style="position:absolute;left:6166;top:9925;height:903;width:1696;" fillcolor="#FFFFFF" filled="t" stroked="t" coordsize="21600,21600">
              <v:path/>
              <v:fill on="t" color2="#FFFFFF" focussize="0,0"/>
              <v:stroke color="#000000" joinstyle="miter"/>
              <v:imagedata o:title=""/>
              <o:lock v:ext="edit" aspectratio="f"/>
            </v:shape>
            <v:rect id="_x0000_s8331" o:spid="_x0000_s8331" o:spt="1" style="position:absolute;left:6406;top:10072;height:675;width:1276;" fillcolor="#FFFFFF" filled="t" stroked="f" coordsize="21600,21600">
              <v:path/>
              <v:fill on="t" color2="#FFFFFF" opacity="0f" focussize="0,0"/>
              <v:stroke on="f"/>
              <v:imagedata o:title=""/>
              <o:lock v:ext="edit" aspectratio="f"/>
              <v:textbox>
                <w:txbxContent>
                  <w:p>
                    <w:pPr>
                      <w:spacing w:line="240" w:lineRule="auto"/>
                      <w:rPr>
                        <w:szCs w:val="21"/>
                      </w:rPr>
                    </w:pPr>
                    <w:r>
                      <w:rPr>
                        <w:rFonts w:hint="eastAsia" w:ascii="宋体" w:hAnsi="宋体" w:eastAsia="宋体"/>
                        <w:sz w:val="21"/>
                        <w:szCs w:val="21"/>
                      </w:rPr>
                      <w:t>自主处置</w:t>
                    </w:r>
                  </w:p>
                </w:txbxContent>
              </v:textbox>
            </v:rect>
            <v:line id="_x0000_s8332" o:spid="_x0000_s8332" o:spt="20" style="position:absolute;left:7862;top:10360;height:1;width:360;" filled="f" stroked="t" coordsize="21600,21600">
              <v:path arrowok="t"/>
              <v:fill on="f" focussize="0,0"/>
              <v:stroke color="#000000"/>
              <v:imagedata o:title=""/>
              <o:lock v:ext="edit" aspectratio="f"/>
            </v:line>
            <v:rect id="_x0000_s8333" o:spid="_x0000_s8333" o:spt="1" style="position:absolute;left:7862;top:9892;height:468;width:720;" fillcolor="#FFFFFF" filled="t" stroked="f" coordsize="21600,21600">
              <v:path/>
              <v:fill on="t" color2="#FFFFFF" opacity="0f" focussize="0,0"/>
              <v:stroke on="f"/>
              <v:imagedata o:title=""/>
              <o:lock v:ext="edit" aspectratio="f"/>
              <v:textbox>
                <w:txbxContent>
                  <w:p>
                    <w:pPr>
                      <w:spacing w:line="240" w:lineRule="auto"/>
                      <w:rPr>
                        <w:szCs w:val="21"/>
                      </w:rPr>
                    </w:pPr>
                    <w:r>
                      <w:rPr>
                        <w:rFonts w:hint="eastAsia" w:ascii="宋体" w:hAnsi="宋体" w:eastAsia="宋体"/>
                        <w:sz w:val="21"/>
                        <w:szCs w:val="21"/>
                      </w:rPr>
                      <w:t>NO</w:t>
                    </w:r>
                  </w:p>
                </w:txbxContent>
              </v:textbox>
            </v:rect>
            <v:line id="_x0000_s8334" o:spid="_x0000_s8334" o:spt="20" style="position:absolute;left:6962;top:10828;height:624;width:1;" filled="f" stroked="t" coordsize="21600,21600">
              <v:path arrowok="t"/>
              <v:fill on="f" focussize="0,0"/>
              <v:stroke color="#000000" endarrow="block"/>
              <v:imagedata o:title=""/>
              <o:lock v:ext="edit" aspectratio="f"/>
            </v:line>
            <v:rect id="_x0000_s8335" o:spid="_x0000_s8335" o:spt="1" style="position:absolute;left:6782;top:10828;height:468;width:720;" fillcolor="#FFFFFF" filled="t" stroked="f" coordsize="21600,21600">
              <v:path/>
              <v:fill on="t" color2="#FFFFFF" opacity="0f" focussize="0,0"/>
              <v:stroke on="f"/>
              <v:imagedata o:title=""/>
              <o:lock v:ext="edit" aspectratio="f"/>
              <v:textbox>
                <w:txbxContent>
                  <w:p>
                    <w:pPr>
                      <w:spacing w:line="240" w:lineRule="auto"/>
                      <w:rPr>
                        <w:szCs w:val="21"/>
                      </w:rPr>
                    </w:pPr>
                    <w:r>
                      <w:rPr>
                        <w:rFonts w:hint="eastAsia" w:ascii="宋体" w:hAnsi="宋体" w:eastAsia="宋体"/>
                        <w:sz w:val="21"/>
                        <w:szCs w:val="21"/>
                      </w:rPr>
                      <w:t>YES</w:t>
                    </w:r>
                  </w:p>
                </w:txbxContent>
              </v:textbox>
            </v:rect>
            <v:line id="_x0000_s8336" o:spid="_x0000_s8336" o:spt="20" style="position:absolute;left:8222;top:7864;flip:y;height:2496;width:0;" filled="f" stroked="t" coordsize="21600,21600">
              <v:path arrowok="t"/>
              <v:fill on="f" focussize="0,0"/>
              <v:stroke color="#000000"/>
              <v:imagedata o:title=""/>
              <o:lock v:ext="edit" aspectratio="f"/>
            </v:line>
            <v:line id="_x0000_s8337" o:spid="_x0000_s8337" o:spt="20" style="position:absolute;left:8222;top:7864;height:0;width:180;" filled="f" stroked="t" coordsize="21600,21600">
              <v:path arrowok="t"/>
              <v:fill on="f" focussize="0,0"/>
              <v:stroke color="#000000" endarrow="block"/>
              <v:imagedata o:title=""/>
              <o:lock v:ext="edit" aspectratio="f"/>
            </v:line>
            <v:rect id="_x0000_s8338" o:spid="_x0000_s8338" o:spt="1" style="position:absolute;left:6242;top:11452;height:468;width:1440;" fillcolor="#FFFFFF" filled="t" stroked="t" coordsize="21600,21600">
              <v:path/>
              <v:fill on="t" color2="#FFFFFF" focussize="0,0"/>
              <v:stroke color="#000000" joinstyle="miter"/>
              <v:imagedata o:title=""/>
              <o:lock v:ext="edit" aspectratio="f"/>
              <v:textbox inset="0mm,1.27mm,0mm,1.27mm">
                <w:txbxContent>
                  <w:p>
                    <w:pPr>
                      <w:spacing w:line="240" w:lineRule="exact"/>
                      <w:jc w:val="center"/>
                      <w:rPr>
                        <w:rFonts w:hint="eastAsia" w:eastAsia="宋体"/>
                        <w:sz w:val="21"/>
                        <w:szCs w:val="21"/>
                      </w:rPr>
                    </w:pPr>
                    <w:r>
                      <w:rPr>
                        <w:rFonts w:hint="eastAsia" w:hAnsi="宋体" w:eastAsia="宋体"/>
                        <w:sz w:val="21"/>
                        <w:szCs w:val="21"/>
                      </w:rPr>
                      <w:t>各应急小组</w:t>
                    </w:r>
                  </w:p>
                </w:txbxContent>
              </v:textbox>
            </v:rect>
            <v:line id="_x0000_s8339" o:spid="_x0000_s8339" o:spt="20" style="position:absolute;left:6962;top:11920;height:624;width:0;" filled="f" stroked="t" coordsize="21600,21600">
              <v:path arrowok="t"/>
              <v:fill on="f" focussize="0,0"/>
              <v:stroke color="#000000" endarrow="block"/>
              <v:imagedata o:title=""/>
              <o:lock v:ext="edit" aspectratio="f"/>
            </v:line>
            <v:rect id="_x0000_s8340" o:spid="_x0000_s8340" o:spt="1" style="position:absolute;left:6242;top:12544;height:468;width:1440;" fillcolor="#FFFFFF" filled="t" stroked="t" coordsize="21600,21600">
              <v:path/>
              <v:fill on="t" color2="#FFFFFF" focussize="0,0"/>
              <v:stroke color="#000000" joinstyle="miter"/>
              <v:imagedata o:title=""/>
              <o:lock v:ext="edit" aspectratio="f"/>
              <v:textbox inset="0mm,1.27mm,0mm,1.27mm">
                <w:txbxContent>
                  <w:p>
                    <w:pPr>
                      <w:spacing w:line="240" w:lineRule="exact"/>
                      <w:jc w:val="center"/>
                      <w:rPr>
                        <w:rFonts w:hint="eastAsia" w:eastAsia="宋体"/>
                        <w:sz w:val="21"/>
                        <w:szCs w:val="21"/>
                      </w:rPr>
                    </w:pPr>
                    <w:r>
                      <w:rPr>
                        <w:rFonts w:hint="eastAsia" w:hAnsi="宋体" w:eastAsia="宋体"/>
                        <w:sz w:val="21"/>
                        <w:szCs w:val="21"/>
                      </w:rPr>
                      <w:t>应急行动</w:t>
                    </w:r>
                  </w:p>
                </w:txbxContent>
              </v:textbox>
            </v:rect>
            <v:line id="_x0000_s8341" o:spid="_x0000_s8341" o:spt="20" style="position:absolute;left:6962;top:13012;height:468;width:1;" filled="f" stroked="t" coordsize="21600,21600">
              <v:path arrowok="t"/>
              <v:fill on="f" focussize="0,0"/>
              <v:stroke color="#000000" endarrow="block"/>
              <v:imagedata o:title=""/>
              <o:lock v:ext="edit" aspectratio="f"/>
            </v:line>
            <v:rect id="_x0000_s8342" o:spid="_x0000_s8342" o:spt="1" style="position:absolute;left:6242;top:13480;height:468;width:1440;" fillcolor="#FFFFFF" filled="t" stroked="t" coordsize="21600,21600">
              <v:path/>
              <v:fill on="t" color2="#FFFFFF" focussize="0,0"/>
              <v:stroke color="#000000" joinstyle="miter"/>
              <v:imagedata o:title=""/>
              <o:lock v:ext="edit" aspectratio="f"/>
              <v:textbox inset="0mm,1.27mm,0mm,1.27mm">
                <w:txbxContent>
                  <w:p>
                    <w:pPr>
                      <w:spacing w:line="240" w:lineRule="exact"/>
                      <w:jc w:val="center"/>
                      <w:rPr>
                        <w:rFonts w:hint="eastAsia" w:eastAsia="宋体"/>
                        <w:sz w:val="21"/>
                        <w:szCs w:val="21"/>
                      </w:rPr>
                    </w:pPr>
                    <w:r>
                      <w:rPr>
                        <w:rFonts w:hint="eastAsia" w:hAnsi="宋体" w:eastAsia="宋体"/>
                        <w:sz w:val="21"/>
                        <w:szCs w:val="21"/>
                      </w:rPr>
                      <w:t>应急结束</w:t>
                    </w:r>
                  </w:p>
                </w:txbxContent>
              </v:textbox>
            </v:rect>
            <v:line id="_x0000_s8343" o:spid="_x0000_s8343" o:spt="20" style="position:absolute;left:6962;top:13948;height:468;width:1;" filled="f" stroked="t" coordsize="21600,21600">
              <v:path arrowok="t"/>
              <v:fill on="f" focussize="0,0"/>
              <v:stroke color="#000000" endarrow="block"/>
              <v:imagedata o:title=""/>
              <o:lock v:ext="edit" aspectratio="f"/>
            </v:line>
            <v:rect id="_x0000_s8344" o:spid="_x0000_s8344" o:spt="1" style="position:absolute;left:6242;top:14416;height:468;width:1440;" fillcolor="#FFFFFF" filled="t" stroked="t" coordsize="21600,21600">
              <v:path/>
              <v:fill on="t" color2="#FFFFFF" focussize="0,0"/>
              <v:stroke color="#000000" joinstyle="miter"/>
              <v:imagedata o:title=""/>
              <o:lock v:ext="edit" aspectratio="f"/>
              <v:textbox inset="0mm,1.27mm,0mm,1.27mm">
                <w:txbxContent>
                  <w:p>
                    <w:pPr>
                      <w:spacing w:line="240" w:lineRule="exact"/>
                      <w:jc w:val="center"/>
                      <w:rPr>
                        <w:rFonts w:hint="eastAsia" w:eastAsia="宋体"/>
                        <w:sz w:val="21"/>
                        <w:szCs w:val="21"/>
                      </w:rPr>
                    </w:pPr>
                    <w:r>
                      <w:rPr>
                        <w:rFonts w:hint="eastAsia" w:hAnsi="宋体" w:eastAsia="宋体"/>
                        <w:sz w:val="21"/>
                        <w:szCs w:val="21"/>
                      </w:rPr>
                      <w:t>后期处置</w:t>
                    </w:r>
                  </w:p>
                </w:txbxContent>
              </v:textbox>
            </v:rect>
            <v:line id="_x0000_s8345" o:spid="_x0000_s8345" o:spt="20" style="position:absolute;left:6962;top:14884;height:468;width:1;" filled="f" stroked="t" coordsize="21600,21600">
              <v:path arrowok="t"/>
              <v:fill on="f" focussize="0,0"/>
              <v:stroke color="#000000" endarrow="block"/>
              <v:imagedata o:title=""/>
              <o:lock v:ext="edit" aspectratio="f"/>
            </v:line>
            <v:rect id="_x0000_s8346" o:spid="_x0000_s8346" o:spt="1" style="position:absolute;left:6242;top:15352;height:468;width:1440;" fillcolor="#FFFFFF" filled="t" stroked="t" coordsize="21600,21600">
              <v:path/>
              <v:fill on="t" color2="#FFFFFF" focussize="0,0"/>
              <v:stroke color="#000000" joinstyle="miter"/>
              <v:imagedata o:title=""/>
              <o:lock v:ext="edit" aspectratio="f"/>
              <v:textbox inset="0mm,1.27mm,0mm,1.27mm">
                <w:txbxContent>
                  <w:p>
                    <w:pPr>
                      <w:spacing w:line="240" w:lineRule="exact"/>
                      <w:jc w:val="center"/>
                      <w:rPr>
                        <w:rFonts w:hint="eastAsia" w:eastAsia="宋体"/>
                        <w:sz w:val="21"/>
                        <w:szCs w:val="21"/>
                      </w:rPr>
                    </w:pPr>
                    <w:r>
                      <w:rPr>
                        <w:rFonts w:hint="eastAsia" w:hAnsi="宋体" w:eastAsia="宋体"/>
                        <w:sz w:val="21"/>
                        <w:szCs w:val="21"/>
                      </w:rPr>
                      <w:t>总结评审</w:t>
                    </w:r>
                  </w:p>
                </w:txbxContent>
              </v:textbox>
            </v:rect>
            <v:line id="_x0000_s8347" o:spid="_x0000_s8347" o:spt="20" style="position:absolute;left:5537;top:13771;flip:x;height:0;width:720;" filled="f" stroked="t" coordsize="21600,21600">
              <v:path arrowok="t"/>
              <v:fill on="f" focussize="0,0"/>
              <v:stroke color="#000000" endarrow="block"/>
              <v:imagedata o:title=""/>
              <o:lock v:ext="edit" aspectratio="f"/>
            </v:line>
            <v:rect id="_x0000_s8348" o:spid="_x0000_s8348" o:spt="1" style="position:absolute;left:4022;top:13495;height:468;width:1440;" fillcolor="#FFFFFF" filled="t" stroked="t" coordsize="21600,21600">
              <v:path/>
              <v:fill on="t" color2="#FFFFFF" focussize="0,0"/>
              <v:stroke color="#000000" joinstyle="miter"/>
              <v:imagedata o:title=""/>
              <o:lock v:ext="edit" aspectratio="f"/>
              <v:textbox inset="0mm,1.27mm,0mm,1.27mm">
                <w:txbxContent>
                  <w:p>
                    <w:pPr>
                      <w:spacing w:line="240" w:lineRule="exact"/>
                      <w:jc w:val="center"/>
                      <w:rPr>
                        <w:rFonts w:hint="eastAsia" w:eastAsia="宋体"/>
                        <w:sz w:val="21"/>
                        <w:szCs w:val="21"/>
                      </w:rPr>
                    </w:pPr>
                    <w:r>
                      <w:rPr>
                        <w:rFonts w:hint="eastAsia" w:hAnsi="宋体" w:eastAsia="宋体"/>
                        <w:sz w:val="21"/>
                        <w:szCs w:val="21"/>
                      </w:rPr>
                      <w:t>解除警戒</w:t>
                    </w:r>
                  </w:p>
                </w:txbxContent>
              </v:textbox>
            </v:rect>
            <v:line id="_x0000_s8349" o:spid="_x0000_s8349" o:spt="20" style="position:absolute;left:7682;top:14572;height:1;width:720;" filled="f" stroked="t" coordsize="21600,21600">
              <v:path arrowok="t"/>
              <v:fill on="f" focussize="0,0"/>
              <v:stroke color="#000000" endarrow="block"/>
              <v:imagedata o:title=""/>
              <o:lock v:ext="edit" aspectratio="f"/>
            </v:line>
            <v:rect id="_x0000_s8350" o:spid="_x0000_s8350" o:spt="1" style="position:absolute;left:8402;top:14260;height:624;width:1980;" fillcolor="#FFFFFF" filled="t" stroked="t" coordsize="21600,21600">
              <v:path/>
              <v:fill on="t" color2="#FFFFFF" focussize="0,0"/>
              <v:stroke color="#000000" joinstyle="miter"/>
              <v:imagedata o:title=""/>
              <o:lock v:ext="edit" aspectratio="f"/>
              <v:textbox inset="0mm,1.27mm,0mm,1.27mm">
                <w:txbxContent>
                  <w:p>
                    <w:pPr>
                      <w:spacing w:line="240" w:lineRule="exact"/>
                      <w:jc w:val="center"/>
                      <w:rPr>
                        <w:rFonts w:hint="eastAsia" w:hAnsi="宋体" w:eastAsia="宋体"/>
                        <w:sz w:val="21"/>
                        <w:szCs w:val="21"/>
                      </w:rPr>
                    </w:pPr>
                    <w:r>
                      <w:rPr>
                        <w:rFonts w:hint="eastAsia" w:hAnsi="宋体" w:eastAsia="宋体"/>
                        <w:sz w:val="21"/>
                        <w:szCs w:val="21"/>
                      </w:rPr>
                      <w:t>现场洗消</w:t>
                    </w:r>
                  </w:p>
                  <w:p>
                    <w:pPr>
                      <w:spacing w:line="240" w:lineRule="exact"/>
                      <w:jc w:val="center"/>
                      <w:rPr>
                        <w:rFonts w:hint="eastAsia" w:eastAsia="宋体"/>
                        <w:sz w:val="21"/>
                        <w:szCs w:val="21"/>
                      </w:rPr>
                    </w:pPr>
                    <w:r>
                      <w:rPr>
                        <w:rFonts w:hint="eastAsia" w:hAnsi="宋体" w:eastAsia="宋体"/>
                        <w:sz w:val="21"/>
                        <w:szCs w:val="21"/>
                      </w:rPr>
                      <w:t>善后处理与调查</w:t>
                    </w:r>
                  </w:p>
                </w:txbxContent>
              </v:textbox>
            </v:rect>
            <v:rect id="_x0000_s8351" o:spid="_x0000_s8351" o:spt="1" style="position:absolute;left:8762;top:10204;height:468;width:1606;" fillcolor="#FFFFFF" filled="t" stroked="t" coordsize="21600,21600">
              <v:path/>
              <v:fill on="t" color2="#FFFFFF" focussize="0,0"/>
              <v:stroke color="#000000" joinstyle="miter"/>
              <v:imagedata o:title=""/>
              <o:lock v:ext="edit" aspectratio="f"/>
              <v:textbox inset="0mm,1.27mm,0mm,1.27mm">
                <w:txbxContent>
                  <w:p>
                    <w:pPr>
                      <w:spacing w:line="240" w:lineRule="exact"/>
                      <w:jc w:val="center"/>
                      <w:rPr>
                        <w:rFonts w:hint="eastAsia" w:eastAsia="宋体"/>
                        <w:sz w:val="21"/>
                        <w:szCs w:val="21"/>
                      </w:rPr>
                    </w:pPr>
                    <w:r>
                      <w:rPr>
                        <w:rFonts w:hint="eastAsia" w:hAnsi="宋体"/>
                        <w:sz w:val="21"/>
                        <w:szCs w:val="21"/>
                        <w:lang w:eastAsia="zh-CN"/>
                      </w:rPr>
                      <w:t>应急指挥部</w:t>
                    </w:r>
                  </w:p>
                </w:txbxContent>
              </v:textbox>
            </v:rect>
            <v:rect id="_x0000_s8352" o:spid="_x0000_s8352" o:spt="1" style="position:absolute;left:8762;top:10672;height:468;width:1605;" fillcolor="#FFFFFF" filled="t" stroked="t" coordsize="21600,21600">
              <v:path/>
              <v:fill on="t" color2="#FFFFFF" focussize="0,0"/>
              <v:stroke color="#000000" joinstyle="miter"/>
              <v:imagedata o:title=""/>
              <o:lock v:ext="edit" aspectratio="f"/>
              <v:textbox inset="0mm,1.27mm,0mm,1.27mm">
                <w:txbxContent>
                  <w:p>
                    <w:pPr>
                      <w:spacing w:line="240" w:lineRule="exact"/>
                      <w:jc w:val="center"/>
                      <w:rPr>
                        <w:rFonts w:hint="eastAsia" w:eastAsia="宋体"/>
                        <w:sz w:val="21"/>
                        <w:szCs w:val="21"/>
                      </w:rPr>
                    </w:pPr>
                    <w:r>
                      <w:rPr>
                        <w:rFonts w:hint="eastAsia" w:hAnsi="宋体"/>
                        <w:sz w:val="21"/>
                        <w:szCs w:val="21"/>
                        <w:lang w:eastAsia="zh-CN"/>
                      </w:rPr>
                      <w:t>应急抢险组</w:t>
                    </w:r>
                  </w:p>
                </w:txbxContent>
              </v:textbox>
            </v:rect>
            <v:rect id="_x0000_s8353" o:spid="_x0000_s8353" o:spt="1" style="position:absolute;left:8762;top:11140;height:468;width:1605;" fillcolor="#FFFFFF" filled="t" stroked="t" coordsize="21600,21600">
              <v:path/>
              <v:fill on="t" color2="#FFFFFF" focussize="0,0"/>
              <v:stroke color="#000000" joinstyle="miter"/>
              <v:imagedata o:title=""/>
              <o:lock v:ext="edit" aspectratio="f"/>
              <v:textbox inset="0mm,1.27mm,0mm,1.27mm">
                <w:txbxContent>
                  <w:p>
                    <w:pPr>
                      <w:spacing w:line="240" w:lineRule="exact"/>
                      <w:jc w:val="center"/>
                      <w:rPr>
                        <w:rFonts w:hint="eastAsia" w:eastAsia="宋体"/>
                        <w:sz w:val="21"/>
                        <w:szCs w:val="21"/>
                      </w:rPr>
                    </w:pPr>
                    <w:r>
                      <w:rPr>
                        <w:rFonts w:hint="eastAsia" w:hAnsi="宋体"/>
                        <w:sz w:val="21"/>
                        <w:szCs w:val="21"/>
                        <w:lang w:eastAsia="zh-CN"/>
                      </w:rPr>
                      <w:t>安全后勤组</w:t>
                    </w:r>
                  </w:p>
                </w:txbxContent>
              </v:textbox>
            </v:rect>
            <v:rect id="_x0000_s8354" o:spid="_x0000_s8354" o:spt="1" style="position:absolute;left:8762;top:11608;height:468;width:1605;" fillcolor="#FFFFFF" filled="t" stroked="t" coordsize="21600,21600">
              <v:path/>
              <v:fill on="t" color2="#FFFFFF" focussize="0,0"/>
              <v:stroke color="#000000" joinstyle="miter"/>
              <v:imagedata o:title=""/>
              <o:lock v:ext="edit" aspectratio="f"/>
              <v:textbox inset="0mm,1.27mm,0mm,1.27mm">
                <w:txbxContent>
                  <w:p>
                    <w:pPr>
                      <w:spacing w:line="240" w:lineRule="exact"/>
                      <w:jc w:val="center"/>
                      <w:rPr>
                        <w:rFonts w:hint="eastAsia" w:eastAsia="宋体"/>
                        <w:sz w:val="21"/>
                        <w:szCs w:val="21"/>
                      </w:rPr>
                    </w:pPr>
                    <w:r>
                      <w:rPr>
                        <w:rFonts w:hint="eastAsia" w:hAnsi="宋体"/>
                        <w:sz w:val="21"/>
                        <w:szCs w:val="21"/>
                        <w:lang w:eastAsia="zh-CN"/>
                      </w:rPr>
                      <w:t>应急监测组</w:t>
                    </w:r>
                  </w:p>
                </w:txbxContent>
              </v:textbox>
            </v:rect>
            <v:rect id="_x0000_s8355" o:spid="_x0000_s8355" o:spt="1" style="position:absolute;left:8762;top:12076;height:468;width:1605;" fillcolor="#FFFFFF" filled="t" stroked="t" coordsize="21600,21600">
              <v:path/>
              <v:fill on="t" color2="#FFFFFF" focussize="0,0"/>
              <v:stroke color="#000000" joinstyle="miter"/>
              <v:imagedata o:title=""/>
              <o:lock v:ext="edit" aspectratio="f"/>
              <v:textbox inset="0mm,1.27mm,0mm,1.27mm">
                <w:txbxContent>
                  <w:p>
                    <w:pPr>
                      <w:spacing w:line="240" w:lineRule="exact"/>
                      <w:jc w:val="center"/>
                      <w:rPr>
                        <w:rFonts w:hint="eastAsia" w:eastAsia="宋体"/>
                        <w:sz w:val="21"/>
                        <w:szCs w:val="21"/>
                      </w:rPr>
                    </w:pPr>
                    <w:r>
                      <w:rPr>
                        <w:rFonts w:hint="eastAsia" w:hAnsi="宋体"/>
                        <w:sz w:val="21"/>
                        <w:szCs w:val="21"/>
                        <w:lang w:eastAsia="zh-CN"/>
                      </w:rPr>
                      <w:t>信息传输组</w:t>
                    </w:r>
                  </w:p>
                </w:txbxContent>
              </v:textbox>
            </v:rect>
            <v:line id="_x0000_s8357" o:spid="_x0000_s8357" o:spt="20" style="position:absolute;left:7682;top:11608;flip:x;height:0;width:1080;" filled="f" stroked="t" coordsize="21600,21600">
              <v:path arrowok="t"/>
              <v:fill on="f" focussize="0,0"/>
              <v:stroke color="#000000" endarrow="block"/>
              <v:imagedata o:title=""/>
              <o:lock v:ext="edit" aspectratio="f"/>
            </v:line>
            <w10:wrap type="none"/>
            <w10:anchorlock/>
          </v:group>
        </w:pict>
      </w:r>
    </w:p>
    <w:p>
      <w:pPr>
        <w:spacing w:before="120" w:beforeLines="50"/>
        <w:jc w:val="center"/>
        <w:rPr>
          <w:b/>
          <w:szCs w:val="28"/>
        </w:rPr>
      </w:pPr>
      <w:r>
        <w:rPr>
          <w:b/>
          <w:szCs w:val="28"/>
        </w:rPr>
        <w:t>图7-</w:t>
      </w:r>
      <w:r>
        <w:rPr>
          <w:rFonts w:hint="eastAsia"/>
          <w:b/>
          <w:szCs w:val="28"/>
          <w:lang w:val="en-US" w:eastAsia="zh-CN"/>
        </w:rPr>
        <w:t>2</w:t>
      </w:r>
      <w:r>
        <w:rPr>
          <w:b/>
          <w:szCs w:val="28"/>
        </w:rPr>
        <w:t>应急响应程序</w:t>
      </w:r>
    </w:p>
    <w:p>
      <w:pPr>
        <w:spacing w:before="120" w:beforeLines="50"/>
        <w:jc w:val="center"/>
        <w:rPr>
          <w:b/>
          <w:szCs w:val="28"/>
        </w:rPr>
      </w:pPr>
    </w:p>
    <w:p>
      <w:pPr>
        <w:spacing w:line="360" w:lineRule="auto"/>
        <w:ind w:firstLine="552" w:firstLineChars="200"/>
        <w:rPr>
          <w:szCs w:val="28"/>
        </w:rPr>
      </w:pPr>
      <w:r>
        <w:rPr>
          <w:szCs w:val="28"/>
        </w:rPr>
        <w:t>按照事故的大小和发展态势，并根据分级负责的原则，各级指挥机构及对应的预案见表7-</w:t>
      </w:r>
      <w:r>
        <w:rPr>
          <w:rFonts w:hint="eastAsia"/>
          <w:szCs w:val="28"/>
          <w:lang w:val="en-US" w:eastAsia="zh-CN"/>
        </w:rPr>
        <w:t>2</w:t>
      </w:r>
      <w:r>
        <w:rPr>
          <w:szCs w:val="28"/>
        </w:rPr>
        <w:t>。</w:t>
      </w:r>
    </w:p>
    <w:p>
      <w:pPr>
        <w:spacing w:before="120" w:beforeLines="50"/>
        <w:jc w:val="center"/>
        <w:rPr>
          <w:b/>
          <w:szCs w:val="28"/>
        </w:rPr>
      </w:pPr>
    </w:p>
    <w:p>
      <w:pPr>
        <w:spacing w:before="120" w:beforeLines="50"/>
        <w:jc w:val="center"/>
        <w:rPr>
          <w:b/>
          <w:szCs w:val="28"/>
        </w:rPr>
      </w:pPr>
      <w:r>
        <w:rPr>
          <w:b/>
          <w:szCs w:val="28"/>
        </w:rPr>
        <w:t>表7-</w:t>
      </w:r>
      <w:r>
        <w:rPr>
          <w:rFonts w:hint="eastAsia"/>
          <w:b/>
          <w:szCs w:val="28"/>
        </w:rPr>
        <w:t>2</w:t>
      </w:r>
      <w:r>
        <w:rPr>
          <w:b/>
          <w:szCs w:val="28"/>
        </w:rPr>
        <w:t xml:space="preserve">  响应、指挥机构、预案对应表</w:t>
      </w:r>
    </w:p>
    <w:tbl>
      <w:tblPr>
        <w:tblStyle w:val="42"/>
        <w:tblW w:w="9286" w:type="dxa"/>
        <w:jc w:val="center"/>
        <w:tblInd w:w="0" w:type="dxa"/>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781"/>
        <w:gridCol w:w="1470"/>
        <w:gridCol w:w="3540"/>
        <w:gridCol w:w="3495"/>
      </w:tblGrid>
      <w:tr>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425" w:hRule="atLeast"/>
          <w:jc w:val="center"/>
        </w:trPr>
        <w:tc>
          <w:tcPr>
            <w:tcW w:w="781" w:type="dxa"/>
            <w:tcBorders>
              <w:top w:val="single" w:color="auto" w:sz="4" w:space="0"/>
              <w:left w:val="single" w:color="auto" w:sz="4" w:space="0"/>
              <w:bottom w:val="single" w:color="000000" w:sz="4" w:space="0"/>
            </w:tcBorders>
            <w:vAlign w:val="center"/>
          </w:tcPr>
          <w:p>
            <w:pPr>
              <w:spacing w:line="240" w:lineRule="auto"/>
              <w:jc w:val="center"/>
              <w:rPr>
                <w:b/>
                <w:sz w:val="24"/>
                <w:szCs w:val="24"/>
              </w:rPr>
            </w:pPr>
            <w:r>
              <w:rPr>
                <w:b/>
                <w:sz w:val="24"/>
                <w:szCs w:val="24"/>
              </w:rPr>
              <w:t>序号</w:t>
            </w:r>
          </w:p>
        </w:tc>
        <w:tc>
          <w:tcPr>
            <w:tcW w:w="1470" w:type="dxa"/>
            <w:tcBorders>
              <w:top w:val="single" w:color="auto" w:sz="4" w:space="0"/>
              <w:bottom w:val="single" w:color="000000" w:sz="4" w:space="0"/>
            </w:tcBorders>
            <w:vAlign w:val="center"/>
          </w:tcPr>
          <w:p>
            <w:pPr>
              <w:spacing w:line="240" w:lineRule="auto"/>
              <w:jc w:val="center"/>
              <w:rPr>
                <w:b/>
                <w:sz w:val="24"/>
                <w:szCs w:val="24"/>
              </w:rPr>
            </w:pPr>
            <w:r>
              <w:rPr>
                <w:b/>
                <w:sz w:val="24"/>
                <w:szCs w:val="24"/>
              </w:rPr>
              <w:t>响应分级</w:t>
            </w:r>
          </w:p>
        </w:tc>
        <w:tc>
          <w:tcPr>
            <w:tcW w:w="3540" w:type="dxa"/>
            <w:tcBorders>
              <w:top w:val="single" w:color="auto" w:sz="4" w:space="0"/>
              <w:bottom w:val="single" w:color="000000" w:sz="4" w:space="0"/>
            </w:tcBorders>
            <w:vAlign w:val="center"/>
          </w:tcPr>
          <w:p>
            <w:pPr>
              <w:spacing w:line="240" w:lineRule="auto"/>
              <w:jc w:val="center"/>
              <w:rPr>
                <w:b/>
                <w:sz w:val="24"/>
                <w:szCs w:val="24"/>
              </w:rPr>
            </w:pPr>
            <w:r>
              <w:rPr>
                <w:b/>
                <w:sz w:val="24"/>
                <w:szCs w:val="24"/>
              </w:rPr>
              <w:t>指挥机构分级</w:t>
            </w:r>
          </w:p>
        </w:tc>
        <w:tc>
          <w:tcPr>
            <w:tcW w:w="3495" w:type="dxa"/>
            <w:tcBorders>
              <w:top w:val="single" w:color="auto" w:sz="4" w:space="0"/>
              <w:bottom w:val="single" w:color="000000" w:sz="4" w:space="0"/>
              <w:right w:val="single" w:color="auto" w:sz="4" w:space="0"/>
            </w:tcBorders>
            <w:vAlign w:val="center"/>
          </w:tcPr>
          <w:p>
            <w:pPr>
              <w:spacing w:line="240" w:lineRule="auto"/>
              <w:jc w:val="center"/>
              <w:rPr>
                <w:b/>
                <w:sz w:val="24"/>
                <w:szCs w:val="24"/>
              </w:rPr>
            </w:pPr>
            <w:r>
              <w:rPr>
                <w:b/>
                <w:sz w:val="24"/>
                <w:szCs w:val="24"/>
              </w:rPr>
              <w:t>预案体系分级</w:t>
            </w:r>
          </w:p>
        </w:tc>
      </w:tr>
      <w:tr>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425" w:hRule="atLeast"/>
          <w:jc w:val="center"/>
        </w:trPr>
        <w:tc>
          <w:tcPr>
            <w:tcW w:w="781" w:type="dxa"/>
            <w:tcBorders>
              <w:top w:val="single" w:color="000000" w:sz="4" w:space="0"/>
              <w:left w:val="single" w:color="auto" w:sz="4" w:space="0"/>
              <w:bottom w:val="single" w:color="000000" w:sz="4" w:space="0"/>
            </w:tcBorders>
            <w:vAlign w:val="center"/>
          </w:tcPr>
          <w:p>
            <w:pPr>
              <w:spacing w:line="240" w:lineRule="auto"/>
              <w:jc w:val="center"/>
              <w:rPr>
                <w:sz w:val="24"/>
                <w:szCs w:val="24"/>
              </w:rPr>
            </w:pPr>
            <w:r>
              <w:rPr>
                <w:sz w:val="24"/>
                <w:szCs w:val="24"/>
              </w:rPr>
              <w:t>1</w:t>
            </w:r>
          </w:p>
        </w:tc>
        <w:tc>
          <w:tcPr>
            <w:tcW w:w="1470" w:type="dxa"/>
            <w:tcBorders>
              <w:top w:val="single" w:color="000000" w:sz="4" w:space="0"/>
              <w:bottom w:val="single" w:color="auto" w:sz="4" w:space="0"/>
            </w:tcBorders>
            <w:vAlign w:val="center"/>
          </w:tcPr>
          <w:p>
            <w:pPr>
              <w:spacing w:line="240" w:lineRule="auto"/>
              <w:jc w:val="center"/>
              <w:rPr>
                <w:sz w:val="24"/>
                <w:szCs w:val="24"/>
              </w:rPr>
            </w:pPr>
            <w:r>
              <w:rPr>
                <w:sz w:val="24"/>
                <w:szCs w:val="24"/>
              </w:rPr>
              <w:t>一级响应</w:t>
            </w:r>
          </w:p>
        </w:tc>
        <w:tc>
          <w:tcPr>
            <w:tcW w:w="3540" w:type="dxa"/>
            <w:tcBorders>
              <w:top w:val="single" w:color="000000" w:sz="4" w:space="0"/>
              <w:bottom w:val="single" w:color="auto" w:sz="4" w:space="0"/>
            </w:tcBorders>
            <w:vAlign w:val="center"/>
          </w:tcPr>
          <w:p>
            <w:pPr>
              <w:spacing w:line="240" w:lineRule="auto"/>
              <w:jc w:val="center"/>
              <w:rPr>
                <w:sz w:val="24"/>
                <w:szCs w:val="24"/>
              </w:rPr>
            </w:pPr>
            <w:r>
              <w:rPr>
                <w:rFonts w:hint="eastAsia"/>
                <w:sz w:val="24"/>
                <w:szCs w:val="24"/>
                <w:lang w:eastAsia="zh-CN"/>
              </w:rPr>
              <w:t>民众镇</w:t>
            </w:r>
            <w:r>
              <w:rPr>
                <w:sz w:val="24"/>
                <w:szCs w:val="24"/>
              </w:rPr>
              <w:t>应急指挥部</w:t>
            </w:r>
          </w:p>
        </w:tc>
        <w:tc>
          <w:tcPr>
            <w:tcW w:w="3495" w:type="dxa"/>
            <w:tcBorders>
              <w:top w:val="single" w:color="000000" w:sz="4" w:space="0"/>
              <w:bottom w:val="single" w:color="000000" w:sz="4" w:space="0"/>
              <w:right w:val="single" w:color="auto" w:sz="4" w:space="0"/>
            </w:tcBorders>
            <w:vAlign w:val="center"/>
          </w:tcPr>
          <w:p>
            <w:pPr>
              <w:spacing w:line="240" w:lineRule="auto"/>
              <w:jc w:val="center"/>
              <w:rPr>
                <w:sz w:val="24"/>
                <w:szCs w:val="24"/>
              </w:rPr>
            </w:pPr>
            <w:r>
              <w:rPr>
                <w:rFonts w:hint="eastAsia"/>
                <w:sz w:val="24"/>
                <w:szCs w:val="24"/>
                <w:lang w:eastAsia="zh-CN"/>
              </w:rPr>
              <w:t>民众镇</w:t>
            </w:r>
            <w:r>
              <w:rPr>
                <w:sz w:val="24"/>
                <w:szCs w:val="24"/>
              </w:rPr>
              <w:t>应急预案</w:t>
            </w:r>
          </w:p>
        </w:tc>
      </w:tr>
      <w:tr>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425" w:hRule="atLeast"/>
          <w:jc w:val="center"/>
        </w:trPr>
        <w:tc>
          <w:tcPr>
            <w:tcW w:w="781" w:type="dxa"/>
            <w:tcBorders>
              <w:top w:val="single" w:color="000000" w:sz="4" w:space="0"/>
              <w:left w:val="single" w:color="auto" w:sz="4" w:space="0"/>
              <w:bottom w:val="single" w:color="000000" w:sz="4" w:space="0"/>
            </w:tcBorders>
            <w:vAlign w:val="center"/>
          </w:tcPr>
          <w:p>
            <w:pPr>
              <w:spacing w:line="240" w:lineRule="auto"/>
              <w:jc w:val="center"/>
              <w:rPr>
                <w:sz w:val="24"/>
                <w:szCs w:val="24"/>
              </w:rPr>
            </w:pPr>
            <w:r>
              <w:rPr>
                <w:sz w:val="24"/>
                <w:szCs w:val="24"/>
              </w:rPr>
              <w:t>2</w:t>
            </w:r>
          </w:p>
        </w:tc>
        <w:tc>
          <w:tcPr>
            <w:tcW w:w="1470" w:type="dxa"/>
            <w:tcBorders>
              <w:top w:val="single" w:color="auto" w:sz="4" w:space="0"/>
              <w:bottom w:val="single" w:color="000000" w:sz="4" w:space="0"/>
            </w:tcBorders>
            <w:vAlign w:val="center"/>
          </w:tcPr>
          <w:p>
            <w:pPr>
              <w:spacing w:line="240" w:lineRule="auto"/>
              <w:jc w:val="center"/>
              <w:rPr>
                <w:sz w:val="24"/>
                <w:szCs w:val="24"/>
              </w:rPr>
            </w:pPr>
            <w:r>
              <w:rPr>
                <w:sz w:val="24"/>
                <w:szCs w:val="24"/>
              </w:rPr>
              <w:t>二级响应</w:t>
            </w:r>
          </w:p>
        </w:tc>
        <w:tc>
          <w:tcPr>
            <w:tcW w:w="3540" w:type="dxa"/>
            <w:tcBorders>
              <w:top w:val="single" w:color="auto" w:sz="4" w:space="0"/>
              <w:bottom w:val="single" w:color="000000" w:sz="4" w:space="0"/>
            </w:tcBorders>
            <w:vAlign w:val="center"/>
          </w:tcPr>
          <w:p>
            <w:pPr>
              <w:spacing w:line="240" w:lineRule="auto"/>
              <w:jc w:val="center"/>
              <w:rPr>
                <w:rFonts w:hint="eastAsia" w:eastAsia="宋体"/>
                <w:sz w:val="24"/>
                <w:szCs w:val="24"/>
                <w:lang w:eastAsia="zh-CN"/>
              </w:rPr>
            </w:pPr>
            <w:r>
              <w:rPr>
                <w:rFonts w:hint="eastAsia"/>
                <w:sz w:val="24"/>
                <w:szCs w:val="24"/>
                <w:lang w:eastAsia="zh-CN"/>
              </w:rPr>
              <w:t>民东公司</w:t>
            </w:r>
            <w:r>
              <w:rPr>
                <w:sz w:val="24"/>
                <w:szCs w:val="24"/>
              </w:rPr>
              <w:t>应急指挥</w:t>
            </w:r>
            <w:r>
              <w:rPr>
                <w:rFonts w:hint="eastAsia"/>
                <w:sz w:val="24"/>
                <w:szCs w:val="24"/>
                <w:lang w:eastAsia="zh-CN"/>
              </w:rPr>
              <w:t>部</w:t>
            </w:r>
          </w:p>
        </w:tc>
        <w:tc>
          <w:tcPr>
            <w:tcW w:w="3495" w:type="dxa"/>
            <w:tcBorders>
              <w:top w:val="single" w:color="000000" w:sz="4" w:space="0"/>
              <w:bottom w:val="single" w:color="000000" w:sz="4" w:space="0"/>
              <w:right w:val="single" w:color="auto" w:sz="4" w:space="0"/>
            </w:tcBorders>
            <w:vAlign w:val="center"/>
          </w:tcPr>
          <w:p>
            <w:pPr>
              <w:spacing w:line="240" w:lineRule="auto"/>
              <w:jc w:val="center"/>
              <w:rPr>
                <w:sz w:val="24"/>
                <w:szCs w:val="24"/>
              </w:rPr>
            </w:pPr>
            <w:r>
              <w:rPr>
                <w:rFonts w:hint="eastAsia"/>
                <w:sz w:val="24"/>
                <w:szCs w:val="24"/>
                <w:lang w:eastAsia="zh-CN"/>
              </w:rPr>
              <w:t>民东</w:t>
            </w:r>
            <w:r>
              <w:rPr>
                <w:sz w:val="24"/>
                <w:szCs w:val="24"/>
              </w:rPr>
              <w:t>应急预案</w:t>
            </w:r>
          </w:p>
        </w:tc>
      </w:tr>
      <w:tr>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425" w:hRule="atLeast"/>
          <w:jc w:val="center"/>
        </w:trPr>
        <w:tc>
          <w:tcPr>
            <w:tcW w:w="781" w:type="dxa"/>
            <w:tcBorders>
              <w:top w:val="single" w:color="000000" w:sz="4" w:space="0"/>
              <w:left w:val="single" w:color="auto" w:sz="4" w:space="0"/>
              <w:bottom w:val="single" w:color="auto" w:sz="4" w:space="0"/>
            </w:tcBorders>
            <w:vAlign w:val="center"/>
          </w:tcPr>
          <w:p>
            <w:pPr>
              <w:spacing w:line="240" w:lineRule="auto"/>
              <w:jc w:val="center"/>
              <w:rPr>
                <w:sz w:val="24"/>
                <w:szCs w:val="24"/>
              </w:rPr>
            </w:pPr>
            <w:r>
              <w:rPr>
                <w:sz w:val="24"/>
                <w:szCs w:val="24"/>
              </w:rPr>
              <w:t>3</w:t>
            </w:r>
          </w:p>
        </w:tc>
        <w:tc>
          <w:tcPr>
            <w:tcW w:w="1470" w:type="dxa"/>
            <w:tcBorders>
              <w:top w:val="single" w:color="000000" w:sz="4" w:space="0"/>
              <w:bottom w:val="single" w:color="auto" w:sz="4" w:space="0"/>
            </w:tcBorders>
            <w:vAlign w:val="center"/>
          </w:tcPr>
          <w:p>
            <w:pPr>
              <w:spacing w:line="240" w:lineRule="auto"/>
              <w:jc w:val="center"/>
              <w:rPr>
                <w:sz w:val="24"/>
                <w:szCs w:val="24"/>
              </w:rPr>
            </w:pPr>
            <w:r>
              <w:rPr>
                <w:sz w:val="24"/>
                <w:szCs w:val="24"/>
              </w:rPr>
              <w:t>三级响应</w:t>
            </w:r>
          </w:p>
        </w:tc>
        <w:tc>
          <w:tcPr>
            <w:tcW w:w="3540" w:type="dxa"/>
            <w:tcBorders>
              <w:top w:val="single" w:color="000000" w:sz="4" w:space="0"/>
              <w:bottom w:val="single" w:color="auto" w:sz="4" w:space="0"/>
            </w:tcBorders>
            <w:vAlign w:val="center"/>
          </w:tcPr>
          <w:p>
            <w:pPr>
              <w:spacing w:line="240" w:lineRule="auto"/>
              <w:jc w:val="center"/>
              <w:rPr>
                <w:sz w:val="24"/>
                <w:szCs w:val="24"/>
              </w:rPr>
            </w:pPr>
            <w:r>
              <w:rPr>
                <w:sz w:val="24"/>
                <w:szCs w:val="24"/>
              </w:rPr>
              <w:t>公司负责人或</w:t>
            </w:r>
            <w:r>
              <w:rPr>
                <w:rFonts w:hint="eastAsia"/>
                <w:sz w:val="24"/>
                <w:szCs w:val="24"/>
                <w:lang w:eastAsia="zh-CN"/>
              </w:rPr>
              <w:t>相关</w:t>
            </w:r>
            <w:r>
              <w:rPr>
                <w:sz w:val="24"/>
                <w:szCs w:val="24"/>
              </w:rPr>
              <w:t>负责人</w:t>
            </w:r>
          </w:p>
        </w:tc>
        <w:tc>
          <w:tcPr>
            <w:tcW w:w="3495" w:type="dxa"/>
            <w:tcBorders>
              <w:top w:val="single" w:color="000000" w:sz="4" w:space="0"/>
              <w:bottom w:val="single" w:color="auto" w:sz="4" w:space="0"/>
              <w:right w:val="single" w:color="auto" w:sz="4" w:space="0"/>
            </w:tcBorders>
            <w:vAlign w:val="center"/>
          </w:tcPr>
          <w:p>
            <w:pPr>
              <w:spacing w:line="240" w:lineRule="auto"/>
              <w:jc w:val="center"/>
              <w:rPr>
                <w:sz w:val="24"/>
                <w:szCs w:val="24"/>
              </w:rPr>
            </w:pPr>
            <w:r>
              <w:rPr>
                <w:sz w:val="24"/>
                <w:szCs w:val="24"/>
              </w:rPr>
              <w:t>现场处置方案、专项应急预案</w:t>
            </w:r>
          </w:p>
        </w:tc>
      </w:tr>
    </w:tbl>
    <w:p>
      <w:pPr>
        <w:pStyle w:val="3"/>
      </w:pPr>
      <w:bookmarkStart w:id="271" w:name="_Toc346756504"/>
      <w:bookmarkStart w:id="272" w:name="_Toc9187"/>
      <w:bookmarkStart w:id="273" w:name="_Toc1358"/>
      <w:bookmarkStart w:id="274" w:name="_Toc22223"/>
      <w:bookmarkStart w:id="275" w:name="_Toc26989"/>
      <w:r>
        <w:t>7.4应急</w:t>
      </w:r>
      <w:bookmarkEnd w:id="271"/>
      <w:r>
        <w:t>处置</w:t>
      </w:r>
      <w:bookmarkEnd w:id="272"/>
      <w:bookmarkEnd w:id="273"/>
      <w:bookmarkEnd w:id="274"/>
      <w:bookmarkEnd w:id="275"/>
    </w:p>
    <w:p>
      <w:pPr>
        <w:pStyle w:val="17"/>
        <w:spacing w:before="120" w:beforeLines="50" w:after="120" w:afterLines="50"/>
        <w:ind w:firstLine="0" w:firstLineChars="0"/>
        <w:outlineLvl w:val="2"/>
        <w:rPr>
          <w:rFonts w:ascii="Times New Roman" w:hAnsi="Times New Roman"/>
          <w:b/>
        </w:rPr>
      </w:pPr>
      <w:bookmarkStart w:id="276" w:name="_Toc390337479"/>
      <w:bookmarkStart w:id="277" w:name="_Toc13865"/>
      <w:bookmarkStart w:id="278" w:name="_Toc353955105"/>
      <w:bookmarkStart w:id="279" w:name="_Toc353888263"/>
      <w:bookmarkStart w:id="280" w:name="_Toc353888811"/>
      <w:bookmarkStart w:id="281" w:name="_Toc354045341"/>
      <w:bookmarkStart w:id="282" w:name="_Toc346756505"/>
      <w:r>
        <w:rPr>
          <w:rFonts w:ascii="Times New Roman" w:hAnsi="Times New Roman"/>
          <w:b/>
        </w:rPr>
        <w:t>7.4.1应急处置流程</w:t>
      </w:r>
      <w:bookmarkEnd w:id="276"/>
      <w:bookmarkEnd w:id="277"/>
    </w:p>
    <w:p>
      <w:pPr>
        <w:spacing w:line="360" w:lineRule="auto"/>
        <w:ind w:firstLine="570"/>
        <w:rPr>
          <w:szCs w:val="28"/>
        </w:rPr>
      </w:pPr>
      <w:r>
        <w:rPr>
          <w:szCs w:val="28"/>
        </w:rPr>
        <w:t>事件发生后，应急指挥</w:t>
      </w:r>
      <w:r>
        <w:rPr>
          <w:rFonts w:hint="eastAsia"/>
          <w:szCs w:val="28"/>
          <w:lang w:eastAsia="zh-CN"/>
        </w:rPr>
        <w:t>部</w:t>
      </w:r>
      <w:r>
        <w:rPr>
          <w:szCs w:val="28"/>
        </w:rPr>
        <w:t>迅速组织各专业应急小组人员，并集合</w:t>
      </w:r>
      <w:r>
        <w:rPr>
          <w:rFonts w:hint="eastAsia"/>
          <w:szCs w:val="28"/>
        </w:rPr>
        <w:t>到</w:t>
      </w:r>
      <w:r>
        <w:rPr>
          <w:szCs w:val="28"/>
        </w:rPr>
        <w:t>待命调遣。应急救援人员到达现场后，必须遵循“以人为本”的原则，迅速将无关人员按既定逃生路线转移出危险区。根据实际情况设置警戒线，按事故应急救援预案的程序，启动预案，各职能人员开展工作。并根据响应级别不同立即向部门负责人、总指挥、</w:t>
      </w:r>
      <w:r>
        <w:rPr>
          <w:rFonts w:hint="eastAsia"/>
          <w:szCs w:val="28"/>
          <w:lang w:eastAsia="zh-CN"/>
        </w:rPr>
        <w:t>民众镇生态环境分局</w:t>
      </w:r>
      <w:r>
        <w:rPr>
          <w:szCs w:val="28"/>
        </w:rPr>
        <w:t>、中山市</w:t>
      </w:r>
      <w:r>
        <w:rPr>
          <w:rFonts w:hint="eastAsia"/>
          <w:szCs w:val="28"/>
          <w:lang w:eastAsia="zh-CN"/>
        </w:rPr>
        <w:t>生态环境</w:t>
      </w:r>
      <w:r>
        <w:rPr>
          <w:szCs w:val="28"/>
        </w:rPr>
        <w:t>局和政府相关部门报告和请求支援，向周边企业和村庄通报情况。</w:t>
      </w:r>
    </w:p>
    <w:p>
      <w:pPr>
        <w:pStyle w:val="17"/>
        <w:spacing w:before="120" w:beforeLines="50" w:after="120" w:afterLines="50"/>
        <w:ind w:firstLine="0" w:firstLineChars="0"/>
        <w:outlineLvl w:val="2"/>
        <w:rPr>
          <w:rFonts w:ascii="Times New Roman" w:hAnsi="Times New Roman"/>
          <w:b/>
        </w:rPr>
      </w:pPr>
      <w:bookmarkStart w:id="283" w:name="_Toc23844"/>
      <w:bookmarkStart w:id="284" w:name="_Toc390337480"/>
      <w:r>
        <w:rPr>
          <w:rFonts w:ascii="Times New Roman" w:hAnsi="Times New Roman"/>
          <w:b/>
        </w:rPr>
        <w:t>7.4.2</w:t>
      </w:r>
      <w:r>
        <w:rPr>
          <w:rFonts w:hint="eastAsia" w:ascii="Times New Roman" w:hAnsi="Times New Roman"/>
          <w:b/>
          <w:lang w:eastAsia="zh-CN"/>
        </w:rPr>
        <w:t>污泥</w:t>
      </w:r>
      <w:r>
        <w:rPr>
          <w:rFonts w:hint="eastAsia" w:ascii="Times New Roman" w:hAnsi="Times New Roman"/>
          <w:b/>
        </w:rPr>
        <w:t>泄漏应</w:t>
      </w:r>
      <w:r>
        <w:rPr>
          <w:rFonts w:ascii="Times New Roman" w:hAnsi="Times New Roman"/>
          <w:b/>
        </w:rPr>
        <w:t>急处置措施</w:t>
      </w:r>
      <w:bookmarkEnd w:id="283"/>
      <w:bookmarkEnd w:id="284"/>
    </w:p>
    <w:p>
      <w:pPr>
        <w:widowControl/>
        <w:spacing w:line="360" w:lineRule="auto"/>
        <w:ind w:firstLine="554" w:firstLineChars="200"/>
        <w:jc w:val="left"/>
        <w:rPr>
          <w:b/>
          <w:szCs w:val="28"/>
        </w:rPr>
      </w:pPr>
      <w:r>
        <w:rPr>
          <w:b/>
          <w:szCs w:val="28"/>
        </w:rPr>
        <w:t>当发生事故1时：在</w:t>
      </w:r>
      <w:r>
        <w:rPr>
          <w:rFonts w:hint="eastAsia"/>
          <w:b/>
          <w:szCs w:val="28"/>
          <w:lang w:eastAsia="zh-CN"/>
        </w:rPr>
        <w:t>前处理车间、热水解站、脱水单元等</w:t>
      </w:r>
      <w:r>
        <w:rPr>
          <w:b/>
          <w:szCs w:val="28"/>
        </w:rPr>
        <w:t>，因设备损坏或人为操作不当而导致的少量</w:t>
      </w:r>
      <w:r>
        <w:rPr>
          <w:rFonts w:hint="eastAsia"/>
          <w:b/>
          <w:szCs w:val="28"/>
          <w:lang w:eastAsia="zh-CN"/>
        </w:rPr>
        <w:t>污泥、热水解污泥</w:t>
      </w:r>
      <w:r>
        <w:rPr>
          <w:b/>
          <w:szCs w:val="28"/>
        </w:rPr>
        <w:t>泄漏，</w:t>
      </w:r>
      <w:r>
        <w:rPr>
          <w:rFonts w:hint="eastAsia"/>
          <w:b/>
          <w:szCs w:val="28"/>
        </w:rPr>
        <w:t>应采取以下</w:t>
      </w:r>
      <w:r>
        <w:rPr>
          <w:b/>
          <w:szCs w:val="28"/>
        </w:rPr>
        <w:t>应急处置措施：</w:t>
      </w:r>
    </w:p>
    <w:p>
      <w:pPr>
        <w:widowControl/>
        <w:numPr>
          <w:ilvl w:val="0"/>
          <w:numId w:val="9"/>
        </w:numPr>
        <w:spacing w:line="360" w:lineRule="auto"/>
        <w:ind w:firstLine="552" w:firstLineChars="200"/>
        <w:jc w:val="left"/>
        <w:rPr>
          <w:szCs w:val="28"/>
        </w:rPr>
      </w:pPr>
      <w:r>
        <w:rPr>
          <w:szCs w:val="28"/>
        </w:rPr>
        <w:t>当班人员</w:t>
      </w:r>
      <w:r>
        <w:rPr>
          <w:rFonts w:hint="eastAsia"/>
          <w:szCs w:val="28"/>
          <w:lang w:eastAsia="zh-CN"/>
        </w:rPr>
        <w:t>应立即停止相关作业，关闭相关设备及阀门；</w:t>
      </w:r>
      <w:r>
        <w:rPr>
          <w:szCs w:val="28"/>
        </w:rPr>
        <w:t>将泄漏情况向</w:t>
      </w:r>
      <w:r>
        <w:rPr>
          <w:rFonts w:hint="eastAsia"/>
          <w:szCs w:val="28"/>
          <w:lang w:eastAsia="zh-CN"/>
        </w:rPr>
        <w:t>生产</w:t>
      </w:r>
      <w:r>
        <w:rPr>
          <w:szCs w:val="28"/>
        </w:rPr>
        <w:t>主管</w:t>
      </w:r>
      <w:r>
        <w:rPr>
          <w:rFonts w:hint="eastAsia"/>
          <w:szCs w:val="28"/>
          <w:lang w:eastAsia="zh-CN"/>
        </w:rPr>
        <w:t>，生产主管接报后立即向信息传输组</w:t>
      </w:r>
      <w:r>
        <w:rPr>
          <w:szCs w:val="28"/>
        </w:rPr>
        <w:t>报告</w:t>
      </w:r>
      <w:r>
        <w:rPr>
          <w:rFonts w:hint="eastAsia"/>
          <w:szCs w:val="28"/>
          <w:lang w:eastAsia="zh-CN"/>
        </w:rPr>
        <w:t>，由信息传输组通知其他生产部门及其他相关应急小组；</w:t>
      </w:r>
    </w:p>
    <w:p>
      <w:pPr>
        <w:widowControl/>
        <w:numPr>
          <w:ilvl w:val="0"/>
          <w:numId w:val="9"/>
        </w:numPr>
        <w:spacing w:line="360" w:lineRule="auto"/>
        <w:ind w:firstLine="552" w:firstLineChars="200"/>
        <w:jc w:val="left"/>
        <w:rPr>
          <w:szCs w:val="28"/>
        </w:rPr>
      </w:pPr>
      <w:r>
        <w:rPr>
          <w:rFonts w:hint="eastAsia"/>
          <w:szCs w:val="28"/>
          <w:lang w:eastAsia="zh-CN"/>
        </w:rPr>
        <w:t>应急救援人员</w:t>
      </w:r>
      <w:r>
        <w:rPr>
          <w:szCs w:val="28"/>
        </w:rPr>
        <w:t>应在避免与泄漏物直接接触的前提下，</w:t>
      </w:r>
      <w:r>
        <w:rPr>
          <w:rFonts w:hint="eastAsia"/>
          <w:szCs w:val="28"/>
          <w:lang w:eastAsia="zh-CN"/>
        </w:rPr>
        <w:t>对泄露区域地面、导流沟内泄露物质进行清理；</w:t>
      </w:r>
    </w:p>
    <w:p>
      <w:pPr>
        <w:widowControl/>
        <w:spacing w:line="360" w:lineRule="auto"/>
        <w:ind w:firstLine="552" w:firstLineChars="200"/>
        <w:jc w:val="left"/>
        <w:rPr>
          <w:rFonts w:hint="eastAsia"/>
          <w:szCs w:val="28"/>
          <w:lang w:eastAsia="zh-CN"/>
        </w:rPr>
      </w:pPr>
      <w:r>
        <w:rPr>
          <w:szCs w:val="28"/>
        </w:rPr>
        <w:t>（</w:t>
      </w:r>
      <w:r>
        <w:rPr>
          <w:rFonts w:hint="eastAsia"/>
          <w:szCs w:val="28"/>
          <w:lang w:val="en-US" w:eastAsia="zh-CN"/>
        </w:rPr>
        <w:t>3</w:t>
      </w:r>
      <w:r>
        <w:rPr>
          <w:szCs w:val="28"/>
        </w:rPr>
        <w:t>）对泄漏区域进行清</w:t>
      </w:r>
      <w:r>
        <w:rPr>
          <w:rFonts w:hint="eastAsia"/>
          <w:szCs w:val="28"/>
          <w:lang w:eastAsia="zh-CN"/>
        </w:rPr>
        <w:t>洗，洗消废水及泄露污泥进入前处理车间初调池进行重新处理；</w:t>
      </w:r>
    </w:p>
    <w:p>
      <w:pPr>
        <w:widowControl/>
        <w:spacing w:line="360" w:lineRule="auto"/>
        <w:ind w:firstLine="552" w:firstLineChars="200"/>
        <w:jc w:val="left"/>
        <w:rPr>
          <w:szCs w:val="28"/>
        </w:rPr>
      </w:pPr>
      <w:r>
        <w:rPr>
          <w:szCs w:val="28"/>
        </w:rPr>
        <w:t>（</w:t>
      </w:r>
      <w:r>
        <w:rPr>
          <w:rFonts w:hint="eastAsia"/>
          <w:szCs w:val="28"/>
          <w:lang w:val="en-US" w:eastAsia="zh-CN"/>
        </w:rPr>
        <w:t>4</w:t>
      </w:r>
      <w:r>
        <w:rPr>
          <w:szCs w:val="28"/>
        </w:rPr>
        <w:t>）将泄漏及处理情况向</w:t>
      </w:r>
      <w:r>
        <w:rPr>
          <w:rFonts w:hint="eastAsia"/>
          <w:szCs w:val="28"/>
          <w:lang w:eastAsia="zh-CN"/>
        </w:rPr>
        <w:t>应急指挥部</w:t>
      </w:r>
      <w:r>
        <w:rPr>
          <w:szCs w:val="28"/>
        </w:rPr>
        <w:t>报告。</w:t>
      </w:r>
    </w:p>
    <w:p>
      <w:pPr>
        <w:widowControl/>
        <w:spacing w:line="360" w:lineRule="auto"/>
        <w:ind w:firstLine="554" w:firstLineChars="200"/>
        <w:jc w:val="left"/>
        <w:rPr>
          <w:b/>
          <w:szCs w:val="28"/>
        </w:rPr>
      </w:pPr>
      <w:r>
        <w:rPr>
          <w:b/>
          <w:szCs w:val="28"/>
        </w:rPr>
        <w:t>当发生事故2</w:t>
      </w:r>
      <w:r>
        <w:rPr>
          <w:rFonts w:hint="eastAsia"/>
          <w:b/>
          <w:szCs w:val="28"/>
        </w:rPr>
        <w:t>时</w:t>
      </w:r>
      <w:r>
        <w:rPr>
          <w:b/>
          <w:szCs w:val="28"/>
        </w:rPr>
        <w:t>：</w:t>
      </w:r>
      <w:r>
        <w:rPr>
          <w:rFonts w:hint="eastAsia"/>
          <w:b/>
          <w:szCs w:val="28"/>
          <w:lang w:eastAsia="zh-CN"/>
        </w:rPr>
        <w:t>厌氧储罐</w:t>
      </w:r>
      <w:r>
        <w:rPr>
          <w:b/>
          <w:szCs w:val="28"/>
        </w:rPr>
        <w:t>中发生少量泄漏，</w:t>
      </w:r>
      <w:r>
        <w:rPr>
          <w:rFonts w:hint="eastAsia"/>
          <w:b/>
          <w:szCs w:val="28"/>
        </w:rPr>
        <w:t>应采取以下</w:t>
      </w:r>
      <w:r>
        <w:rPr>
          <w:b/>
          <w:szCs w:val="28"/>
        </w:rPr>
        <w:t>应急处置措施：</w:t>
      </w:r>
    </w:p>
    <w:p>
      <w:pPr>
        <w:widowControl/>
        <w:numPr>
          <w:ilvl w:val="0"/>
          <w:numId w:val="10"/>
        </w:numPr>
        <w:spacing w:line="360" w:lineRule="auto"/>
        <w:ind w:firstLine="552" w:firstLineChars="200"/>
        <w:jc w:val="left"/>
        <w:rPr>
          <w:rFonts w:hint="eastAsia"/>
          <w:szCs w:val="28"/>
          <w:lang w:eastAsia="zh-CN"/>
        </w:rPr>
      </w:pPr>
      <w:r>
        <w:rPr>
          <w:szCs w:val="28"/>
        </w:rPr>
        <w:t>当班人员</w:t>
      </w:r>
      <w:r>
        <w:rPr>
          <w:rFonts w:hint="eastAsia"/>
          <w:szCs w:val="28"/>
          <w:lang w:eastAsia="zh-CN"/>
        </w:rPr>
        <w:t>应立即</w:t>
      </w:r>
      <w:r>
        <w:rPr>
          <w:szCs w:val="28"/>
        </w:rPr>
        <w:t>将泄漏情况向</w:t>
      </w:r>
      <w:r>
        <w:rPr>
          <w:rFonts w:hint="eastAsia"/>
          <w:szCs w:val="28"/>
          <w:lang w:eastAsia="zh-CN"/>
        </w:rPr>
        <w:t>生产</w:t>
      </w:r>
      <w:r>
        <w:rPr>
          <w:szCs w:val="28"/>
        </w:rPr>
        <w:t>主管</w:t>
      </w:r>
      <w:r>
        <w:rPr>
          <w:rFonts w:hint="eastAsia"/>
          <w:szCs w:val="28"/>
          <w:lang w:eastAsia="zh-CN"/>
        </w:rPr>
        <w:t>，生产主管接报后立即向信息传输组</w:t>
      </w:r>
      <w:r>
        <w:rPr>
          <w:szCs w:val="28"/>
        </w:rPr>
        <w:t>报告</w:t>
      </w:r>
      <w:r>
        <w:rPr>
          <w:rFonts w:hint="eastAsia"/>
          <w:szCs w:val="28"/>
          <w:lang w:eastAsia="zh-CN"/>
        </w:rPr>
        <w:t>，由信息传输组通知其他生产部门及其他相关应急小组；</w:t>
      </w:r>
    </w:p>
    <w:p>
      <w:pPr>
        <w:widowControl/>
        <w:numPr>
          <w:ilvl w:val="0"/>
          <w:numId w:val="10"/>
        </w:numPr>
        <w:spacing w:line="360" w:lineRule="auto"/>
        <w:ind w:firstLine="552" w:firstLineChars="200"/>
        <w:jc w:val="left"/>
        <w:rPr>
          <w:rFonts w:hint="eastAsia"/>
          <w:szCs w:val="28"/>
          <w:lang w:eastAsia="zh-CN"/>
        </w:rPr>
      </w:pPr>
      <w:r>
        <w:rPr>
          <w:rFonts w:hint="eastAsia"/>
          <w:szCs w:val="28"/>
          <w:lang w:eastAsia="zh-CN"/>
        </w:rPr>
        <w:t>当班人员应尽可能将泄露储罐内消化污泥进行转移；</w:t>
      </w:r>
    </w:p>
    <w:p>
      <w:pPr>
        <w:widowControl/>
        <w:numPr>
          <w:ilvl w:val="0"/>
          <w:numId w:val="10"/>
        </w:numPr>
        <w:spacing w:line="360" w:lineRule="auto"/>
        <w:ind w:firstLine="552" w:firstLineChars="200"/>
        <w:jc w:val="left"/>
        <w:rPr>
          <w:szCs w:val="28"/>
        </w:rPr>
      </w:pPr>
      <w:r>
        <w:rPr>
          <w:rFonts w:hint="eastAsia"/>
          <w:szCs w:val="28"/>
          <w:lang w:eastAsia="zh-CN"/>
        </w:rPr>
        <w:t>应急救援人员立即对泄露位置抢修，</w:t>
      </w:r>
      <w:r>
        <w:rPr>
          <w:szCs w:val="28"/>
        </w:rPr>
        <w:t>在避免与泄漏物直接接触的前提下，</w:t>
      </w:r>
      <w:r>
        <w:rPr>
          <w:rFonts w:hint="eastAsia"/>
          <w:szCs w:val="28"/>
          <w:lang w:eastAsia="zh-CN"/>
        </w:rPr>
        <w:t>对泄露区域地面、围堰内泄露物质进行清理；</w:t>
      </w:r>
      <w:r>
        <w:rPr>
          <w:szCs w:val="28"/>
        </w:rPr>
        <w:t>将泄漏</w:t>
      </w:r>
      <w:r>
        <w:rPr>
          <w:rFonts w:hint="eastAsia"/>
          <w:szCs w:val="28"/>
          <w:lang w:eastAsia="zh-CN"/>
        </w:rPr>
        <w:t>物资</w:t>
      </w:r>
      <w:r>
        <w:rPr>
          <w:szCs w:val="28"/>
        </w:rPr>
        <w:t>导流至事故应急池内；待事故得到控制后，将事故池内的</w:t>
      </w:r>
      <w:r>
        <w:rPr>
          <w:rFonts w:hint="eastAsia"/>
          <w:szCs w:val="28"/>
          <w:lang w:eastAsia="zh-CN"/>
        </w:rPr>
        <w:t>污泥泵至前处理车间重新处理；</w:t>
      </w:r>
    </w:p>
    <w:p>
      <w:pPr>
        <w:widowControl/>
        <w:spacing w:line="360" w:lineRule="auto"/>
        <w:ind w:firstLine="552" w:firstLineChars="200"/>
        <w:jc w:val="left"/>
        <w:rPr>
          <w:rFonts w:hint="eastAsia"/>
          <w:szCs w:val="28"/>
        </w:rPr>
      </w:pPr>
      <w:r>
        <w:rPr>
          <w:szCs w:val="28"/>
        </w:rPr>
        <w:t>（</w:t>
      </w:r>
      <w:r>
        <w:rPr>
          <w:rFonts w:hint="eastAsia"/>
          <w:szCs w:val="28"/>
          <w:lang w:val="en-US" w:eastAsia="zh-CN"/>
        </w:rPr>
        <w:t>4</w:t>
      </w:r>
      <w:r>
        <w:rPr>
          <w:szCs w:val="28"/>
        </w:rPr>
        <w:t>）将泄漏及处理情况向</w:t>
      </w:r>
      <w:r>
        <w:rPr>
          <w:rFonts w:hint="eastAsia"/>
          <w:szCs w:val="28"/>
          <w:lang w:eastAsia="zh-CN"/>
        </w:rPr>
        <w:t>应急指挥部</w:t>
      </w:r>
      <w:r>
        <w:rPr>
          <w:szCs w:val="28"/>
        </w:rPr>
        <w:t>报告。</w:t>
      </w:r>
    </w:p>
    <w:p>
      <w:pPr>
        <w:widowControl/>
        <w:spacing w:line="360" w:lineRule="auto"/>
        <w:ind w:firstLine="554" w:firstLineChars="200"/>
        <w:jc w:val="left"/>
        <w:rPr>
          <w:b/>
          <w:szCs w:val="28"/>
        </w:rPr>
      </w:pPr>
      <w:r>
        <w:rPr>
          <w:b/>
          <w:szCs w:val="28"/>
        </w:rPr>
        <w:t>当发生事故</w:t>
      </w:r>
      <w:r>
        <w:rPr>
          <w:rFonts w:hint="eastAsia"/>
          <w:b/>
          <w:szCs w:val="28"/>
          <w:lang w:val="en-US" w:eastAsia="zh-CN"/>
        </w:rPr>
        <w:t>3</w:t>
      </w:r>
      <w:r>
        <w:rPr>
          <w:b/>
          <w:szCs w:val="28"/>
        </w:rPr>
        <w:t>时：</w:t>
      </w:r>
      <w:r>
        <w:rPr>
          <w:rFonts w:hint="eastAsia"/>
          <w:b/>
          <w:szCs w:val="28"/>
          <w:lang w:eastAsia="zh-CN"/>
        </w:rPr>
        <w:t>污泥</w:t>
      </w:r>
      <w:r>
        <w:rPr>
          <w:b/>
          <w:szCs w:val="28"/>
        </w:rPr>
        <w:t>发生较大量泄漏，</w:t>
      </w:r>
      <w:r>
        <w:rPr>
          <w:rFonts w:hint="eastAsia"/>
          <w:b/>
          <w:szCs w:val="28"/>
        </w:rPr>
        <w:t>应采取以下</w:t>
      </w:r>
      <w:r>
        <w:rPr>
          <w:b/>
          <w:szCs w:val="28"/>
        </w:rPr>
        <w:t>应急处置措施：</w:t>
      </w:r>
    </w:p>
    <w:p>
      <w:pPr>
        <w:widowControl/>
        <w:numPr>
          <w:ilvl w:val="0"/>
          <w:numId w:val="11"/>
        </w:numPr>
        <w:spacing w:line="360" w:lineRule="auto"/>
        <w:ind w:firstLine="552" w:firstLineChars="200"/>
        <w:jc w:val="left"/>
        <w:rPr>
          <w:rFonts w:hint="eastAsia"/>
          <w:szCs w:val="28"/>
          <w:lang w:eastAsia="zh-CN"/>
        </w:rPr>
      </w:pPr>
      <w:r>
        <w:rPr>
          <w:szCs w:val="28"/>
        </w:rPr>
        <w:t>当班人员</w:t>
      </w:r>
      <w:r>
        <w:rPr>
          <w:rFonts w:hint="eastAsia"/>
          <w:szCs w:val="28"/>
          <w:lang w:eastAsia="zh-CN"/>
        </w:rPr>
        <w:t>应立即</w:t>
      </w:r>
      <w:r>
        <w:rPr>
          <w:szCs w:val="28"/>
        </w:rPr>
        <w:t>将泄漏情况向</w:t>
      </w:r>
      <w:r>
        <w:rPr>
          <w:rFonts w:hint="eastAsia"/>
          <w:szCs w:val="28"/>
          <w:lang w:eastAsia="zh-CN"/>
        </w:rPr>
        <w:t>生产</w:t>
      </w:r>
      <w:r>
        <w:rPr>
          <w:szCs w:val="28"/>
        </w:rPr>
        <w:t>主管</w:t>
      </w:r>
      <w:r>
        <w:rPr>
          <w:rFonts w:hint="eastAsia"/>
          <w:szCs w:val="28"/>
          <w:lang w:eastAsia="zh-CN"/>
        </w:rPr>
        <w:t>，生产主管接报后立即向信息传输组</w:t>
      </w:r>
      <w:r>
        <w:rPr>
          <w:szCs w:val="28"/>
        </w:rPr>
        <w:t>报告</w:t>
      </w:r>
      <w:r>
        <w:rPr>
          <w:rFonts w:hint="eastAsia"/>
          <w:szCs w:val="28"/>
          <w:lang w:eastAsia="zh-CN"/>
        </w:rPr>
        <w:t>，由信息传输组通知其他生产部门及其他相关应急小组；</w:t>
      </w:r>
    </w:p>
    <w:p>
      <w:pPr>
        <w:widowControl/>
        <w:numPr>
          <w:ilvl w:val="0"/>
          <w:numId w:val="11"/>
        </w:numPr>
        <w:spacing w:line="360" w:lineRule="auto"/>
        <w:ind w:left="0" w:leftChars="0" w:firstLine="552" w:firstLineChars="200"/>
        <w:jc w:val="left"/>
        <w:rPr>
          <w:rFonts w:hint="eastAsia"/>
          <w:szCs w:val="28"/>
          <w:lang w:eastAsia="zh-CN"/>
        </w:rPr>
      </w:pPr>
      <w:r>
        <w:rPr>
          <w:rFonts w:hint="eastAsia"/>
          <w:szCs w:val="28"/>
          <w:lang w:eastAsia="zh-CN"/>
        </w:rPr>
        <w:t>应急抢险组尽可能的关闭阀门或封堵储罐破损处，截断泄露的源头；将泄漏物尽量控制在一定范围内；若泄露物进一步泄露扩散，应立即撤离现场；</w:t>
      </w:r>
    </w:p>
    <w:p>
      <w:pPr>
        <w:widowControl/>
        <w:spacing w:line="360" w:lineRule="auto"/>
        <w:ind w:firstLine="552" w:firstLineChars="200"/>
        <w:jc w:val="left"/>
        <w:rPr>
          <w:szCs w:val="28"/>
        </w:rPr>
      </w:pPr>
      <w:r>
        <w:rPr>
          <w:szCs w:val="28"/>
        </w:rPr>
        <w:t>（</w:t>
      </w:r>
      <w:r>
        <w:rPr>
          <w:rFonts w:hint="eastAsia"/>
          <w:szCs w:val="28"/>
          <w:lang w:val="en-US" w:eastAsia="zh-CN"/>
        </w:rPr>
        <w:t>3</w:t>
      </w:r>
      <w:r>
        <w:rPr>
          <w:szCs w:val="28"/>
        </w:rPr>
        <w:t>）</w:t>
      </w:r>
      <w:r>
        <w:rPr>
          <w:rFonts w:hint="eastAsia"/>
          <w:szCs w:val="28"/>
          <w:lang w:eastAsia="zh-CN"/>
        </w:rPr>
        <w:t>应急抢险小组负责关闭</w:t>
      </w:r>
      <w:r>
        <w:rPr>
          <w:szCs w:val="28"/>
        </w:rPr>
        <w:t>雨水总排口</w:t>
      </w:r>
      <w:r>
        <w:rPr>
          <w:rFonts w:hint="eastAsia"/>
          <w:szCs w:val="28"/>
          <w:lang w:eastAsia="zh-CN"/>
        </w:rPr>
        <w:t>闸门</w:t>
      </w:r>
      <w:r>
        <w:rPr>
          <w:szCs w:val="28"/>
        </w:rPr>
        <w:t>，以防止泄漏物通过雨水管网流出厂区外；</w:t>
      </w:r>
    </w:p>
    <w:p>
      <w:pPr>
        <w:widowControl/>
        <w:spacing w:line="360" w:lineRule="auto"/>
        <w:ind w:firstLine="552" w:firstLineChars="200"/>
        <w:jc w:val="left"/>
        <w:rPr>
          <w:szCs w:val="28"/>
        </w:rPr>
      </w:pPr>
      <w:r>
        <w:rPr>
          <w:szCs w:val="28"/>
        </w:rPr>
        <w:t>（</w:t>
      </w:r>
      <w:r>
        <w:rPr>
          <w:rFonts w:hint="eastAsia"/>
          <w:szCs w:val="28"/>
          <w:lang w:val="en-US" w:eastAsia="zh-CN"/>
        </w:rPr>
        <w:t>4</w:t>
      </w:r>
      <w:r>
        <w:rPr>
          <w:szCs w:val="28"/>
        </w:rPr>
        <w:t>）</w:t>
      </w:r>
      <w:r>
        <w:rPr>
          <w:rFonts w:hint="eastAsia"/>
          <w:szCs w:val="28"/>
          <w:lang w:eastAsia="zh-CN"/>
        </w:rPr>
        <w:t>应急救援</w:t>
      </w:r>
      <w:r>
        <w:rPr>
          <w:szCs w:val="28"/>
        </w:rPr>
        <w:t>人员立即穿戴好防护用品，在避免与泄漏物直接接触的前提下，将泄漏</w:t>
      </w:r>
      <w:r>
        <w:rPr>
          <w:rFonts w:hint="eastAsia"/>
          <w:szCs w:val="28"/>
          <w:lang w:eastAsia="zh-CN"/>
        </w:rPr>
        <w:t>物资</w:t>
      </w:r>
      <w:r>
        <w:rPr>
          <w:szCs w:val="28"/>
        </w:rPr>
        <w:t>导流至</w:t>
      </w:r>
      <w:r>
        <w:rPr>
          <w:rFonts w:hint="eastAsia"/>
          <w:szCs w:val="28"/>
          <w:lang w:eastAsia="zh-CN"/>
        </w:rPr>
        <w:t>事故</w:t>
      </w:r>
      <w:r>
        <w:rPr>
          <w:szCs w:val="28"/>
        </w:rPr>
        <w:t>池内暂时储存；</w:t>
      </w:r>
    </w:p>
    <w:p>
      <w:pPr>
        <w:spacing w:line="360" w:lineRule="auto"/>
        <w:ind w:firstLine="570"/>
        <w:rPr>
          <w:szCs w:val="28"/>
        </w:rPr>
      </w:pPr>
      <w:r>
        <w:rPr>
          <w:szCs w:val="28"/>
        </w:rPr>
        <w:t>（</w:t>
      </w:r>
      <w:r>
        <w:rPr>
          <w:rFonts w:hint="eastAsia"/>
          <w:szCs w:val="28"/>
          <w:lang w:val="en-US" w:eastAsia="zh-CN"/>
        </w:rPr>
        <w:t>5</w:t>
      </w:r>
      <w:r>
        <w:rPr>
          <w:szCs w:val="28"/>
        </w:rPr>
        <w:t>）待事故得到控制后，再将泄漏</w:t>
      </w:r>
      <w:r>
        <w:rPr>
          <w:rFonts w:hint="eastAsia"/>
          <w:szCs w:val="28"/>
          <w:lang w:eastAsia="zh-CN"/>
        </w:rPr>
        <w:t>物资</w:t>
      </w:r>
      <w:r>
        <w:rPr>
          <w:szCs w:val="28"/>
        </w:rPr>
        <w:t>作进一步处理。</w:t>
      </w:r>
    </w:p>
    <w:p>
      <w:pPr>
        <w:pStyle w:val="17"/>
        <w:spacing w:before="120" w:beforeLines="50" w:after="120" w:afterLines="50"/>
        <w:ind w:firstLine="0" w:firstLineChars="0"/>
        <w:outlineLvl w:val="2"/>
        <w:rPr>
          <w:rFonts w:ascii="Times New Roman" w:hAnsi="Times New Roman"/>
          <w:b/>
        </w:rPr>
      </w:pPr>
      <w:bookmarkStart w:id="285" w:name="_Toc6785"/>
      <w:r>
        <w:rPr>
          <w:rFonts w:ascii="Times New Roman" w:hAnsi="Times New Roman"/>
          <w:b/>
        </w:rPr>
        <w:t>7.4.3</w:t>
      </w:r>
      <w:r>
        <w:rPr>
          <w:rFonts w:hint="eastAsia" w:ascii="Times New Roman" w:hAnsi="Times New Roman"/>
          <w:b/>
        </w:rPr>
        <w:t>废气处理设施运行异常</w:t>
      </w:r>
      <w:r>
        <w:rPr>
          <w:rFonts w:ascii="Times New Roman" w:hAnsi="Times New Roman"/>
          <w:b/>
        </w:rPr>
        <w:t>应急处置措施</w:t>
      </w:r>
      <w:bookmarkEnd w:id="285"/>
    </w:p>
    <w:p>
      <w:pPr>
        <w:widowControl/>
        <w:spacing w:line="360" w:lineRule="auto"/>
        <w:ind w:firstLine="554" w:firstLineChars="200"/>
        <w:jc w:val="left"/>
        <w:rPr>
          <w:b/>
          <w:szCs w:val="28"/>
        </w:rPr>
      </w:pPr>
      <w:r>
        <w:rPr>
          <w:b/>
          <w:szCs w:val="28"/>
        </w:rPr>
        <w:t>当发生事故1时：废气治理设施配套污染治理设施运行不正常，可能造成污染物的超标排放，</w:t>
      </w:r>
      <w:r>
        <w:rPr>
          <w:rFonts w:hint="eastAsia"/>
          <w:b/>
          <w:szCs w:val="28"/>
        </w:rPr>
        <w:t>应采取以下</w:t>
      </w:r>
      <w:r>
        <w:rPr>
          <w:b/>
          <w:szCs w:val="28"/>
        </w:rPr>
        <w:t>应急处置措施：</w:t>
      </w:r>
    </w:p>
    <w:p>
      <w:pPr>
        <w:widowControl/>
        <w:spacing w:line="360" w:lineRule="auto"/>
        <w:ind w:firstLine="552" w:firstLineChars="200"/>
        <w:jc w:val="left"/>
        <w:rPr>
          <w:szCs w:val="28"/>
        </w:rPr>
      </w:pPr>
      <w:r>
        <w:rPr>
          <w:szCs w:val="28"/>
        </w:rPr>
        <w:t>（1）操作人员立即查找事故位置与原因，并对废气治理设施进行调整或检修；</w:t>
      </w:r>
    </w:p>
    <w:p>
      <w:pPr>
        <w:widowControl/>
        <w:spacing w:line="360" w:lineRule="auto"/>
        <w:ind w:firstLine="552" w:firstLineChars="200"/>
        <w:jc w:val="left"/>
        <w:rPr>
          <w:rFonts w:hint="eastAsia" w:eastAsia="宋体"/>
          <w:szCs w:val="28"/>
          <w:lang w:eastAsia="zh-CN"/>
        </w:rPr>
      </w:pPr>
      <w:r>
        <w:rPr>
          <w:szCs w:val="28"/>
        </w:rPr>
        <w:t>（2）操作人员对废气治理设施进行调整或检修后仍无法进行恢复正常时，立即向废气治理设施主管报告情况；</w:t>
      </w:r>
      <w:r>
        <w:rPr>
          <w:rFonts w:hint="eastAsia"/>
          <w:szCs w:val="28"/>
          <w:lang w:eastAsia="zh-CN"/>
        </w:rPr>
        <w:t>由主管向公司应急指挥部报告情况</w:t>
      </w:r>
      <w:r>
        <w:rPr>
          <w:szCs w:val="28"/>
        </w:rPr>
        <w:t>；</w:t>
      </w:r>
      <w:r>
        <w:rPr>
          <w:rFonts w:hint="eastAsia"/>
          <w:szCs w:val="28"/>
          <w:lang w:eastAsia="zh-CN"/>
        </w:rPr>
        <w:t>启动应急预案；</w:t>
      </w:r>
    </w:p>
    <w:p>
      <w:pPr>
        <w:widowControl/>
        <w:spacing w:line="360" w:lineRule="auto"/>
        <w:ind w:firstLine="552" w:firstLineChars="200"/>
        <w:jc w:val="left"/>
        <w:rPr>
          <w:szCs w:val="28"/>
        </w:rPr>
      </w:pPr>
      <w:r>
        <w:rPr>
          <w:szCs w:val="28"/>
        </w:rPr>
        <w:t>（3）根据事故情况，下令按操作规划调整生产负荷，必要时停产；</w:t>
      </w:r>
    </w:p>
    <w:p>
      <w:pPr>
        <w:widowControl/>
        <w:spacing w:line="360" w:lineRule="auto"/>
        <w:ind w:firstLine="552" w:firstLineChars="200"/>
        <w:jc w:val="left"/>
        <w:rPr>
          <w:szCs w:val="28"/>
        </w:rPr>
      </w:pPr>
      <w:r>
        <w:rPr>
          <w:szCs w:val="28"/>
        </w:rPr>
        <w:t>（4）由</w:t>
      </w:r>
      <w:r>
        <w:rPr>
          <w:rFonts w:hint="eastAsia"/>
          <w:szCs w:val="28"/>
          <w:lang w:eastAsia="zh-CN"/>
        </w:rPr>
        <w:t>应急指挥部</w:t>
      </w:r>
      <w:r>
        <w:rPr>
          <w:szCs w:val="28"/>
        </w:rPr>
        <w:t>通知车间相关</w:t>
      </w:r>
      <w:r>
        <w:rPr>
          <w:rFonts w:hint="eastAsia"/>
          <w:szCs w:val="28"/>
          <w:lang w:eastAsia="zh-CN"/>
        </w:rPr>
        <w:t>负责人</w:t>
      </w:r>
      <w:r>
        <w:rPr>
          <w:szCs w:val="28"/>
        </w:rPr>
        <w:t>，停止故障设备运行，分析故障原因，并</w:t>
      </w:r>
      <w:r>
        <w:rPr>
          <w:rFonts w:hint="eastAsia"/>
          <w:szCs w:val="28"/>
          <w:lang w:eastAsia="zh-CN"/>
        </w:rPr>
        <w:t>通知后勤保障组</w:t>
      </w:r>
      <w:r>
        <w:rPr>
          <w:szCs w:val="28"/>
        </w:rPr>
        <w:t>人员检修处理</w:t>
      </w:r>
      <w:r>
        <w:rPr>
          <w:rFonts w:hint="eastAsia"/>
          <w:szCs w:val="28"/>
          <w:lang w:eastAsia="zh-CN"/>
        </w:rPr>
        <w:t>，减少废气对周围环境的影响</w:t>
      </w:r>
      <w:r>
        <w:rPr>
          <w:szCs w:val="28"/>
        </w:rPr>
        <w:t>。</w:t>
      </w:r>
    </w:p>
    <w:p>
      <w:pPr>
        <w:pStyle w:val="17"/>
        <w:spacing w:before="120" w:beforeLines="50" w:after="120" w:afterLines="50"/>
        <w:ind w:firstLine="0" w:firstLineChars="0"/>
        <w:outlineLvl w:val="2"/>
        <w:rPr>
          <w:rFonts w:ascii="Times New Roman" w:hAnsi="Times New Roman"/>
          <w:b/>
        </w:rPr>
      </w:pPr>
      <w:bookmarkStart w:id="286" w:name="_Toc28333"/>
      <w:r>
        <w:rPr>
          <w:rFonts w:ascii="Times New Roman" w:hAnsi="Times New Roman"/>
          <w:b/>
        </w:rPr>
        <w:t>7.4.4</w:t>
      </w:r>
      <w:bookmarkEnd w:id="286"/>
      <w:r>
        <w:rPr>
          <w:rFonts w:hint="eastAsia" w:ascii="Times New Roman" w:hAnsi="Times New Roman"/>
          <w:b/>
        </w:rPr>
        <w:t>废水泄漏应急措施</w:t>
      </w:r>
    </w:p>
    <w:p>
      <w:pPr>
        <w:pStyle w:val="17"/>
        <w:spacing w:before="120" w:beforeLines="50" w:after="120" w:afterLines="50"/>
        <w:ind w:firstLine="562" w:firstLineChars="200"/>
        <w:outlineLvl w:val="2"/>
        <w:rPr>
          <w:rFonts w:ascii="Times New Roman" w:hAnsi="Times New Roman"/>
          <w:b/>
        </w:rPr>
      </w:pPr>
      <w:r>
        <w:rPr>
          <w:rFonts w:hint="eastAsia" w:ascii="Times New Roman" w:hAnsi="Times New Roman"/>
          <w:b/>
        </w:rPr>
        <w:t>当发生事故1时：当</w:t>
      </w:r>
      <w:r>
        <w:rPr>
          <w:rFonts w:hint="eastAsia" w:ascii="Times New Roman" w:hAnsi="Times New Roman"/>
          <w:b/>
          <w:lang w:eastAsia="zh-CN"/>
        </w:rPr>
        <w:t>废水管道</w:t>
      </w:r>
      <w:r>
        <w:rPr>
          <w:rFonts w:hint="eastAsia" w:ascii="Times New Roman" w:hAnsi="Times New Roman"/>
          <w:b/>
        </w:rPr>
        <w:t>出现生产废水泄漏时，</w:t>
      </w:r>
      <w:r>
        <w:rPr>
          <w:rFonts w:hint="eastAsia"/>
          <w:b/>
          <w:szCs w:val="28"/>
        </w:rPr>
        <w:t>应采取以下</w:t>
      </w:r>
      <w:r>
        <w:rPr>
          <w:b/>
          <w:szCs w:val="28"/>
        </w:rPr>
        <w:t>应急处置措施：</w:t>
      </w:r>
    </w:p>
    <w:p>
      <w:pPr>
        <w:widowControl/>
        <w:numPr>
          <w:ilvl w:val="0"/>
          <w:numId w:val="0"/>
        </w:numPr>
        <w:spacing w:line="360" w:lineRule="auto"/>
        <w:ind w:firstLine="552" w:firstLineChars="200"/>
        <w:jc w:val="left"/>
        <w:rPr>
          <w:szCs w:val="28"/>
        </w:rPr>
      </w:pPr>
      <w:r>
        <w:rPr>
          <w:rFonts w:hint="eastAsia"/>
          <w:szCs w:val="28"/>
          <w:lang w:eastAsia="zh-CN"/>
        </w:rPr>
        <w:t>（</w:t>
      </w:r>
      <w:r>
        <w:rPr>
          <w:rFonts w:hint="eastAsia"/>
          <w:szCs w:val="28"/>
          <w:lang w:val="en-US" w:eastAsia="zh-CN"/>
        </w:rPr>
        <w:t>1</w:t>
      </w:r>
      <w:r>
        <w:rPr>
          <w:rFonts w:hint="eastAsia"/>
          <w:szCs w:val="28"/>
          <w:lang w:eastAsia="zh-CN"/>
        </w:rPr>
        <w:t>）</w:t>
      </w:r>
      <w:r>
        <w:rPr>
          <w:szCs w:val="28"/>
        </w:rPr>
        <w:t>当班人员</w:t>
      </w:r>
      <w:r>
        <w:rPr>
          <w:rFonts w:hint="eastAsia"/>
          <w:szCs w:val="28"/>
          <w:lang w:eastAsia="zh-CN"/>
        </w:rPr>
        <w:t>应立即停止相关作业，关闭相关设备及阀门；</w:t>
      </w:r>
      <w:r>
        <w:rPr>
          <w:szCs w:val="28"/>
        </w:rPr>
        <w:t>将泄漏情况向</w:t>
      </w:r>
      <w:r>
        <w:rPr>
          <w:rFonts w:hint="eastAsia"/>
          <w:szCs w:val="28"/>
          <w:lang w:eastAsia="zh-CN"/>
        </w:rPr>
        <w:t>生产</w:t>
      </w:r>
      <w:r>
        <w:rPr>
          <w:szCs w:val="28"/>
        </w:rPr>
        <w:t>主管</w:t>
      </w:r>
      <w:r>
        <w:rPr>
          <w:rFonts w:hint="eastAsia"/>
          <w:szCs w:val="28"/>
          <w:lang w:eastAsia="zh-CN"/>
        </w:rPr>
        <w:t>，生产主管接报后立即向信息传输组</w:t>
      </w:r>
      <w:r>
        <w:rPr>
          <w:szCs w:val="28"/>
        </w:rPr>
        <w:t>报告</w:t>
      </w:r>
      <w:r>
        <w:rPr>
          <w:rFonts w:hint="eastAsia"/>
          <w:szCs w:val="28"/>
          <w:lang w:eastAsia="zh-CN"/>
        </w:rPr>
        <w:t>，由信息传输组通知其他生产部门及其他相关应急小组；</w:t>
      </w:r>
    </w:p>
    <w:p>
      <w:pPr>
        <w:widowControl/>
        <w:numPr>
          <w:ilvl w:val="0"/>
          <w:numId w:val="9"/>
        </w:numPr>
        <w:spacing w:line="360" w:lineRule="auto"/>
        <w:ind w:firstLine="552" w:firstLineChars="200"/>
        <w:jc w:val="left"/>
        <w:rPr>
          <w:szCs w:val="28"/>
        </w:rPr>
      </w:pPr>
      <w:r>
        <w:rPr>
          <w:rFonts w:hint="eastAsia"/>
          <w:szCs w:val="28"/>
          <w:lang w:eastAsia="zh-CN"/>
        </w:rPr>
        <w:t>应急救援人员</w:t>
      </w:r>
      <w:r>
        <w:rPr>
          <w:szCs w:val="28"/>
        </w:rPr>
        <w:t>应在避免与泄漏物直接接触的前提下，</w:t>
      </w:r>
      <w:r>
        <w:rPr>
          <w:rFonts w:hint="eastAsia"/>
          <w:szCs w:val="28"/>
          <w:lang w:eastAsia="zh-CN"/>
        </w:rPr>
        <w:t>对泄露区域进行围堵，并尽快修复管道；</w:t>
      </w:r>
    </w:p>
    <w:p>
      <w:pPr>
        <w:widowControl/>
        <w:spacing w:line="360" w:lineRule="auto"/>
        <w:ind w:firstLine="552" w:firstLineChars="200"/>
        <w:jc w:val="left"/>
        <w:rPr>
          <w:rFonts w:hint="eastAsia"/>
          <w:szCs w:val="28"/>
          <w:lang w:eastAsia="zh-CN"/>
        </w:rPr>
      </w:pPr>
      <w:r>
        <w:rPr>
          <w:szCs w:val="28"/>
        </w:rPr>
        <w:t>（</w:t>
      </w:r>
      <w:r>
        <w:rPr>
          <w:rFonts w:hint="eastAsia"/>
          <w:szCs w:val="28"/>
          <w:lang w:val="en-US" w:eastAsia="zh-CN"/>
        </w:rPr>
        <w:t>4</w:t>
      </w:r>
      <w:r>
        <w:rPr>
          <w:szCs w:val="28"/>
        </w:rPr>
        <w:t>）对泄漏区域进行清</w:t>
      </w:r>
      <w:r>
        <w:rPr>
          <w:rFonts w:hint="eastAsia"/>
          <w:szCs w:val="28"/>
          <w:lang w:eastAsia="zh-CN"/>
        </w:rPr>
        <w:t>洗，洗消废水暂存至事故应急池内，</w:t>
      </w:r>
      <w:r>
        <w:rPr>
          <w:szCs w:val="28"/>
        </w:rPr>
        <w:t>待事故得到控制后，再将泄漏</w:t>
      </w:r>
      <w:r>
        <w:rPr>
          <w:rFonts w:hint="eastAsia"/>
          <w:szCs w:val="28"/>
          <w:lang w:eastAsia="zh-CN"/>
        </w:rPr>
        <w:t>物</w:t>
      </w:r>
      <w:r>
        <w:rPr>
          <w:szCs w:val="28"/>
        </w:rPr>
        <w:t>作进一步处理</w:t>
      </w:r>
      <w:r>
        <w:rPr>
          <w:rFonts w:hint="eastAsia"/>
          <w:szCs w:val="28"/>
          <w:lang w:eastAsia="zh-CN"/>
        </w:rPr>
        <w:t>；</w:t>
      </w:r>
    </w:p>
    <w:p>
      <w:pPr>
        <w:widowControl/>
        <w:spacing w:line="360" w:lineRule="auto"/>
        <w:ind w:firstLine="552" w:firstLineChars="200"/>
        <w:jc w:val="left"/>
        <w:rPr>
          <w:szCs w:val="28"/>
        </w:rPr>
      </w:pPr>
      <w:r>
        <w:rPr>
          <w:szCs w:val="28"/>
        </w:rPr>
        <w:t>（</w:t>
      </w:r>
      <w:r>
        <w:rPr>
          <w:rFonts w:hint="eastAsia"/>
          <w:szCs w:val="28"/>
          <w:lang w:val="en-US" w:eastAsia="zh-CN"/>
        </w:rPr>
        <w:t>5</w:t>
      </w:r>
      <w:r>
        <w:rPr>
          <w:szCs w:val="28"/>
        </w:rPr>
        <w:t>）将泄漏及处理情况向</w:t>
      </w:r>
      <w:r>
        <w:rPr>
          <w:rFonts w:hint="eastAsia"/>
          <w:szCs w:val="28"/>
          <w:lang w:eastAsia="zh-CN"/>
        </w:rPr>
        <w:t>应急指挥部</w:t>
      </w:r>
      <w:r>
        <w:rPr>
          <w:szCs w:val="28"/>
        </w:rPr>
        <w:t>报告。</w:t>
      </w:r>
    </w:p>
    <w:p>
      <w:pPr>
        <w:widowControl/>
        <w:spacing w:line="360" w:lineRule="auto"/>
        <w:ind w:firstLine="554" w:firstLineChars="200"/>
        <w:jc w:val="left"/>
        <w:rPr>
          <w:b/>
          <w:szCs w:val="28"/>
        </w:rPr>
      </w:pPr>
      <w:r>
        <w:rPr>
          <w:rFonts w:hint="eastAsia"/>
          <w:b/>
          <w:szCs w:val="28"/>
        </w:rPr>
        <w:t>当发生事故2时：</w:t>
      </w:r>
      <w:r>
        <w:rPr>
          <w:rFonts w:hint="eastAsia"/>
          <w:b/>
          <w:szCs w:val="28"/>
          <w:lang w:eastAsia="zh-CN"/>
        </w:rPr>
        <w:t>消化液或沼液缓冲池出现</w:t>
      </w:r>
      <w:r>
        <w:rPr>
          <w:rFonts w:hint="eastAsia"/>
          <w:b/>
          <w:szCs w:val="28"/>
        </w:rPr>
        <w:t>泄露，应采取以下</w:t>
      </w:r>
      <w:r>
        <w:rPr>
          <w:b/>
          <w:szCs w:val="28"/>
        </w:rPr>
        <w:t>应急处置措施：</w:t>
      </w:r>
    </w:p>
    <w:p>
      <w:pPr>
        <w:widowControl/>
        <w:numPr>
          <w:ilvl w:val="0"/>
          <w:numId w:val="12"/>
        </w:numPr>
        <w:spacing w:line="360" w:lineRule="auto"/>
        <w:ind w:firstLine="552" w:firstLineChars="200"/>
        <w:jc w:val="left"/>
        <w:rPr>
          <w:rFonts w:hint="eastAsia"/>
          <w:szCs w:val="28"/>
          <w:lang w:eastAsia="zh-CN"/>
        </w:rPr>
      </w:pPr>
      <w:r>
        <w:rPr>
          <w:szCs w:val="28"/>
        </w:rPr>
        <w:t>当班人员</w:t>
      </w:r>
      <w:r>
        <w:rPr>
          <w:rFonts w:hint="eastAsia"/>
          <w:szCs w:val="28"/>
          <w:lang w:eastAsia="zh-CN"/>
        </w:rPr>
        <w:t>应立即停止相关作业，关闭相关设备及阀门；</w:t>
      </w:r>
      <w:r>
        <w:rPr>
          <w:szCs w:val="28"/>
        </w:rPr>
        <w:t>将泄漏情况向</w:t>
      </w:r>
      <w:r>
        <w:rPr>
          <w:rFonts w:hint="eastAsia"/>
          <w:szCs w:val="28"/>
          <w:lang w:eastAsia="zh-CN"/>
        </w:rPr>
        <w:t>生产</w:t>
      </w:r>
      <w:r>
        <w:rPr>
          <w:szCs w:val="28"/>
        </w:rPr>
        <w:t>主管</w:t>
      </w:r>
      <w:r>
        <w:rPr>
          <w:rFonts w:hint="eastAsia"/>
          <w:szCs w:val="28"/>
          <w:lang w:eastAsia="zh-CN"/>
        </w:rPr>
        <w:t>，生产主管接报后立即向信息传输组</w:t>
      </w:r>
      <w:r>
        <w:rPr>
          <w:szCs w:val="28"/>
        </w:rPr>
        <w:t>报告</w:t>
      </w:r>
      <w:r>
        <w:rPr>
          <w:rFonts w:hint="eastAsia"/>
          <w:szCs w:val="28"/>
          <w:lang w:eastAsia="zh-CN"/>
        </w:rPr>
        <w:t>，由信息传输组通知其他生产部门及其他相关应急小组；</w:t>
      </w:r>
    </w:p>
    <w:p>
      <w:pPr>
        <w:widowControl/>
        <w:numPr>
          <w:ilvl w:val="0"/>
          <w:numId w:val="12"/>
        </w:numPr>
        <w:spacing w:line="360" w:lineRule="auto"/>
        <w:ind w:firstLine="552" w:firstLineChars="200"/>
        <w:jc w:val="left"/>
        <w:rPr>
          <w:rFonts w:hint="eastAsia"/>
          <w:szCs w:val="28"/>
          <w:lang w:eastAsia="zh-CN"/>
        </w:rPr>
      </w:pPr>
      <w:r>
        <w:rPr>
          <w:rFonts w:hint="eastAsia"/>
          <w:szCs w:val="28"/>
          <w:lang w:eastAsia="zh-CN"/>
        </w:rPr>
        <w:t>应急救援人员</w:t>
      </w:r>
      <w:r>
        <w:rPr>
          <w:szCs w:val="28"/>
        </w:rPr>
        <w:t>应</w:t>
      </w:r>
      <w:r>
        <w:rPr>
          <w:rFonts w:hint="eastAsia"/>
          <w:szCs w:val="28"/>
          <w:lang w:eastAsia="zh-CN"/>
        </w:rPr>
        <w:t>立即关闭雨水总排口阀门；</w:t>
      </w:r>
      <w:r>
        <w:rPr>
          <w:szCs w:val="28"/>
        </w:rPr>
        <w:t>在避免与泄漏物直接接触的前提下，</w:t>
      </w:r>
      <w:r>
        <w:rPr>
          <w:rFonts w:hint="eastAsia"/>
          <w:szCs w:val="28"/>
          <w:lang w:eastAsia="zh-CN"/>
        </w:rPr>
        <w:t>将缓冲池内消化液或沼液，及雨水管网内泄漏物质，泵至事故应急池内，并尽快修复缓冲池；</w:t>
      </w:r>
    </w:p>
    <w:p>
      <w:pPr>
        <w:widowControl/>
        <w:numPr>
          <w:ilvl w:val="0"/>
          <w:numId w:val="12"/>
        </w:numPr>
        <w:spacing w:line="360" w:lineRule="auto"/>
        <w:ind w:firstLine="552" w:firstLineChars="200"/>
        <w:jc w:val="left"/>
        <w:rPr>
          <w:szCs w:val="28"/>
        </w:rPr>
      </w:pPr>
      <w:r>
        <w:rPr>
          <w:szCs w:val="28"/>
        </w:rPr>
        <w:t>对泄漏区域进行清</w:t>
      </w:r>
      <w:r>
        <w:rPr>
          <w:rFonts w:hint="eastAsia"/>
          <w:szCs w:val="28"/>
          <w:lang w:eastAsia="zh-CN"/>
        </w:rPr>
        <w:t>洗，洗消废水暂存至事故应急池内，</w:t>
      </w:r>
      <w:r>
        <w:rPr>
          <w:szCs w:val="28"/>
        </w:rPr>
        <w:t>待事故得到控制后，再将</w:t>
      </w:r>
      <w:r>
        <w:rPr>
          <w:rFonts w:hint="eastAsia"/>
          <w:szCs w:val="28"/>
          <w:lang w:eastAsia="zh-CN"/>
        </w:rPr>
        <w:t>事故应急池内</w:t>
      </w:r>
      <w:r>
        <w:rPr>
          <w:szCs w:val="28"/>
        </w:rPr>
        <w:t>泄漏</w:t>
      </w:r>
      <w:r>
        <w:rPr>
          <w:rFonts w:hint="eastAsia"/>
          <w:szCs w:val="28"/>
          <w:lang w:eastAsia="zh-CN"/>
        </w:rPr>
        <w:t>物</w:t>
      </w:r>
      <w:r>
        <w:rPr>
          <w:szCs w:val="28"/>
        </w:rPr>
        <w:t>作进一步处理</w:t>
      </w:r>
      <w:r>
        <w:rPr>
          <w:rFonts w:hint="eastAsia"/>
          <w:szCs w:val="28"/>
          <w:lang w:eastAsia="zh-CN"/>
        </w:rPr>
        <w:t>。</w:t>
      </w:r>
    </w:p>
    <w:p>
      <w:pPr>
        <w:widowControl/>
        <w:numPr>
          <w:ilvl w:val="0"/>
          <w:numId w:val="12"/>
        </w:numPr>
        <w:spacing w:line="360" w:lineRule="auto"/>
        <w:ind w:firstLine="552" w:firstLineChars="200"/>
        <w:jc w:val="left"/>
        <w:rPr>
          <w:szCs w:val="28"/>
        </w:rPr>
      </w:pPr>
      <w:r>
        <w:rPr>
          <w:szCs w:val="28"/>
        </w:rPr>
        <w:t>将泄漏及处理情况向</w:t>
      </w:r>
      <w:r>
        <w:rPr>
          <w:rFonts w:hint="eastAsia"/>
          <w:szCs w:val="28"/>
          <w:lang w:eastAsia="zh-CN"/>
        </w:rPr>
        <w:t>应急指挥部</w:t>
      </w:r>
      <w:r>
        <w:rPr>
          <w:szCs w:val="28"/>
        </w:rPr>
        <w:t>报告。</w:t>
      </w:r>
    </w:p>
    <w:p>
      <w:pPr>
        <w:pStyle w:val="17"/>
        <w:spacing w:before="120" w:beforeLines="50" w:after="120" w:afterLines="50"/>
        <w:ind w:firstLine="562" w:firstLineChars="200"/>
        <w:outlineLvl w:val="2"/>
        <w:rPr>
          <w:b/>
          <w:szCs w:val="28"/>
        </w:rPr>
      </w:pPr>
      <w:r>
        <w:rPr>
          <w:rFonts w:hint="eastAsia"/>
          <w:b/>
          <w:szCs w:val="28"/>
        </w:rPr>
        <w:t>当发生事故3时：当</w:t>
      </w:r>
      <w:r>
        <w:rPr>
          <w:rFonts w:hint="eastAsia"/>
          <w:b/>
          <w:szCs w:val="28"/>
          <w:lang w:eastAsia="zh-CN"/>
        </w:rPr>
        <w:t>废水装卸过程中出泄露情况</w:t>
      </w:r>
      <w:r>
        <w:rPr>
          <w:rFonts w:hint="eastAsia"/>
          <w:b/>
          <w:szCs w:val="28"/>
        </w:rPr>
        <w:t>，应采取以下</w:t>
      </w:r>
      <w:r>
        <w:rPr>
          <w:b/>
          <w:szCs w:val="28"/>
        </w:rPr>
        <w:t>应急处置措施：</w:t>
      </w:r>
    </w:p>
    <w:p>
      <w:pPr>
        <w:widowControl/>
        <w:numPr>
          <w:ilvl w:val="0"/>
          <w:numId w:val="13"/>
        </w:numPr>
        <w:spacing w:line="360" w:lineRule="auto"/>
        <w:ind w:firstLine="552" w:firstLineChars="200"/>
        <w:jc w:val="left"/>
        <w:rPr>
          <w:rFonts w:hint="eastAsia"/>
          <w:szCs w:val="28"/>
          <w:lang w:eastAsia="zh-CN"/>
        </w:rPr>
      </w:pPr>
      <w:bookmarkStart w:id="287" w:name="_Hlk861139"/>
      <w:r>
        <w:rPr>
          <w:szCs w:val="28"/>
        </w:rPr>
        <w:t>当班人员</w:t>
      </w:r>
      <w:r>
        <w:rPr>
          <w:rFonts w:hint="eastAsia"/>
          <w:szCs w:val="28"/>
          <w:lang w:eastAsia="zh-CN"/>
        </w:rPr>
        <w:t>应立即停止相关作业，关闭相关设备及阀门；</w:t>
      </w:r>
      <w:r>
        <w:rPr>
          <w:szCs w:val="28"/>
        </w:rPr>
        <w:t>将泄漏情况向</w:t>
      </w:r>
      <w:r>
        <w:rPr>
          <w:rFonts w:hint="eastAsia"/>
          <w:szCs w:val="28"/>
          <w:lang w:eastAsia="zh-CN"/>
        </w:rPr>
        <w:t>生产</w:t>
      </w:r>
      <w:r>
        <w:rPr>
          <w:szCs w:val="28"/>
        </w:rPr>
        <w:t>主管</w:t>
      </w:r>
      <w:r>
        <w:rPr>
          <w:rFonts w:hint="eastAsia"/>
          <w:szCs w:val="28"/>
          <w:lang w:eastAsia="zh-CN"/>
        </w:rPr>
        <w:t>，生产主管接报后立即向信息传输组</w:t>
      </w:r>
      <w:r>
        <w:rPr>
          <w:szCs w:val="28"/>
        </w:rPr>
        <w:t>报告</w:t>
      </w:r>
      <w:r>
        <w:rPr>
          <w:rFonts w:hint="eastAsia"/>
          <w:szCs w:val="28"/>
          <w:lang w:eastAsia="zh-CN"/>
        </w:rPr>
        <w:t>，由信息传输组通知应急指挥部；</w:t>
      </w:r>
    </w:p>
    <w:p>
      <w:pPr>
        <w:widowControl/>
        <w:numPr>
          <w:ilvl w:val="0"/>
          <w:numId w:val="13"/>
        </w:numPr>
        <w:spacing w:line="360" w:lineRule="auto"/>
        <w:ind w:firstLine="552" w:firstLineChars="200"/>
        <w:jc w:val="left"/>
        <w:rPr>
          <w:rFonts w:hint="eastAsia"/>
          <w:szCs w:val="28"/>
          <w:lang w:eastAsia="zh-CN"/>
        </w:rPr>
      </w:pPr>
      <w:r>
        <w:rPr>
          <w:rFonts w:hint="eastAsia"/>
          <w:szCs w:val="28"/>
          <w:lang w:eastAsia="zh-CN"/>
        </w:rPr>
        <w:t>对废水输送设备设备及人员操作进行排查，找出污染物超标的原因并整改；</w:t>
      </w:r>
    </w:p>
    <w:p>
      <w:pPr>
        <w:widowControl/>
        <w:numPr>
          <w:ilvl w:val="0"/>
          <w:numId w:val="13"/>
        </w:numPr>
        <w:spacing w:line="360" w:lineRule="auto"/>
        <w:ind w:firstLine="552" w:firstLineChars="200"/>
        <w:jc w:val="left"/>
        <w:rPr>
          <w:szCs w:val="28"/>
        </w:rPr>
      </w:pPr>
      <w:r>
        <w:rPr>
          <w:rFonts w:hint="eastAsia"/>
          <w:szCs w:val="28"/>
          <w:lang w:eastAsia="zh-CN"/>
        </w:rPr>
        <w:t>由应急指挥部将泄露情况通报民众镇应急管理部门、民众生态环境分局，水利部门等有关部门；</w:t>
      </w:r>
    </w:p>
    <w:p>
      <w:pPr>
        <w:widowControl/>
        <w:numPr>
          <w:ilvl w:val="0"/>
          <w:numId w:val="13"/>
        </w:numPr>
        <w:spacing w:line="360" w:lineRule="auto"/>
        <w:ind w:firstLine="552" w:firstLineChars="200"/>
        <w:jc w:val="left"/>
        <w:rPr>
          <w:szCs w:val="28"/>
        </w:rPr>
      </w:pPr>
      <w:r>
        <w:rPr>
          <w:rFonts w:hint="eastAsia"/>
          <w:szCs w:val="28"/>
          <w:lang w:eastAsia="zh-CN"/>
        </w:rPr>
        <w:t>应急指挥部积极配合政府相关管理部门作</w:t>
      </w:r>
      <w:r>
        <w:rPr>
          <w:szCs w:val="28"/>
        </w:rPr>
        <w:t>进一步处理</w:t>
      </w:r>
      <w:r>
        <w:rPr>
          <w:rFonts w:hint="eastAsia"/>
          <w:szCs w:val="28"/>
          <w:lang w:eastAsia="zh-CN"/>
        </w:rPr>
        <w:t>。</w:t>
      </w:r>
    </w:p>
    <w:p>
      <w:pPr>
        <w:pStyle w:val="152"/>
        <w:spacing w:line="360" w:lineRule="auto"/>
        <w:ind w:left="554" w:hanging="554"/>
        <w:outlineLvl w:val="2"/>
        <w:rPr>
          <w:b/>
          <w:szCs w:val="28"/>
        </w:rPr>
      </w:pPr>
      <w:r>
        <w:rPr>
          <w:rFonts w:hint="eastAsia"/>
          <w:b/>
          <w:szCs w:val="28"/>
        </w:rPr>
        <w:t>7</w:t>
      </w:r>
      <w:r>
        <w:rPr>
          <w:b/>
          <w:szCs w:val="28"/>
        </w:rPr>
        <w:t>.4.5</w:t>
      </w:r>
      <w:r>
        <w:rPr>
          <w:rFonts w:hint="eastAsia"/>
          <w:b/>
          <w:szCs w:val="28"/>
          <w:lang w:eastAsia="zh-CN"/>
        </w:rPr>
        <w:t>沼气泄露</w:t>
      </w:r>
      <w:r>
        <w:rPr>
          <w:rFonts w:hint="eastAsia"/>
          <w:b/>
          <w:szCs w:val="28"/>
        </w:rPr>
        <w:t>突发环境事故应急措施</w:t>
      </w:r>
    </w:p>
    <w:p>
      <w:pPr>
        <w:numPr>
          <w:ilvl w:val="0"/>
          <w:numId w:val="14"/>
        </w:numPr>
        <w:spacing w:line="360" w:lineRule="auto"/>
        <w:ind w:firstLine="552" w:firstLineChars="200"/>
        <w:rPr>
          <w:rFonts w:hint="eastAsia"/>
          <w:szCs w:val="28"/>
          <w:lang w:eastAsia="zh-CN"/>
        </w:rPr>
      </w:pPr>
      <w:r>
        <w:rPr>
          <w:szCs w:val="28"/>
        </w:rPr>
        <w:t>当班人员</w:t>
      </w:r>
      <w:r>
        <w:rPr>
          <w:rFonts w:hint="eastAsia"/>
          <w:szCs w:val="28"/>
          <w:lang w:eastAsia="zh-CN"/>
        </w:rPr>
        <w:t>应立即停止相关作业，关闭相关设备及阀门；</w:t>
      </w:r>
      <w:r>
        <w:rPr>
          <w:szCs w:val="28"/>
        </w:rPr>
        <w:t>将泄漏情况向</w:t>
      </w:r>
      <w:r>
        <w:rPr>
          <w:rFonts w:hint="eastAsia"/>
          <w:szCs w:val="28"/>
          <w:lang w:eastAsia="zh-CN"/>
        </w:rPr>
        <w:t>生产</w:t>
      </w:r>
      <w:r>
        <w:rPr>
          <w:szCs w:val="28"/>
        </w:rPr>
        <w:t>主管</w:t>
      </w:r>
      <w:r>
        <w:rPr>
          <w:rFonts w:hint="eastAsia"/>
          <w:szCs w:val="28"/>
          <w:lang w:eastAsia="zh-CN"/>
        </w:rPr>
        <w:t>，生产主管接报后立即向信息传输组</w:t>
      </w:r>
      <w:r>
        <w:rPr>
          <w:szCs w:val="28"/>
        </w:rPr>
        <w:t>报告</w:t>
      </w:r>
      <w:r>
        <w:rPr>
          <w:rFonts w:hint="eastAsia"/>
          <w:szCs w:val="28"/>
          <w:lang w:eastAsia="zh-CN"/>
        </w:rPr>
        <w:t>，由信息传输组通知应急指挥部；</w:t>
      </w:r>
    </w:p>
    <w:p>
      <w:pPr>
        <w:numPr>
          <w:ilvl w:val="0"/>
          <w:numId w:val="14"/>
        </w:numPr>
        <w:spacing w:line="360" w:lineRule="auto"/>
        <w:ind w:firstLine="552" w:firstLineChars="200"/>
        <w:rPr>
          <w:rFonts w:hint="eastAsia"/>
          <w:szCs w:val="28"/>
          <w:lang w:eastAsia="zh-CN"/>
        </w:rPr>
      </w:pPr>
      <w:r>
        <w:rPr>
          <w:rFonts w:hint="eastAsia"/>
          <w:szCs w:val="28"/>
          <w:lang w:eastAsia="zh-CN"/>
        </w:rPr>
        <w:t>应急救援人员对设备进行排查，确定沼气的泄漏部位、泄漏量找出泄露位置并抢险；</w:t>
      </w:r>
    </w:p>
    <w:p>
      <w:pPr>
        <w:numPr>
          <w:ilvl w:val="0"/>
          <w:numId w:val="14"/>
        </w:numPr>
        <w:spacing w:line="360" w:lineRule="auto"/>
        <w:ind w:firstLine="552" w:firstLineChars="200"/>
        <w:rPr>
          <w:rFonts w:hint="eastAsia"/>
          <w:szCs w:val="28"/>
          <w:lang w:eastAsia="zh-CN"/>
        </w:rPr>
      </w:pPr>
      <w:r>
        <w:rPr>
          <w:rFonts w:hint="eastAsia"/>
          <w:szCs w:val="28"/>
          <w:lang w:eastAsia="zh-CN"/>
        </w:rPr>
        <w:t>现场警戒，消除泄漏污染区域的点火源，在彻底扑灭火灾前严禁其他人接近，</w:t>
      </w:r>
    </w:p>
    <w:p>
      <w:pPr>
        <w:spacing w:line="360" w:lineRule="auto"/>
        <w:ind w:firstLine="552" w:firstLineChars="200"/>
        <w:rPr>
          <w:szCs w:val="28"/>
        </w:rPr>
      </w:pPr>
      <w:r>
        <w:rPr>
          <w:rFonts w:hint="eastAsia"/>
          <w:szCs w:val="28"/>
          <w:lang w:eastAsia="zh-CN"/>
        </w:rPr>
        <w:t>（</w:t>
      </w:r>
      <w:r>
        <w:rPr>
          <w:rFonts w:hint="eastAsia"/>
          <w:szCs w:val="28"/>
          <w:lang w:val="en-US" w:eastAsia="zh-CN"/>
        </w:rPr>
        <w:t>4</w:t>
      </w:r>
      <w:r>
        <w:rPr>
          <w:rFonts w:hint="eastAsia"/>
          <w:szCs w:val="28"/>
          <w:lang w:eastAsia="zh-CN"/>
        </w:rPr>
        <w:t>）由应急指挥部将泄露情况通报民众镇应急管理部门、民众生态环境等有关部门及周边企业；</w:t>
      </w:r>
    </w:p>
    <w:p>
      <w:pPr>
        <w:spacing w:line="360" w:lineRule="auto"/>
        <w:ind w:firstLine="552" w:firstLineChars="200"/>
        <w:rPr>
          <w:rFonts w:hint="eastAsia"/>
          <w:szCs w:val="28"/>
          <w:lang w:eastAsia="zh-CN"/>
        </w:rPr>
      </w:pPr>
      <w:r>
        <w:rPr>
          <w:rFonts w:hint="eastAsia"/>
          <w:szCs w:val="28"/>
          <w:lang w:eastAsia="zh-CN"/>
        </w:rPr>
        <w:t>（</w:t>
      </w:r>
      <w:r>
        <w:rPr>
          <w:rFonts w:hint="eastAsia"/>
          <w:szCs w:val="28"/>
          <w:lang w:val="en-US" w:eastAsia="zh-CN"/>
        </w:rPr>
        <w:t>5</w:t>
      </w:r>
      <w:r>
        <w:rPr>
          <w:rFonts w:hint="eastAsia"/>
          <w:szCs w:val="28"/>
          <w:lang w:eastAsia="zh-CN"/>
        </w:rPr>
        <w:t>）应急指挥部积极配合政府相关管理部门作</w:t>
      </w:r>
      <w:r>
        <w:rPr>
          <w:szCs w:val="28"/>
        </w:rPr>
        <w:t>进一步处理</w:t>
      </w:r>
      <w:r>
        <w:rPr>
          <w:rFonts w:hint="eastAsia"/>
          <w:szCs w:val="28"/>
          <w:lang w:eastAsia="zh-CN"/>
        </w:rPr>
        <w:t>。</w:t>
      </w:r>
    </w:p>
    <w:p>
      <w:pPr>
        <w:spacing w:line="360" w:lineRule="auto"/>
        <w:ind w:firstLine="552" w:firstLineChars="200"/>
        <w:rPr>
          <w:rFonts w:hint="eastAsia"/>
          <w:szCs w:val="28"/>
          <w:lang w:eastAsia="zh-CN"/>
        </w:rPr>
      </w:pPr>
    </w:p>
    <w:bookmarkEnd w:id="287"/>
    <w:p>
      <w:pPr>
        <w:pStyle w:val="152"/>
        <w:spacing w:line="360" w:lineRule="auto"/>
        <w:ind w:left="554" w:hanging="554"/>
        <w:outlineLvl w:val="2"/>
        <w:rPr>
          <w:b/>
          <w:szCs w:val="28"/>
        </w:rPr>
      </w:pPr>
      <w:r>
        <w:rPr>
          <w:rFonts w:hint="eastAsia"/>
          <w:b/>
          <w:szCs w:val="28"/>
        </w:rPr>
        <w:t>7</w:t>
      </w:r>
      <w:r>
        <w:rPr>
          <w:b/>
          <w:szCs w:val="28"/>
        </w:rPr>
        <w:t>.4.</w:t>
      </w:r>
      <w:r>
        <w:rPr>
          <w:rFonts w:hint="eastAsia"/>
          <w:b/>
          <w:szCs w:val="28"/>
          <w:lang w:val="en-US" w:eastAsia="zh-CN"/>
        </w:rPr>
        <w:t>6</w:t>
      </w:r>
      <w:r>
        <w:rPr>
          <w:rFonts w:hint="eastAsia"/>
          <w:b/>
          <w:szCs w:val="28"/>
        </w:rPr>
        <w:t>危废仓突发环境事故应急措施</w:t>
      </w:r>
    </w:p>
    <w:p>
      <w:pPr>
        <w:spacing w:line="360" w:lineRule="auto"/>
        <w:ind w:firstLine="552" w:firstLineChars="200"/>
        <w:rPr>
          <w:szCs w:val="28"/>
        </w:rPr>
      </w:pPr>
      <w:r>
        <w:rPr>
          <w:szCs w:val="28"/>
        </w:rPr>
        <w:t>（1）</w:t>
      </w:r>
      <w:r>
        <w:rPr>
          <w:rFonts w:hint="eastAsia"/>
          <w:szCs w:val="28"/>
        </w:rPr>
        <w:t>利用应急沙进行围堵</w:t>
      </w:r>
      <w:r>
        <w:rPr>
          <w:szCs w:val="28"/>
        </w:rPr>
        <w:t>；</w:t>
      </w:r>
    </w:p>
    <w:p>
      <w:pPr>
        <w:spacing w:line="360" w:lineRule="auto"/>
        <w:ind w:firstLine="552" w:firstLineChars="200"/>
        <w:rPr>
          <w:szCs w:val="28"/>
        </w:rPr>
      </w:pPr>
      <w:r>
        <w:rPr>
          <w:szCs w:val="28"/>
        </w:rPr>
        <w:t>（</w:t>
      </w:r>
      <w:r>
        <w:rPr>
          <w:rFonts w:hint="eastAsia"/>
          <w:szCs w:val="28"/>
        </w:rPr>
        <w:t>2</w:t>
      </w:r>
      <w:r>
        <w:rPr>
          <w:szCs w:val="28"/>
        </w:rPr>
        <w:t>）及时请资质单位协助处理泄漏的废物；</w:t>
      </w:r>
    </w:p>
    <w:p>
      <w:pPr>
        <w:spacing w:line="360" w:lineRule="auto"/>
        <w:ind w:firstLine="552" w:firstLineChars="200"/>
        <w:rPr>
          <w:szCs w:val="28"/>
        </w:rPr>
      </w:pPr>
      <w:r>
        <w:rPr>
          <w:szCs w:val="28"/>
        </w:rPr>
        <w:t>（</w:t>
      </w:r>
      <w:r>
        <w:rPr>
          <w:rFonts w:hint="eastAsia"/>
          <w:szCs w:val="28"/>
        </w:rPr>
        <w:t>3</w:t>
      </w:r>
      <w:r>
        <w:rPr>
          <w:szCs w:val="28"/>
        </w:rPr>
        <w:t>）检查泄漏原因，及时进行补漏处理；</w:t>
      </w:r>
    </w:p>
    <w:p>
      <w:pPr>
        <w:spacing w:line="360" w:lineRule="auto"/>
        <w:ind w:firstLine="552" w:firstLineChars="200"/>
        <w:rPr>
          <w:szCs w:val="28"/>
        </w:rPr>
      </w:pPr>
      <w:r>
        <w:rPr>
          <w:szCs w:val="28"/>
        </w:rPr>
        <w:t>（</w:t>
      </w:r>
      <w:r>
        <w:rPr>
          <w:rFonts w:hint="eastAsia"/>
          <w:szCs w:val="28"/>
        </w:rPr>
        <w:t>4</w:t>
      </w:r>
      <w:r>
        <w:rPr>
          <w:szCs w:val="28"/>
        </w:rPr>
        <w:t>）及时冲洗泄漏物，对受泄漏物污染的设备进行冲洗，</w:t>
      </w:r>
      <w:r>
        <w:rPr>
          <w:rFonts w:hint="eastAsia"/>
          <w:szCs w:val="28"/>
        </w:rPr>
        <w:t>将清洗废水转移至</w:t>
      </w:r>
      <w:r>
        <w:rPr>
          <w:rFonts w:hint="eastAsia"/>
          <w:szCs w:val="28"/>
          <w:lang w:eastAsia="zh-CN"/>
        </w:rPr>
        <w:t>密闭容器</w:t>
      </w:r>
      <w:r>
        <w:rPr>
          <w:rFonts w:hint="eastAsia"/>
          <w:szCs w:val="28"/>
        </w:rPr>
        <w:t>内</w:t>
      </w:r>
      <w:r>
        <w:rPr>
          <w:rFonts w:hint="eastAsia"/>
          <w:szCs w:val="28"/>
          <w:lang w:eastAsia="zh-CN"/>
        </w:rPr>
        <w:t>暂存</w:t>
      </w:r>
      <w:r>
        <w:rPr>
          <w:rFonts w:hint="eastAsia"/>
          <w:szCs w:val="28"/>
        </w:rPr>
        <w:t>。</w:t>
      </w:r>
    </w:p>
    <w:p>
      <w:pPr>
        <w:pStyle w:val="152"/>
        <w:spacing w:line="360" w:lineRule="auto"/>
        <w:ind w:left="554" w:hanging="554"/>
        <w:outlineLvl w:val="2"/>
        <w:rPr>
          <w:szCs w:val="28"/>
        </w:rPr>
      </w:pPr>
      <w:bookmarkStart w:id="288" w:name="_Toc9169"/>
      <w:r>
        <w:rPr>
          <w:rFonts w:hint="eastAsia"/>
          <w:b/>
          <w:szCs w:val="28"/>
        </w:rPr>
        <w:t>7.4.</w:t>
      </w:r>
      <w:r>
        <w:rPr>
          <w:rFonts w:hint="eastAsia"/>
          <w:b/>
          <w:szCs w:val="28"/>
          <w:lang w:val="en-US" w:eastAsia="zh-CN"/>
        </w:rPr>
        <w:t>7</w:t>
      </w:r>
      <w:r>
        <w:rPr>
          <w:b/>
          <w:szCs w:val="28"/>
        </w:rPr>
        <w:t>火灾事故应急救援措施</w:t>
      </w:r>
      <w:bookmarkEnd w:id="288"/>
    </w:p>
    <w:p>
      <w:pPr>
        <w:spacing w:line="360" w:lineRule="auto"/>
        <w:ind w:firstLine="554" w:firstLineChars="200"/>
        <w:rPr>
          <w:b/>
          <w:szCs w:val="28"/>
        </w:rPr>
      </w:pPr>
      <w:r>
        <w:rPr>
          <w:b/>
          <w:szCs w:val="28"/>
        </w:rPr>
        <w:t>1）应急措施</w:t>
      </w:r>
    </w:p>
    <w:p>
      <w:pPr>
        <w:spacing w:line="360" w:lineRule="auto"/>
        <w:ind w:firstLine="552" w:firstLineChars="200"/>
        <w:rPr>
          <w:szCs w:val="28"/>
        </w:rPr>
      </w:pPr>
      <w:r>
        <w:rPr>
          <w:szCs w:val="28"/>
        </w:rPr>
        <w:t>A、火灾发现人员应迅速报告公司应急指挥部。向内部报警时，报警人员应叙述：出事地点、情况、报警人姓名；向外部报警时，报警人应详细准确报告：出事地点、单位、电话、事态现状及报告人姓名、单位、地址、电话；报警完毕报警员应到路口迎接消防车及急救人员的到来。 </w:t>
      </w:r>
    </w:p>
    <w:p>
      <w:pPr>
        <w:spacing w:line="360" w:lineRule="auto"/>
        <w:ind w:firstLine="552" w:firstLineChars="200"/>
        <w:rPr>
          <w:szCs w:val="28"/>
        </w:rPr>
      </w:pPr>
      <w:r>
        <w:rPr>
          <w:rFonts w:hint="eastAsia"/>
          <w:szCs w:val="28"/>
        </w:rPr>
        <w:t>B</w:t>
      </w:r>
      <w:r>
        <w:rPr>
          <w:szCs w:val="28"/>
        </w:rPr>
        <w:t>、现场</w:t>
      </w:r>
      <w:r>
        <w:rPr>
          <w:rFonts w:hint="eastAsia"/>
          <w:szCs w:val="28"/>
          <w:lang w:eastAsia="zh-CN"/>
        </w:rPr>
        <w:t>总指挥小组</w:t>
      </w:r>
      <w:r>
        <w:rPr>
          <w:szCs w:val="28"/>
        </w:rPr>
        <w:t>负责现场指挥。根据火势情况，及时打电话通知119报告失火地点，火势以及联系人和联系电话，同时通知应急总指挥。</w:t>
      </w:r>
    </w:p>
    <w:p>
      <w:pPr>
        <w:spacing w:line="360" w:lineRule="auto"/>
        <w:ind w:firstLine="552" w:firstLineChars="200"/>
        <w:rPr>
          <w:szCs w:val="28"/>
        </w:rPr>
      </w:pPr>
      <w:r>
        <w:rPr>
          <w:rFonts w:hint="eastAsia"/>
          <w:szCs w:val="28"/>
        </w:rPr>
        <w:t>C</w:t>
      </w:r>
      <w:r>
        <w:rPr>
          <w:szCs w:val="28"/>
        </w:rPr>
        <w:t>、按应急方案立即进行自救。</w:t>
      </w:r>
      <w:r>
        <w:rPr>
          <w:rFonts w:hint="eastAsia"/>
          <w:szCs w:val="28"/>
          <w:lang w:eastAsia="zh-CN"/>
        </w:rPr>
        <w:t>防火组在</w:t>
      </w:r>
      <w:r>
        <w:rPr>
          <w:szCs w:val="28"/>
        </w:rPr>
        <w:t>火灾初起阶段可用灭火器灭火，用消防</w:t>
      </w:r>
      <w:r>
        <w:rPr>
          <w:rFonts w:hint="eastAsia"/>
          <w:szCs w:val="28"/>
          <w:lang w:eastAsia="zh-CN"/>
        </w:rPr>
        <w:t>水枪</w:t>
      </w:r>
      <w:r>
        <w:rPr>
          <w:szCs w:val="28"/>
        </w:rPr>
        <w:t>，</w:t>
      </w:r>
      <w:r>
        <w:rPr>
          <w:rFonts w:hint="eastAsia"/>
          <w:szCs w:val="28"/>
          <w:lang w:eastAsia="zh-CN"/>
        </w:rPr>
        <w:t>消防沙</w:t>
      </w:r>
      <w:r>
        <w:rPr>
          <w:szCs w:val="28"/>
        </w:rPr>
        <w:t>等力争在火灾初起阶段，将火扑灭。若事态严重，难以控制和处理，应在自救的同时向专业救援队求助。</w:t>
      </w:r>
    </w:p>
    <w:p>
      <w:pPr>
        <w:spacing w:line="360" w:lineRule="auto"/>
        <w:ind w:firstLine="552" w:firstLineChars="200"/>
        <w:rPr>
          <w:szCs w:val="28"/>
        </w:rPr>
      </w:pPr>
      <w:r>
        <w:rPr>
          <w:rFonts w:hint="eastAsia"/>
          <w:szCs w:val="28"/>
        </w:rPr>
        <w:t>D</w:t>
      </w:r>
      <w:r>
        <w:rPr>
          <w:szCs w:val="28"/>
        </w:rPr>
        <w:t>、由</w:t>
      </w:r>
      <w:r>
        <w:rPr>
          <w:rFonts w:hint="eastAsia"/>
          <w:szCs w:val="28"/>
          <w:lang w:eastAsia="zh-CN"/>
        </w:rPr>
        <w:t>应急抢修组</w:t>
      </w:r>
      <w:r>
        <w:rPr>
          <w:szCs w:val="28"/>
        </w:rPr>
        <w:t>负责切断电源，防止事态扩大。</w:t>
      </w:r>
    </w:p>
    <w:p>
      <w:pPr>
        <w:spacing w:line="360" w:lineRule="auto"/>
        <w:ind w:firstLine="552" w:firstLineChars="200"/>
        <w:rPr>
          <w:szCs w:val="28"/>
        </w:rPr>
      </w:pPr>
      <w:r>
        <w:rPr>
          <w:rFonts w:hint="eastAsia"/>
          <w:szCs w:val="28"/>
        </w:rPr>
        <w:t>E</w:t>
      </w:r>
      <w:r>
        <w:rPr>
          <w:szCs w:val="28"/>
        </w:rPr>
        <w:t>、在组织扑救的同时，组织人员清理、疏散现场人员，防止人员伤害。 </w:t>
      </w:r>
    </w:p>
    <w:p>
      <w:pPr>
        <w:spacing w:line="360" w:lineRule="auto"/>
        <w:ind w:firstLine="552" w:firstLineChars="200"/>
        <w:rPr>
          <w:szCs w:val="28"/>
        </w:rPr>
      </w:pPr>
      <w:r>
        <w:rPr>
          <w:rFonts w:hint="eastAsia"/>
          <w:szCs w:val="28"/>
        </w:rPr>
        <w:t>F</w:t>
      </w:r>
      <w:r>
        <w:rPr>
          <w:szCs w:val="28"/>
        </w:rPr>
        <w:t>、</w:t>
      </w:r>
      <w:r>
        <w:rPr>
          <w:rFonts w:hint="eastAsia"/>
          <w:szCs w:val="28"/>
          <w:lang w:eastAsia="zh-CN"/>
        </w:rPr>
        <w:t>疏散警戒组</w:t>
      </w:r>
      <w:r>
        <w:rPr>
          <w:szCs w:val="28"/>
        </w:rPr>
        <w:t>保持消防通道的畅通，保证消防车辆通行及救援工作顺利进行。消防车由消防机构统一指挥，火场根据需要调动义务消防队及其他人员。 </w:t>
      </w:r>
    </w:p>
    <w:p>
      <w:pPr>
        <w:spacing w:line="360" w:lineRule="auto"/>
        <w:ind w:firstLine="552" w:firstLineChars="200"/>
        <w:rPr>
          <w:szCs w:val="28"/>
        </w:rPr>
      </w:pPr>
      <w:r>
        <w:rPr>
          <w:rFonts w:hint="eastAsia"/>
          <w:szCs w:val="28"/>
        </w:rPr>
        <w:t>G</w:t>
      </w:r>
      <w:r>
        <w:rPr>
          <w:szCs w:val="28"/>
        </w:rPr>
        <w:t>、在急救过程中，遇有威胁人身安全情况时，应首先确保人身安全，迅速疏散人群至安全地带，以减少不必要的伤亡。设立警戒线，禁止无关人员进入危险区域；组织脱离危险区域场所后，再采取紧急措施；对因火灾事故造成的人身伤害要及时抢救。密切配合专业救援队伍进行急救工作。 </w:t>
      </w:r>
    </w:p>
    <w:p>
      <w:pPr>
        <w:widowControl/>
        <w:spacing w:line="360" w:lineRule="auto"/>
        <w:ind w:firstLine="552" w:firstLineChars="200"/>
        <w:jc w:val="left"/>
        <w:rPr>
          <w:szCs w:val="28"/>
        </w:rPr>
      </w:pPr>
      <w:r>
        <w:rPr>
          <w:szCs w:val="28"/>
        </w:rPr>
        <w:t>H、保护火灾现场，指派专人看守。</w:t>
      </w:r>
    </w:p>
    <w:p>
      <w:pPr>
        <w:widowControl/>
        <w:spacing w:line="360" w:lineRule="auto"/>
        <w:ind w:firstLine="554" w:firstLineChars="200"/>
        <w:jc w:val="left"/>
        <w:rPr>
          <w:b/>
          <w:bCs/>
          <w:szCs w:val="28"/>
        </w:rPr>
      </w:pPr>
      <w:r>
        <w:rPr>
          <w:b/>
          <w:bCs/>
          <w:szCs w:val="28"/>
        </w:rPr>
        <w:t>消防废水处置的应急措施</w:t>
      </w:r>
    </w:p>
    <w:p>
      <w:pPr>
        <w:widowControl/>
        <w:spacing w:line="360" w:lineRule="auto"/>
        <w:ind w:firstLine="552" w:firstLineChars="200"/>
        <w:jc w:val="left"/>
        <w:rPr>
          <w:szCs w:val="28"/>
        </w:rPr>
      </w:pPr>
      <w:r>
        <w:rPr>
          <w:szCs w:val="28"/>
        </w:rPr>
        <w:t>当发生火灾事件后，应当立即</w:t>
      </w:r>
      <w:r>
        <w:rPr>
          <w:rFonts w:hint="eastAsia"/>
          <w:szCs w:val="28"/>
          <w:lang w:eastAsia="zh-CN"/>
        </w:rPr>
        <w:t>关闭</w:t>
      </w:r>
      <w:r>
        <w:rPr>
          <w:szCs w:val="28"/>
        </w:rPr>
        <w:t>厂区雨水总排口</w:t>
      </w:r>
      <w:r>
        <w:rPr>
          <w:rFonts w:hint="eastAsia"/>
          <w:szCs w:val="28"/>
          <w:lang w:eastAsia="zh-CN"/>
        </w:rPr>
        <w:t>阀门</w:t>
      </w:r>
      <w:r>
        <w:rPr>
          <w:szCs w:val="28"/>
        </w:rPr>
        <w:t>，使产生的消防废水截留于厂区范围内，消防废水通过应急管道</w:t>
      </w:r>
      <w:r>
        <w:rPr>
          <w:rFonts w:hint="eastAsia"/>
          <w:szCs w:val="28"/>
          <w:lang w:eastAsia="zh-CN"/>
        </w:rPr>
        <w:t>泵</w:t>
      </w:r>
      <w:r>
        <w:rPr>
          <w:szCs w:val="28"/>
        </w:rPr>
        <w:t>到事故应急池中，待事故结束后，转移给有资质的单位处置。</w:t>
      </w:r>
    </w:p>
    <w:p>
      <w:pPr>
        <w:widowControl/>
        <w:spacing w:line="360" w:lineRule="auto"/>
        <w:ind w:firstLine="552" w:firstLineChars="200"/>
        <w:jc w:val="left"/>
        <w:rPr>
          <w:rFonts w:hint="eastAsia"/>
          <w:szCs w:val="28"/>
        </w:rPr>
      </w:pPr>
      <w:r>
        <w:rPr>
          <w:rFonts w:hint="eastAsia"/>
          <w:szCs w:val="28"/>
          <w:lang w:eastAsia="zh-CN"/>
        </w:rPr>
        <w:t>假若</w:t>
      </w:r>
      <w:r>
        <w:rPr>
          <w:rFonts w:hint="eastAsia"/>
          <w:szCs w:val="28"/>
        </w:rPr>
        <w:t>污染物泄漏</w:t>
      </w:r>
      <w:r>
        <w:rPr>
          <w:rFonts w:hint="eastAsia"/>
          <w:szCs w:val="28"/>
          <w:lang w:eastAsia="zh-CN"/>
        </w:rPr>
        <w:t>进入外环境，</w:t>
      </w:r>
      <w:r>
        <w:rPr>
          <w:rFonts w:hint="eastAsia"/>
          <w:szCs w:val="28"/>
        </w:rPr>
        <w:t>造成了外环境污染，应视污染程度和受污染水体规模决定采取的应对措施。如果污染程度轻，规模小，为争取时间企业应自行立即处理（如果技术上可行）并上报；如果污染严重，水体规模大，则应立即通知</w:t>
      </w:r>
      <w:r>
        <w:rPr>
          <w:rFonts w:hint="eastAsia"/>
          <w:szCs w:val="28"/>
          <w:lang w:eastAsia="zh-CN"/>
        </w:rPr>
        <w:t>民众镇</w:t>
      </w:r>
      <w:r>
        <w:rPr>
          <w:rFonts w:hint="eastAsia"/>
          <w:szCs w:val="28"/>
        </w:rPr>
        <w:t>有关部门，再由</w:t>
      </w:r>
      <w:r>
        <w:rPr>
          <w:rFonts w:hint="eastAsia"/>
          <w:szCs w:val="28"/>
          <w:lang w:eastAsia="zh-CN"/>
        </w:rPr>
        <w:t>民众镇</w:t>
      </w:r>
      <w:r>
        <w:rPr>
          <w:rFonts w:hint="eastAsia"/>
          <w:szCs w:val="28"/>
        </w:rPr>
        <w:t>有关部门通知中山市有关部门，实施区域联动响应处理，企业服从</w:t>
      </w:r>
      <w:r>
        <w:rPr>
          <w:rFonts w:hint="eastAsia"/>
          <w:szCs w:val="28"/>
          <w:lang w:eastAsia="zh-CN"/>
        </w:rPr>
        <w:t>民众镇</w:t>
      </w:r>
      <w:r>
        <w:rPr>
          <w:rFonts w:hint="eastAsia"/>
          <w:szCs w:val="28"/>
        </w:rPr>
        <w:t>、中山市应急预案统一安排。</w:t>
      </w:r>
    </w:p>
    <w:p>
      <w:pPr>
        <w:pStyle w:val="17"/>
        <w:spacing w:before="120" w:beforeLines="50" w:after="120" w:afterLines="50"/>
        <w:ind w:firstLine="0" w:firstLineChars="0"/>
        <w:outlineLvl w:val="2"/>
        <w:rPr>
          <w:rFonts w:ascii="Times New Roman" w:hAnsi="Times New Roman"/>
          <w:szCs w:val="28"/>
        </w:rPr>
      </w:pPr>
      <w:bookmarkStart w:id="289" w:name="_Toc11293"/>
      <w:r>
        <w:rPr>
          <w:rFonts w:ascii="Times New Roman" w:hAnsi="Times New Roman"/>
          <w:b/>
        </w:rPr>
        <w:t>7.4.</w:t>
      </w:r>
      <w:r>
        <w:rPr>
          <w:rFonts w:hint="eastAsia" w:ascii="Times New Roman" w:hAnsi="Times New Roman"/>
          <w:b/>
          <w:lang w:val="en-US" w:eastAsia="zh-CN"/>
        </w:rPr>
        <w:t>8</w:t>
      </w:r>
      <w:r>
        <w:rPr>
          <w:rFonts w:ascii="Times New Roman" w:hAnsi="Times New Roman"/>
          <w:b/>
        </w:rPr>
        <w:t>应急处置注意事项</w:t>
      </w:r>
      <w:bookmarkEnd w:id="289"/>
    </w:p>
    <w:p>
      <w:pPr>
        <w:widowControl/>
        <w:spacing w:line="360" w:lineRule="auto"/>
        <w:ind w:firstLine="552" w:firstLineChars="200"/>
        <w:jc w:val="left"/>
        <w:rPr>
          <w:szCs w:val="28"/>
        </w:rPr>
      </w:pPr>
      <w:r>
        <w:rPr>
          <w:szCs w:val="28"/>
        </w:rPr>
        <w:t>现场应急救援人员应做好个人防护，各应急小组需至少一名监护人。</w:t>
      </w:r>
    </w:p>
    <w:p>
      <w:pPr>
        <w:widowControl/>
        <w:spacing w:line="360" w:lineRule="auto"/>
        <w:ind w:firstLine="552" w:firstLineChars="200"/>
        <w:jc w:val="left"/>
        <w:rPr>
          <w:szCs w:val="28"/>
        </w:rPr>
      </w:pPr>
      <w:r>
        <w:rPr>
          <w:szCs w:val="28"/>
        </w:rPr>
        <w:t>1、佩戴个人防护器具方面的注意事项</w:t>
      </w:r>
    </w:p>
    <w:p>
      <w:pPr>
        <w:widowControl/>
        <w:spacing w:line="360" w:lineRule="auto"/>
        <w:ind w:firstLine="552" w:firstLineChars="200"/>
        <w:jc w:val="left"/>
        <w:rPr>
          <w:szCs w:val="28"/>
        </w:rPr>
      </w:pPr>
      <w:r>
        <w:rPr>
          <w:szCs w:val="28"/>
        </w:rPr>
        <w:t>（1）注意个人防护器具的选型，应根据不同化学品的性质选择适当的防护器具，正确合理使用。</w:t>
      </w:r>
    </w:p>
    <w:p>
      <w:pPr>
        <w:widowControl/>
        <w:spacing w:line="360" w:lineRule="auto"/>
        <w:ind w:firstLine="552" w:firstLineChars="200"/>
        <w:jc w:val="left"/>
        <w:rPr>
          <w:szCs w:val="28"/>
        </w:rPr>
      </w:pPr>
      <w:r>
        <w:rPr>
          <w:rFonts w:ascii="宋体"/>
          <w:szCs w:val="28"/>
        </w:rPr>
        <w:t>①</w:t>
      </w:r>
      <w:r>
        <w:rPr>
          <w:szCs w:val="28"/>
        </w:rPr>
        <w:t>呼吸系统防护：应佩戴自吸过滤式防毒面具，紧急事态抢救或撤离时，佩戴隔离式呼吸器；</w:t>
      </w:r>
    </w:p>
    <w:p>
      <w:pPr>
        <w:widowControl/>
        <w:spacing w:line="360" w:lineRule="auto"/>
        <w:ind w:firstLine="552" w:firstLineChars="200"/>
        <w:jc w:val="left"/>
        <w:rPr>
          <w:szCs w:val="28"/>
        </w:rPr>
      </w:pPr>
      <w:r>
        <w:rPr>
          <w:rFonts w:ascii="宋体"/>
          <w:szCs w:val="28"/>
        </w:rPr>
        <w:t>②</w:t>
      </w:r>
      <w:r>
        <w:rPr>
          <w:szCs w:val="28"/>
        </w:rPr>
        <w:t>眼睛防护：应佩戴防护眼镜或防护面具；</w:t>
      </w:r>
    </w:p>
    <w:p>
      <w:pPr>
        <w:widowControl/>
        <w:spacing w:line="360" w:lineRule="auto"/>
        <w:ind w:firstLine="552" w:firstLineChars="200"/>
        <w:jc w:val="left"/>
        <w:rPr>
          <w:szCs w:val="28"/>
        </w:rPr>
      </w:pPr>
      <w:r>
        <w:rPr>
          <w:rFonts w:ascii="宋体"/>
          <w:szCs w:val="28"/>
        </w:rPr>
        <w:t>③</w:t>
      </w:r>
      <w:r>
        <w:rPr>
          <w:szCs w:val="28"/>
        </w:rPr>
        <w:t>手防护：戴橡胶手套；</w:t>
      </w:r>
    </w:p>
    <w:p>
      <w:pPr>
        <w:widowControl/>
        <w:spacing w:line="360" w:lineRule="auto"/>
        <w:ind w:firstLine="552" w:firstLineChars="200"/>
        <w:jc w:val="left"/>
        <w:rPr>
          <w:szCs w:val="28"/>
        </w:rPr>
      </w:pPr>
      <w:r>
        <w:rPr>
          <w:rFonts w:ascii="宋体"/>
          <w:szCs w:val="28"/>
        </w:rPr>
        <w:t>④</w:t>
      </w:r>
      <w:r>
        <w:rPr>
          <w:szCs w:val="28"/>
        </w:rPr>
        <w:t>脚防护：传橡胶长筒靴；</w:t>
      </w:r>
    </w:p>
    <w:p>
      <w:pPr>
        <w:widowControl/>
        <w:spacing w:line="360" w:lineRule="auto"/>
        <w:ind w:firstLine="552" w:firstLineChars="200"/>
        <w:jc w:val="left"/>
        <w:rPr>
          <w:szCs w:val="28"/>
        </w:rPr>
      </w:pPr>
      <w:r>
        <w:rPr>
          <w:szCs w:val="28"/>
        </w:rPr>
        <w:t>（2）注意正确佩戴个人防护器具，特别是防毒面具要与自己的脸部紧密结合；</w:t>
      </w:r>
    </w:p>
    <w:p>
      <w:pPr>
        <w:widowControl/>
        <w:spacing w:line="360" w:lineRule="auto"/>
        <w:ind w:firstLine="552" w:firstLineChars="200"/>
        <w:jc w:val="left"/>
        <w:rPr>
          <w:szCs w:val="28"/>
        </w:rPr>
      </w:pPr>
      <w:r>
        <w:rPr>
          <w:szCs w:val="28"/>
        </w:rPr>
        <w:t>（3）使用前应检查防护器具是否完好，不得使用有缺陷或已失效的器具。</w:t>
      </w:r>
    </w:p>
    <w:p>
      <w:pPr>
        <w:widowControl/>
        <w:spacing w:line="360" w:lineRule="auto"/>
        <w:ind w:firstLine="552" w:firstLineChars="200"/>
        <w:jc w:val="left"/>
        <w:rPr>
          <w:szCs w:val="28"/>
        </w:rPr>
      </w:pPr>
      <w:r>
        <w:rPr>
          <w:szCs w:val="28"/>
        </w:rPr>
        <w:t>2、使用抢险救援器材方面的注意事项</w:t>
      </w:r>
    </w:p>
    <w:p>
      <w:pPr>
        <w:widowControl/>
        <w:spacing w:line="360" w:lineRule="auto"/>
        <w:ind w:firstLine="552" w:firstLineChars="200"/>
        <w:jc w:val="left"/>
        <w:rPr>
          <w:szCs w:val="28"/>
        </w:rPr>
      </w:pPr>
      <w:r>
        <w:rPr>
          <w:szCs w:val="28"/>
        </w:rPr>
        <w:t>（1）使用的器具器材不得与泄漏物质的性质相抵触，发生新的危险；</w:t>
      </w:r>
    </w:p>
    <w:p>
      <w:pPr>
        <w:widowControl/>
        <w:spacing w:line="360" w:lineRule="auto"/>
        <w:ind w:firstLine="552" w:firstLineChars="200"/>
        <w:jc w:val="left"/>
        <w:rPr>
          <w:szCs w:val="28"/>
        </w:rPr>
      </w:pPr>
      <w:r>
        <w:rPr>
          <w:szCs w:val="28"/>
        </w:rPr>
        <w:t>（2）使用干粉或消防砂灭火；</w:t>
      </w:r>
    </w:p>
    <w:p>
      <w:pPr>
        <w:widowControl/>
        <w:spacing w:line="360" w:lineRule="auto"/>
        <w:ind w:firstLine="552" w:firstLineChars="200"/>
        <w:jc w:val="left"/>
        <w:rPr>
          <w:szCs w:val="28"/>
        </w:rPr>
      </w:pPr>
      <w:r>
        <w:rPr>
          <w:szCs w:val="28"/>
        </w:rPr>
        <w:t xml:space="preserve">（3）使用前应检查抢险救援器材是否完好，不得使用有缺陷或已失效的抢险救援器材。 </w:t>
      </w:r>
    </w:p>
    <w:p>
      <w:pPr>
        <w:widowControl/>
        <w:spacing w:line="360" w:lineRule="auto"/>
        <w:ind w:firstLine="552" w:firstLineChars="200"/>
        <w:jc w:val="left"/>
        <w:rPr>
          <w:szCs w:val="28"/>
        </w:rPr>
      </w:pPr>
      <w:r>
        <w:rPr>
          <w:szCs w:val="28"/>
        </w:rPr>
        <w:t xml:space="preserve">3、采取救援对策或措施方面的注意事项 </w:t>
      </w:r>
    </w:p>
    <w:p>
      <w:pPr>
        <w:widowControl/>
        <w:spacing w:line="360" w:lineRule="auto"/>
        <w:ind w:firstLine="552" w:firstLineChars="200"/>
        <w:jc w:val="left"/>
        <w:rPr>
          <w:szCs w:val="28"/>
        </w:rPr>
      </w:pPr>
      <w:r>
        <w:rPr>
          <w:szCs w:val="28"/>
        </w:rPr>
        <w:t>（1）处理危险废物时应谨慎小心，不得盲目采取措施，应按照危险废物管理规范执行；</w:t>
      </w:r>
    </w:p>
    <w:p>
      <w:pPr>
        <w:widowControl/>
        <w:spacing w:line="360" w:lineRule="auto"/>
        <w:ind w:firstLine="552" w:firstLineChars="200"/>
        <w:jc w:val="left"/>
        <w:rPr>
          <w:szCs w:val="28"/>
        </w:rPr>
      </w:pPr>
      <w:r>
        <w:rPr>
          <w:szCs w:val="28"/>
        </w:rPr>
        <w:t>（2）人员救护、灭火、处理泄漏、人员疏散时一定把握风向，人员一定要在上风向进行救缓；人员疏散时一定要向上风向或侧风向进行。</w:t>
      </w:r>
    </w:p>
    <w:p>
      <w:pPr>
        <w:widowControl/>
        <w:spacing w:line="360" w:lineRule="auto"/>
        <w:ind w:firstLine="552" w:firstLineChars="200"/>
        <w:jc w:val="left"/>
        <w:rPr>
          <w:szCs w:val="28"/>
        </w:rPr>
      </w:pPr>
      <w:r>
        <w:rPr>
          <w:szCs w:val="28"/>
        </w:rPr>
        <w:t>4、现场自救和互救注意事项</w:t>
      </w:r>
    </w:p>
    <w:p>
      <w:pPr>
        <w:widowControl/>
        <w:spacing w:line="360" w:lineRule="auto"/>
        <w:ind w:firstLine="552" w:firstLineChars="200"/>
        <w:jc w:val="left"/>
        <w:rPr>
          <w:szCs w:val="28"/>
        </w:rPr>
      </w:pPr>
      <w:r>
        <w:rPr>
          <w:szCs w:val="28"/>
        </w:rPr>
        <w:t>（1）对于烫伤烧伤人员的救护，一定注意不要触及其伤口部位；</w:t>
      </w:r>
    </w:p>
    <w:p>
      <w:pPr>
        <w:widowControl/>
        <w:spacing w:line="360" w:lineRule="auto"/>
        <w:ind w:firstLine="552" w:firstLineChars="200"/>
        <w:jc w:val="left"/>
        <w:rPr>
          <w:szCs w:val="28"/>
        </w:rPr>
      </w:pPr>
      <w:r>
        <w:rPr>
          <w:szCs w:val="28"/>
        </w:rPr>
        <w:t>（2）对于触电人员的救护，一定要在切断电源或伤者脱离电源的情况下进行；</w:t>
      </w:r>
    </w:p>
    <w:p>
      <w:pPr>
        <w:widowControl/>
        <w:spacing w:line="360" w:lineRule="auto"/>
        <w:ind w:firstLine="552" w:firstLineChars="200"/>
        <w:jc w:val="left"/>
        <w:rPr>
          <w:szCs w:val="28"/>
        </w:rPr>
      </w:pPr>
      <w:r>
        <w:rPr>
          <w:szCs w:val="28"/>
        </w:rPr>
        <w:t>（3）对于中毒人员的救护，应迅速脱离现场至空气新鲜处，并给输氧。</w:t>
      </w:r>
    </w:p>
    <w:p>
      <w:pPr>
        <w:widowControl/>
        <w:spacing w:line="360" w:lineRule="auto"/>
        <w:ind w:firstLine="552" w:firstLineChars="200"/>
        <w:jc w:val="left"/>
        <w:rPr>
          <w:szCs w:val="28"/>
        </w:rPr>
      </w:pPr>
      <w:r>
        <w:rPr>
          <w:szCs w:val="28"/>
        </w:rPr>
        <w:t>5、现场应急处置能力确认和人员安全防护等事项</w:t>
      </w:r>
    </w:p>
    <w:p>
      <w:pPr>
        <w:widowControl/>
        <w:spacing w:line="360" w:lineRule="auto"/>
        <w:ind w:firstLine="552" w:firstLineChars="200"/>
        <w:jc w:val="left"/>
        <w:rPr>
          <w:szCs w:val="28"/>
        </w:rPr>
      </w:pPr>
      <w:r>
        <w:rPr>
          <w:szCs w:val="28"/>
        </w:rPr>
        <w:t>（1）根据事态的发展，如泄漏源在短时间内得不到控制，应立即扩大应急范围，向社会请求增缓；</w:t>
      </w:r>
    </w:p>
    <w:p>
      <w:pPr>
        <w:widowControl/>
        <w:spacing w:line="360" w:lineRule="auto"/>
        <w:ind w:firstLine="552" w:firstLineChars="200"/>
        <w:jc w:val="left"/>
        <w:rPr>
          <w:szCs w:val="28"/>
        </w:rPr>
      </w:pPr>
      <w:r>
        <w:rPr>
          <w:szCs w:val="28"/>
        </w:rPr>
        <w:t>（2）有发生爆炸危险的事态下，将无关人员撤离到</w:t>
      </w:r>
      <w:r>
        <w:rPr>
          <w:rFonts w:hint="eastAsia"/>
          <w:szCs w:val="28"/>
          <w:lang w:eastAsia="zh-CN"/>
        </w:rPr>
        <w:t>安全范围</w:t>
      </w:r>
      <w:r>
        <w:rPr>
          <w:szCs w:val="28"/>
        </w:rPr>
        <w:t>以外；当事态发展到影响整个厂区时，应立即撤离到厂区以外安全地点，并向周边单位发出撤离疏散信息。</w:t>
      </w:r>
    </w:p>
    <w:p>
      <w:pPr>
        <w:widowControl/>
        <w:spacing w:line="360" w:lineRule="auto"/>
        <w:ind w:firstLine="552" w:firstLineChars="200"/>
        <w:jc w:val="left"/>
        <w:rPr>
          <w:szCs w:val="28"/>
        </w:rPr>
      </w:pPr>
      <w:r>
        <w:rPr>
          <w:szCs w:val="28"/>
        </w:rPr>
        <w:t>6、应急救援结束后的注意事项</w:t>
      </w:r>
    </w:p>
    <w:p>
      <w:pPr>
        <w:widowControl/>
        <w:spacing w:line="360" w:lineRule="auto"/>
        <w:ind w:firstLine="552" w:firstLineChars="200"/>
        <w:jc w:val="left"/>
        <w:rPr>
          <w:szCs w:val="28"/>
        </w:rPr>
      </w:pPr>
      <w:r>
        <w:rPr>
          <w:szCs w:val="28"/>
        </w:rPr>
        <w:t>（1）清点救灾人员；</w:t>
      </w:r>
    </w:p>
    <w:p>
      <w:pPr>
        <w:widowControl/>
        <w:spacing w:line="360" w:lineRule="auto"/>
        <w:ind w:firstLine="552" w:firstLineChars="200"/>
        <w:jc w:val="left"/>
        <w:rPr>
          <w:szCs w:val="28"/>
        </w:rPr>
      </w:pPr>
      <w:r>
        <w:rPr>
          <w:szCs w:val="28"/>
        </w:rPr>
        <w:t>（2）对救灾中接触到有毒物质人员进行医疗观察；</w:t>
      </w:r>
    </w:p>
    <w:p>
      <w:pPr>
        <w:widowControl/>
        <w:spacing w:line="360" w:lineRule="auto"/>
        <w:ind w:firstLine="552" w:firstLineChars="200"/>
        <w:jc w:val="left"/>
        <w:rPr>
          <w:szCs w:val="28"/>
        </w:rPr>
      </w:pPr>
      <w:r>
        <w:rPr>
          <w:szCs w:val="28"/>
        </w:rPr>
        <w:t>（3）清点应急物质的使用情况，并及时更新和维护。</w:t>
      </w:r>
    </w:p>
    <w:p>
      <w:pPr>
        <w:widowControl/>
        <w:spacing w:line="360" w:lineRule="auto"/>
        <w:ind w:firstLine="552" w:firstLineChars="200"/>
        <w:jc w:val="left"/>
        <w:rPr>
          <w:szCs w:val="28"/>
        </w:rPr>
      </w:pPr>
      <w:r>
        <w:rPr>
          <w:szCs w:val="28"/>
        </w:rPr>
        <w:t>（4）评估事件影响，防止发生次生事件。</w:t>
      </w:r>
    </w:p>
    <w:p>
      <w:pPr>
        <w:widowControl/>
        <w:spacing w:line="360" w:lineRule="auto"/>
        <w:ind w:firstLine="552" w:firstLineChars="200"/>
        <w:jc w:val="left"/>
        <w:rPr>
          <w:szCs w:val="28"/>
        </w:rPr>
      </w:pPr>
      <w:r>
        <w:rPr>
          <w:szCs w:val="28"/>
        </w:rPr>
        <w:t>7、其他特别警示的事项</w:t>
      </w:r>
    </w:p>
    <w:p>
      <w:pPr>
        <w:widowControl/>
        <w:spacing w:line="360" w:lineRule="auto"/>
        <w:ind w:firstLine="552" w:firstLineChars="200"/>
        <w:jc w:val="left"/>
        <w:rPr>
          <w:szCs w:val="28"/>
        </w:rPr>
      </w:pPr>
      <w:r>
        <w:rPr>
          <w:szCs w:val="28"/>
        </w:rPr>
        <w:t>（1）救缓中要记录好抢险救的人数，作业中要轮流作业；</w:t>
      </w:r>
    </w:p>
    <w:p>
      <w:pPr>
        <w:widowControl/>
        <w:spacing w:line="360" w:lineRule="auto"/>
        <w:ind w:firstLine="552" w:firstLineChars="200"/>
        <w:jc w:val="left"/>
        <w:rPr>
          <w:szCs w:val="28"/>
        </w:rPr>
      </w:pPr>
      <w:r>
        <w:rPr>
          <w:szCs w:val="28"/>
        </w:rPr>
        <w:t>（2）及时发布有关事件信息；</w:t>
      </w:r>
    </w:p>
    <w:p>
      <w:pPr>
        <w:widowControl/>
        <w:spacing w:line="360" w:lineRule="auto"/>
        <w:ind w:firstLine="552" w:firstLineChars="200"/>
        <w:jc w:val="left"/>
        <w:rPr>
          <w:szCs w:val="28"/>
        </w:rPr>
      </w:pPr>
      <w:r>
        <w:rPr>
          <w:szCs w:val="28"/>
        </w:rPr>
        <w:t>（3）未经允许，除应急救援人员外，任何人不得进入事件现场。</w:t>
      </w:r>
    </w:p>
    <w:p>
      <w:pPr>
        <w:pStyle w:val="3"/>
      </w:pPr>
      <w:bookmarkStart w:id="290" w:name="_Toc383502255"/>
      <w:bookmarkStart w:id="291" w:name="_Toc5171"/>
      <w:bookmarkStart w:id="292" w:name="_Toc390337481"/>
      <w:bookmarkStart w:id="293" w:name="_Toc21001"/>
      <w:bookmarkStart w:id="294" w:name="_Toc9726"/>
      <w:bookmarkStart w:id="295" w:name="_Toc26640"/>
      <w:r>
        <w:t>7.5</w:t>
      </w:r>
      <w:bookmarkEnd w:id="290"/>
      <w:r>
        <w:t>人员紧急疏散与撤离</w:t>
      </w:r>
      <w:bookmarkEnd w:id="291"/>
      <w:bookmarkEnd w:id="292"/>
      <w:bookmarkEnd w:id="293"/>
      <w:bookmarkEnd w:id="294"/>
      <w:bookmarkEnd w:id="295"/>
    </w:p>
    <w:p>
      <w:pPr>
        <w:pStyle w:val="39"/>
        <w:widowControl w:val="0"/>
        <w:spacing w:before="0" w:beforeAutospacing="0" w:after="0" w:afterAutospacing="0" w:line="360" w:lineRule="auto"/>
        <w:ind w:firstLine="552" w:firstLineChars="200"/>
        <w:jc w:val="both"/>
        <w:rPr>
          <w:rFonts w:ascii="Times New Roman" w:hAnsi="Times New Roman" w:cs="Times New Roman"/>
          <w:sz w:val="28"/>
          <w:szCs w:val="28"/>
        </w:rPr>
      </w:pPr>
      <w:r>
        <w:rPr>
          <w:rFonts w:ascii="Times New Roman" w:hAnsi="Times New Roman" w:cs="Times New Roman"/>
          <w:sz w:val="28"/>
          <w:szCs w:val="28"/>
        </w:rPr>
        <w:t>预警应急情况下，</w:t>
      </w:r>
      <w:r>
        <w:rPr>
          <w:rFonts w:hint="eastAsia" w:ascii="Times New Roman" w:hAnsi="Times New Roman" w:cs="Times New Roman"/>
          <w:sz w:val="28"/>
          <w:szCs w:val="28"/>
          <w:lang w:eastAsia="zh-CN"/>
        </w:rPr>
        <w:t>警戒疏散</w:t>
      </w:r>
      <w:r>
        <w:rPr>
          <w:rFonts w:ascii="Times New Roman" w:hAnsi="Times New Roman" w:cs="Times New Roman"/>
          <w:sz w:val="28"/>
          <w:szCs w:val="28"/>
        </w:rPr>
        <w:t>组组长向公司应急指挥</w:t>
      </w:r>
      <w:r>
        <w:rPr>
          <w:rFonts w:hint="eastAsia" w:ascii="Times New Roman" w:hAnsi="Times New Roman" w:cs="Times New Roman"/>
          <w:sz w:val="28"/>
          <w:szCs w:val="28"/>
          <w:lang w:eastAsia="zh-CN"/>
        </w:rPr>
        <w:t>部</w:t>
      </w:r>
      <w:r>
        <w:rPr>
          <w:rFonts w:ascii="Times New Roman" w:hAnsi="Times New Roman" w:cs="Times New Roman"/>
          <w:sz w:val="28"/>
          <w:szCs w:val="28"/>
        </w:rPr>
        <w:t>上报事故现场情况，由指挥</w:t>
      </w:r>
      <w:r>
        <w:rPr>
          <w:rFonts w:hint="eastAsia" w:ascii="Times New Roman" w:hAnsi="Times New Roman" w:cs="Times New Roman"/>
          <w:sz w:val="28"/>
          <w:szCs w:val="28"/>
          <w:lang w:eastAsia="zh-CN"/>
        </w:rPr>
        <w:t>部</w:t>
      </w:r>
      <w:r>
        <w:rPr>
          <w:rFonts w:ascii="Times New Roman" w:hAnsi="Times New Roman" w:cs="Times New Roman"/>
          <w:sz w:val="28"/>
          <w:szCs w:val="28"/>
        </w:rPr>
        <w:t>决定人员是否疏散和撤离。人员疏散范围、撤离方向由公司应急指挥</w:t>
      </w:r>
      <w:r>
        <w:rPr>
          <w:rFonts w:hint="eastAsia" w:ascii="Times New Roman" w:hAnsi="Times New Roman" w:cs="Times New Roman"/>
          <w:sz w:val="28"/>
          <w:szCs w:val="28"/>
          <w:lang w:eastAsia="zh-CN"/>
        </w:rPr>
        <w:t>部</w:t>
      </w:r>
      <w:r>
        <w:rPr>
          <w:rFonts w:ascii="Times New Roman" w:hAnsi="Times New Roman" w:cs="Times New Roman"/>
          <w:sz w:val="28"/>
          <w:szCs w:val="28"/>
        </w:rPr>
        <w:t>根据事故情况设定。</w:t>
      </w:r>
    </w:p>
    <w:p>
      <w:pPr>
        <w:pStyle w:val="39"/>
        <w:widowControl w:val="0"/>
        <w:spacing w:before="0" w:beforeAutospacing="0" w:after="0" w:afterAutospacing="0" w:line="360" w:lineRule="auto"/>
        <w:ind w:firstLine="552" w:firstLineChars="200"/>
        <w:jc w:val="both"/>
        <w:rPr>
          <w:rFonts w:ascii="Times New Roman" w:hAnsi="Times New Roman" w:cs="Times New Roman"/>
          <w:sz w:val="28"/>
          <w:szCs w:val="28"/>
        </w:rPr>
      </w:pPr>
      <w:r>
        <w:rPr>
          <w:rFonts w:ascii="Times New Roman" w:hAnsi="Times New Roman" w:cs="Times New Roman"/>
          <w:sz w:val="28"/>
          <w:szCs w:val="28"/>
        </w:rPr>
        <w:t>事故疏散由</w:t>
      </w:r>
      <w:r>
        <w:rPr>
          <w:rFonts w:hint="eastAsia" w:ascii="Times New Roman" w:hAnsi="Times New Roman" w:cs="Times New Roman"/>
          <w:sz w:val="28"/>
          <w:szCs w:val="28"/>
          <w:lang w:eastAsia="zh-CN"/>
        </w:rPr>
        <w:t>疏散警戒</w:t>
      </w:r>
      <w:r>
        <w:rPr>
          <w:rFonts w:ascii="Times New Roman" w:hAnsi="Times New Roman" w:cs="Times New Roman"/>
          <w:sz w:val="28"/>
          <w:szCs w:val="28"/>
        </w:rPr>
        <w:t>组负责，必要时可要求</w:t>
      </w:r>
      <w:r>
        <w:rPr>
          <w:rFonts w:hint="eastAsia" w:ascii="Times New Roman" w:hAnsi="Times New Roman" w:cs="Times New Roman"/>
          <w:sz w:val="28"/>
          <w:szCs w:val="28"/>
          <w:lang w:eastAsia="zh-CN"/>
        </w:rPr>
        <w:t>后勤保障组</w:t>
      </w:r>
      <w:r>
        <w:rPr>
          <w:rFonts w:ascii="Times New Roman" w:hAnsi="Times New Roman" w:cs="Times New Roman"/>
          <w:sz w:val="28"/>
          <w:szCs w:val="28"/>
        </w:rPr>
        <w:t>、</w:t>
      </w:r>
      <w:r>
        <w:rPr>
          <w:rFonts w:hint="eastAsia" w:ascii="Times New Roman" w:hAnsi="Times New Roman" w:cs="Times New Roman"/>
          <w:sz w:val="28"/>
          <w:szCs w:val="28"/>
          <w:lang w:eastAsia="zh-CN"/>
        </w:rPr>
        <w:t>医疗救助</w:t>
      </w:r>
      <w:r>
        <w:rPr>
          <w:rFonts w:ascii="Times New Roman" w:hAnsi="Times New Roman" w:cs="Times New Roman"/>
          <w:sz w:val="28"/>
          <w:szCs w:val="28"/>
        </w:rPr>
        <w:t>组协助。公司疏散路线图</w:t>
      </w:r>
      <w:r>
        <w:rPr>
          <w:rFonts w:hint="eastAsia" w:ascii="Times New Roman" w:hAnsi="Times New Roman" w:cs="Times New Roman"/>
          <w:sz w:val="28"/>
          <w:szCs w:val="28"/>
          <w:lang w:eastAsia="zh-CN"/>
        </w:rPr>
        <w:t>见附件</w:t>
      </w:r>
      <w:r>
        <w:rPr>
          <w:rFonts w:ascii="Times New Roman" w:hAnsi="Times New Roman" w:cs="Times New Roman"/>
          <w:sz w:val="28"/>
          <w:szCs w:val="28"/>
        </w:rPr>
        <w:t>。</w:t>
      </w:r>
    </w:p>
    <w:p>
      <w:pPr>
        <w:pStyle w:val="39"/>
        <w:spacing w:before="0" w:beforeAutospacing="0" w:after="0" w:afterAutospacing="0" w:line="360" w:lineRule="auto"/>
        <w:ind w:firstLine="554" w:firstLineChars="200"/>
        <w:rPr>
          <w:rFonts w:ascii="Times New Roman" w:hAnsi="Times New Roman" w:cs="Times New Roman"/>
          <w:b/>
          <w:sz w:val="28"/>
        </w:rPr>
      </w:pPr>
      <w:r>
        <w:rPr>
          <w:rFonts w:ascii="Times New Roman" w:hAnsi="Times New Roman" w:cs="Times New Roman"/>
          <w:b/>
          <w:sz w:val="28"/>
        </w:rPr>
        <w:t>（1）事故现场人员清点，撤离的方式、方法</w:t>
      </w:r>
    </w:p>
    <w:p>
      <w:pPr>
        <w:pStyle w:val="39"/>
        <w:spacing w:before="0" w:beforeAutospacing="0" w:after="0" w:afterAutospacing="0" w:line="360" w:lineRule="auto"/>
        <w:ind w:firstLine="552" w:firstLineChars="200"/>
        <w:rPr>
          <w:rFonts w:ascii="Times New Roman" w:hAnsi="Times New Roman" w:cs="Times New Roman"/>
          <w:sz w:val="28"/>
        </w:rPr>
      </w:pPr>
      <w:r>
        <w:rPr>
          <w:rFonts w:ascii="Times New Roman" w:hAnsi="Times New Roman" w:cs="Times New Roman"/>
          <w:sz w:val="28"/>
        </w:rPr>
        <w:t>预警应急须清点事故发生现场的工作人员并迅速集合，撤离危险区，按照员工名册清点现场人员，组织人员从事故现场的安全通道迅速、有秩序地安全撤离，在集合地点招集人员。</w:t>
      </w:r>
    </w:p>
    <w:p>
      <w:pPr>
        <w:pStyle w:val="39"/>
        <w:spacing w:before="0" w:beforeAutospacing="0" w:after="0" w:afterAutospacing="0" w:line="360" w:lineRule="auto"/>
        <w:ind w:firstLine="554" w:firstLineChars="200"/>
        <w:rPr>
          <w:rFonts w:ascii="Times New Roman" w:hAnsi="Times New Roman" w:cs="Times New Roman"/>
          <w:b/>
          <w:sz w:val="28"/>
        </w:rPr>
      </w:pPr>
      <w:r>
        <w:rPr>
          <w:rFonts w:ascii="Times New Roman" w:hAnsi="Times New Roman" w:cs="Times New Roman"/>
          <w:b/>
          <w:sz w:val="28"/>
        </w:rPr>
        <w:t xml:space="preserve">（2）非事故现场人员紧急疏散的方式、方法 </w:t>
      </w:r>
    </w:p>
    <w:p>
      <w:pPr>
        <w:pStyle w:val="39"/>
        <w:spacing w:before="0" w:beforeAutospacing="0" w:after="0" w:afterAutospacing="0" w:line="360" w:lineRule="auto"/>
        <w:ind w:firstLine="552" w:firstLineChars="200"/>
        <w:rPr>
          <w:rFonts w:ascii="Times New Roman" w:hAnsi="Times New Roman" w:cs="Times New Roman"/>
          <w:sz w:val="28"/>
        </w:rPr>
      </w:pPr>
      <w:r>
        <w:rPr>
          <w:rFonts w:ascii="Times New Roman" w:hAnsi="Times New Roman" w:cs="Times New Roman"/>
          <w:sz w:val="28"/>
        </w:rPr>
        <w:t>厂区内工作人员（包括外来人员、非工作人员）听到事故警报后应立即集合，集合地点位于厂区门卫室前。</w:t>
      </w:r>
    </w:p>
    <w:p>
      <w:pPr>
        <w:pStyle w:val="39"/>
        <w:spacing w:before="0" w:beforeAutospacing="0" w:after="0" w:afterAutospacing="0" w:line="360" w:lineRule="auto"/>
        <w:ind w:firstLine="552" w:firstLineChars="200"/>
        <w:rPr>
          <w:rFonts w:ascii="Times New Roman" w:hAnsi="Times New Roman" w:cs="Times New Roman"/>
          <w:sz w:val="28"/>
        </w:rPr>
      </w:pPr>
      <w:r>
        <w:rPr>
          <w:rFonts w:ascii="Times New Roman" w:hAnsi="Times New Roman" w:cs="Times New Roman"/>
          <w:sz w:val="28"/>
        </w:rPr>
        <w:t>如危及厂区外时，应迅速组织有关人员协助厂区外单位、过往行人，向逆风或上侧风方向的安全区地带疏散。</w:t>
      </w:r>
    </w:p>
    <w:p>
      <w:pPr>
        <w:pStyle w:val="39"/>
        <w:spacing w:before="0" w:beforeAutospacing="0" w:after="0" w:afterAutospacing="0" w:line="360" w:lineRule="auto"/>
        <w:ind w:firstLine="554" w:firstLineChars="200"/>
        <w:rPr>
          <w:rFonts w:ascii="Times New Roman" w:hAnsi="Times New Roman" w:cs="Times New Roman"/>
          <w:b/>
          <w:sz w:val="28"/>
        </w:rPr>
      </w:pPr>
      <w:r>
        <w:rPr>
          <w:rFonts w:ascii="Times New Roman" w:hAnsi="Times New Roman" w:cs="Times New Roman"/>
          <w:b/>
          <w:sz w:val="28"/>
        </w:rPr>
        <w:t>（3）抢救人员在撤离前、撤离后的报告</w:t>
      </w:r>
    </w:p>
    <w:p>
      <w:pPr>
        <w:pStyle w:val="39"/>
        <w:spacing w:before="0" w:beforeAutospacing="0" w:after="0" w:afterAutospacing="0" w:line="360" w:lineRule="auto"/>
        <w:ind w:firstLine="552" w:firstLineChars="200"/>
        <w:rPr>
          <w:rFonts w:ascii="Times New Roman" w:hAnsi="Times New Roman" w:cs="Times New Roman"/>
          <w:sz w:val="28"/>
        </w:rPr>
      </w:pPr>
      <w:r>
        <w:rPr>
          <w:rFonts w:ascii="Times New Roman" w:hAnsi="Times New Roman" w:cs="Times New Roman"/>
          <w:sz w:val="28"/>
        </w:rPr>
        <w:t>抢救人员在撤离前，</w:t>
      </w:r>
      <w:r>
        <w:rPr>
          <w:rFonts w:hint="eastAsia" w:ascii="Times New Roman" w:hAnsi="Times New Roman" w:cs="Times New Roman"/>
          <w:sz w:val="28"/>
          <w:lang w:eastAsia="zh-CN"/>
        </w:rPr>
        <w:t>抢修小</w:t>
      </w:r>
      <w:r>
        <w:rPr>
          <w:rFonts w:ascii="Times New Roman" w:hAnsi="Times New Roman" w:cs="Times New Roman"/>
          <w:sz w:val="28"/>
        </w:rPr>
        <w:t>组应将抢救人员的人数报告</w:t>
      </w:r>
      <w:r>
        <w:rPr>
          <w:rFonts w:hint="eastAsia" w:ascii="Times New Roman" w:hAnsi="Times New Roman" w:cs="Times New Roman"/>
          <w:sz w:val="28"/>
          <w:lang w:eastAsia="zh-CN"/>
        </w:rPr>
        <w:t>后勤保障组</w:t>
      </w:r>
      <w:r>
        <w:rPr>
          <w:rFonts w:ascii="Times New Roman" w:hAnsi="Times New Roman" w:cs="Times New Roman"/>
          <w:sz w:val="28"/>
        </w:rPr>
        <w:t>组长。</w:t>
      </w:r>
    </w:p>
    <w:p>
      <w:pPr>
        <w:pStyle w:val="39"/>
        <w:widowControl w:val="0"/>
        <w:spacing w:before="0" w:beforeAutospacing="0" w:after="0" w:afterAutospacing="0" w:line="360" w:lineRule="auto"/>
        <w:ind w:firstLine="552" w:firstLineChars="200"/>
        <w:jc w:val="both"/>
        <w:rPr>
          <w:rFonts w:ascii="Times New Roman" w:hAnsi="Times New Roman" w:cs="Times New Roman"/>
          <w:sz w:val="28"/>
        </w:rPr>
      </w:pPr>
      <w:r>
        <w:rPr>
          <w:rFonts w:ascii="Times New Roman" w:hAnsi="Times New Roman" w:cs="Times New Roman"/>
          <w:sz w:val="28"/>
        </w:rPr>
        <w:t>事故扩大时或事故抢救完毕，抢救人员撤离后由医疗</w:t>
      </w:r>
      <w:r>
        <w:rPr>
          <w:rFonts w:hint="eastAsia" w:ascii="Times New Roman" w:hAnsi="Times New Roman" w:cs="Times New Roman"/>
          <w:sz w:val="28"/>
          <w:lang w:eastAsia="zh-CN"/>
        </w:rPr>
        <w:t>救护</w:t>
      </w:r>
      <w:r>
        <w:rPr>
          <w:rFonts w:ascii="Times New Roman" w:hAnsi="Times New Roman" w:cs="Times New Roman"/>
          <w:sz w:val="28"/>
        </w:rPr>
        <w:t>组组长将抢救人员数量及受伤情况报告疏散组长。</w:t>
      </w:r>
    </w:p>
    <w:p>
      <w:pPr>
        <w:pStyle w:val="39"/>
        <w:widowControl w:val="0"/>
        <w:spacing w:before="0" w:beforeAutospacing="0" w:after="0" w:afterAutospacing="0" w:line="360" w:lineRule="auto"/>
        <w:ind w:firstLine="552" w:firstLineChars="200"/>
        <w:jc w:val="both"/>
        <w:rPr>
          <w:rFonts w:ascii="Times New Roman" w:hAnsi="Times New Roman" w:cs="Times New Roman"/>
          <w:sz w:val="28"/>
        </w:rPr>
      </w:pPr>
    </w:p>
    <w:p>
      <w:pPr>
        <w:pStyle w:val="3"/>
      </w:pPr>
      <w:bookmarkStart w:id="296" w:name="_Toc426812486"/>
      <w:bookmarkStart w:id="297" w:name="_Toc27598"/>
      <w:bookmarkStart w:id="298" w:name="_Toc1509"/>
      <w:bookmarkStart w:id="299" w:name="_Toc8771"/>
      <w:bookmarkStart w:id="300" w:name="_Toc30926"/>
      <w:r>
        <w:t>7.6应急联动</w:t>
      </w:r>
      <w:bookmarkEnd w:id="296"/>
      <w:bookmarkEnd w:id="297"/>
      <w:bookmarkEnd w:id="298"/>
      <w:bookmarkEnd w:id="299"/>
      <w:bookmarkEnd w:id="300"/>
    </w:p>
    <w:p>
      <w:pPr>
        <w:widowControl/>
        <w:spacing w:before="120" w:beforeLines="50" w:line="360" w:lineRule="auto"/>
        <w:ind w:firstLine="552" w:firstLineChars="200"/>
        <w:rPr>
          <w:szCs w:val="28"/>
        </w:rPr>
      </w:pPr>
      <w:r>
        <w:rPr>
          <w:szCs w:val="28"/>
        </w:rPr>
        <w:t>（1）与当地政府部门的应急联动</w:t>
      </w:r>
    </w:p>
    <w:p>
      <w:pPr>
        <w:widowControl/>
        <w:spacing w:before="120" w:beforeLines="50" w:line="360" w:lineRule="auto"/>
        <w:ind w:firstLine="552" w:firstLineChars="200"/>
        <w:rPr>
          <w:szCs w:val="28"/>
        </w:rPr>
      </w:pPr>
      <w:r>
        <w:rPr>
          <w:szCs w:val="28"/>
        </w:rPr>
        <w:t>发生二级或以上的突发环境事件时，本企业应立即通知</w:t>
      </w:r>
      <w:r>
        <w:rPr>
          <w:rFonts w:hint="eastAsia"/>
          <w:szCs w:val="28"/>
          <w:lang w:eastAsia="zh-CN"/>
        </w:rPr>
        <w:t>民众镇生态环境分局</w:t>
      </w:r>
      <w:r>
        <w:rPr>
          <w:szCs w:val="28"/>
        </w:rPr>
        <w:t>，报告相关情况，并按上级领导的批示作出应急处置和应对措施。</w:t>
      </w:r>
    </w:p>
    <w:p>
      <w:pPr>
        <w:widowControl/>
        <w:spacing w:before="120" w:beforeLines="50" w:line="360" w:lineRule="auto"/>
        <w:ind w:firstLine="552" w:firstLineChars="200"/>
        <w:rPr>
          <w:szCs w:val="28"/>
        </w:rPr>
      </w:pPr>
      <w:r>
        <w:rPr>
          <w:szCs w:val="28"/>
        </w:rPr>
        <w:t>企业或周边企业发生突发环境事件时，及时通知联络周边企业及当地政府，利用本企业及</w:t>
      </w:r>
      <w:r>
        <w:rPr>
          <w:rFonts w:hint="eastAsia"/>
          <w:szCs w:val="28"/>
          <w:lang w:eastAsia="zh-CN"/>
        </w:rPr>
        <w:t>中山市德马汽车零部件有限公司、广东省赢胜节能有限公司等</w:t>
      </w:r>
      <w:r>
        <w:rPr>
          <w:szCs w:val="28"/>
        </w:rPr>
        <w:t>周边企业的</w:t>
      </w:r>
      <w:r>
        <w:rPr>
          <w:rFonts w:hint="eastAsia"/>
          <w:szCs w:val="28"/>
          <w:lang w:eastAsia="zh-CN"/>
        </w:rPr>
        <w:t>应急消防设施等</w:t>
      </w:r>
      <w:r>
        <w:rPr>
          <w:szCs w:val="28"/>
        </w:rPr>
        <w:t>可利用物资、器材进行应急抢险。</w:t>
      </w:r>
    </w:p>
    <w:p>
      <w:pPr>
        <w:widowControl/>
        <w:spacing w:before="120" w:beforeLines="50" w:line="360" w:lineRule="auto"/>
        <w:ind w:firstLine="552" w:firstLineChars="200"/>
        <w:rPr>
          <w:szCs w:val="28"/>
        </w:rPr>
      </w:pPr>
      <w:r>
        <w:rPr>
          <w:szCs w:val="28"/>
        </w:rPr>
        <w:t>（2）与周边企业的应急联动</w:t>
      </w:r>
    </w:p>
    <w:p>
      <w:pPr>
        <w:widowControl/>
        <w:spacing w:before="120" w:beforeLines="50" w:line="360" w:lineRule="auto"/>
        <w:ind w:firstLine="552" w:firstLineChars="200"/>
        <w:rPr>
          <w:szCs w:val="28"/>
        </w:rPr>
      </w:pPr>
      <w:r>
        <w:rPr>
          <w:szCs w:val="28"/>
        </w:rPr>
        <w:t>与周边企业建立应急联动机制</w:t>
      </w:r>
      <w:r>
        <w:rPr>
          <w:rFonts w:hint="eastAsia"/>
          <w:szCs w:val="28"/>
        </w:rPr>
        <w:t>，</w:t>
      </w:r>
      <w:r>
        <w:rPr>
          <w:szCs w:val="28"/>
        </w:rPr>
        <w:t>当企业或周边企业发生突发环境事件时，及时通知联络周边企业，</w:t>
      </w:r>
      <w:r>
        <w:rPr>
          <w:rFonts w:hint="eastAsia"/>
          <w:szCs w:val="28"/>
        </w:rPr>
        <w:t>借助</w:t>
      </w:r>
      <w:r>
        <w:rPr>
          <w:szCs w:val="28"/>
        </w:rPr>
        <w:t>本企业及周边企业的可利用物资、器材进行应急抢险</w:t>
      </w:r>
      <w:r>
        <w:rPr>
          <w:rFonts w:hint="eastAsia"/>
          <w:szCs w:val="28"/>
        </w:rPr>
        <w:t>，将影响程度降至最低</w:t>
      </w:r>
      <w:r>
        <w:rPr>
          <w:szCs w:val="28"/>
        </w:rPr>
        <w:t>。</w:t>
      </w:r>
    </w:p>
    <w:p>
      <w:pPr>
        <w:widowControl/>
        <w:spacing w:before="120" w:beforeLines="50" w:line="360" w:lineRule="auto"/>
        <w:ind w:firstLine="552" w:firstLineChars="200"/>
        <w:rPr>
          <w:szCs w:val="28"/>
        </w:rPr>
      </w:pPr>
      <w:r>
        <w:rPr>
          <w:rFonts w:hint="eastAsia"/>
          <w:szCs w:val="28"/>
        </w:rPr>
        <w:t>（3）</w:t>
      </w:r>
      <w:r>
        <w:rPr>
          <w:szCs w:val="28"/>
        </w:rPr>
        <w:t>与周边企事业单位、村庄等敏感点的应急联动</w:t>
      </w:r>
    </w:p>
    <w:p>
      <w:pPr>
        <w:widowControl/>
        <w:spacing w:before="120" w:beforeLines="50" w:line="360" w:lineRule="auto"/>
        <w:ind w:firstLine="552" w:firstLineChars="200"/>
        <w:rPr>
          <w:szCs w:val="28"/>
        </w:rPr>
      </w:pPr>
      <w:r>
        <w:rPr>
          <w:szCs w:val="28"/>
        </w:rPr>
        <w:t>当发生消防火灾等事故、废气污染事故时，本企业应立即通知周边企事业单位、村庄等敏感点，保证周边敏感点的正常生产、生活。周边联系方式见附件。</w:t>
      </w:r>
    </w:p>
    <w:bookmarkEnd w:id="278"/>
    <w:bookmarkEnd w:id="279"/>
    <w:bookmarkEnd w:id="280"/>
    <w:bookmarkEnd w:id="281"/>
    <w:bookmarkEnd w:id="282"/>
    <w:p>
      <w:pPr>
        <w:pStyle w:val="3"/>
      </w:pPr>
      <w:bookmarkStart w:id="301" w:name="_Toc346756509"/>
      <w:bookmarkStart w:id="302" w:name="_Toc350"/>
      <w:bookmarkStart w:id="303" w:name="_Toc18732"/>
      <w:bookmarkStart w:id="304" w:name="_Toc21210"/>
      <w:bookmarkStart w:id="305" w:name="_Toc3794"/>
      <w:r>
        <w:t>7.7应急监测</w:t>
      </w:r>
      <w:bookmarkEnd w:id="301"/>
      <w:bookmarkEnd w:id="302"/>
      <w:bookmarkEnd w:id="303"/>
      <w:bookmarkEnd w:id="304"/>
      <w:bookmarkEnd w:id="305"/>
    </w:p>
    <w:p>
      <w:pPr>
        <w:pStyle w:val="163"/>
        <w:spacing w:before="120"/>
        <w:rPr>
          <w:szCs w:val="28"/>
        </w:rPr>
      </w:pPr>
      <w:r>
        <w:rPr>
          <w:szCs w:val="28"/>
        </w:rPr>
        <w:t>事故状态下的监测方案，包括监测泄漏、或其他装置的破裂情况，以及污染物的排放情况等。有关信息必须提供给应急人员，以确定选择合适的应急装备和个人防护设施。发生事故以后，</w:t>
      </w:r>
      <w:r>
        <w:rPr>
          <w:rFonts w:hint="eastAsia"/>
          <w:szCs w:val="28"/>
          <w:lang w:eastAsia="zh-CN"/>
        </w:rPr>
        <w:t>应急监测组</w:t>
      </w:r>
      <w:r>
        <w:rPr>
          <w:szCs w:val="28"/>
        </w:rPr>
        <w:t>组织技术人员及联系中山市环境监测站或第三方监测机构，采取相应的对策措施，现场由总指挥统一调配，密切配合</w:t>
      </w:r>
      <w:r>
        <w:rPr>
          <w:rFonts w:hint="eastAsia"/>
          <w:szCs w:val="28"/>
          <w:lang w:eastAsia="zh-CN"/>
        </w:rPr>
        <w:t>生态保护部门</w:t>
      </w:r>
      <w:r>
        <w:rPr>
          <w:szCs w:val="28"/>
        </w:rPr>
        <w:t>进行</w:t>
      </w:r>
      <w:r>
        <w:rPr>
          <w:rFonts w:hint="eastAsia"/>
          <w:szCs w:val="28"/>
          <w:lang w:eastAsia="zh-CN"/>
        </w:rPr>
        <w:t>应急工作</w:t>
      </w:r>
      <w:r>
        <w:rPr>
          <w:szCs w:val="28"/>
        </w:rPr>
        <w:t>，努力争取在事故发生的初期阶段控制住险情，如事故可能扩大，应立即上报政府部门，请求增援。重大环境危险事故发生，启动</w:t>
      </w:r>
      <w:r>
        <w:rPr>
          <w:rFonts w:hint="eastAsia"/>
          <w:szCs w:val="28"/>
          <w:lang w:eastAsia="zh-CN"/>
        </w:rPr>
        <w:t>一</w:t>
      </w:r>
      <w:r>
        <w:rPr>
          <w:szCs w:val="28"/>
        </w:rPr>
        <w:t>级响应程序时，在抢险应急的同时，需委托中山市环保部门监测人员</w:t>
      </w:r>
      <w:r>
        <w:rPr>
          <w:rFonts w:hint="eastAsia"/>
          <w:szCs w:val="28"/>
          <w:lang w:eastAsia="zh-CN"/>
        </w:rPr>
        <w:t>或第三监测机构人员</w:t>
      </w:r>
      <w:r>
        <w:rPr>
          <w:szCs w:val="28"/>
        </w:rPr>
        <w:t>对事故现场进行侦察检测。</w:t>
      </w:r>
      <w:r>
        <w:rPr>
          <w:rFonts w:hint="eastAsia"/>
          <w:szCs w:val="28"/>
          <w:lang w:eastAsia="zh-CN"/>
        </w:rPr>
        <w:t>应急监测组</w:t>
      </w:r>
      <w:r>
        <w:rPr>
          <w:szCs w:val="28"/>
        </w:rPr>
        <w:t>人员配合环保部门监测人员对周边水域、环境空气进行监测，掌握超标废水、废气扩散区域，附近水系分布及流向、风向等；对厂区周围环境空气进行取样化验，采取一切措施降低污染物浓度直至达到国家排放标准。</w:t>
      </w:r>
    </w:p>
    <w:p>
      <w:pPr>
        <w:pStyle w:val="163"/>
        <w:spacing w:before="120"/>
        <w:ind w:firstLine="552"/>
        <w:rPr>
          <w:rFonts w:hAnsi="Times New Roman"/>
          <w:spacing w:val="-2"/>
          <w:kern w:val="0"/>
          <w:szCs w:val="28"/>
        </w:rPr>
      </w:pPr>
      <w:r>
        <w:rPr>
          <w:rFonts w:hAnsi="Times New Roman"/>
          <w:spacing w:val="-2"/>
          <w:kern w:val="0"/>
          <w:szCs w:val="28"/>
        </w:rPr>
        <w:t>（1）水污染监测</w:t>
      </w:r>
    </w:p>
    <w:p>
      <w:pPr>
        <w:pStyle w:val="163"/>
        <w:spacing w:before="120"/>
        <w:ind w:firstLine="552"/>
        <w:rPr>
          <w:rFonts w:hint="eastAsia" w:hAnsi="Times New Roman" w:eastAsia="宋体"/>
          <w:spacing w:val="-2"/>
          <w:kern w:val="0"/>
          <w:szCs w:val="28"/>
          <w:lang w:eastAsia="zh-CN"/>
        </w:rPr>
      </w:pPr>
      <w:r>
        <w:rPr>
          <w:rFonts w:hAnsi="Times New Roman"/>
          <w:spacing w:val="-2"/>
          <w:kern w:val="0"/>
          <w:szCs w:val="28"/>
        </w:rPr>
        <w:t>监测点布设：厂区雨水排放口</w:t>
      </w:r>
      <w:r>
        <w:rPr>
          <w:rFonts w:hint="eastAsia" w:hAnsi="Times New Roman"/>
          <w:spacing w:val="-2"/>
          <w:kern w:val="0"/>
          <w:szCs w:val="28"/>
          <w:lang w:eastAsia="zh-CN"/>
        </w:rPr>
        <w:t>、沙仔沥涌断面等</w:t>
      </w:r>
    </w:p>
    <w:p>
      <w:pPr>
        <w:pStyle w:val="163"/>
        <w:spacing w:before="120"/>
        <w:ind w:firstLine="552"/>
        <w:rPr>
          <w:rFonts w:hAnsi="Times New Roman"/>
          <w:spacing w:val="-2"/>
          <w:kern w:val="0"/>
          <w:szCs w:val="28"/>
        </w:rPr>
      </w:pPr>
      <w:r>
        <w:rPr>
          <w:rFonts w:hAnsi="Times New Roman"/>
          <w:spacing w:val="-2"/>
          <w:kern w:val="0"/>
          <w:szCs w:val="28"/>
        </w:rPr>
        <w:t>监测项目：根据泄漏情况，监测泄漏物料浓度、pH值、CODcr、</w:t>
      </w:r>
      <w:r>
        <w:rPr>
          <w:rFonts w:hint="eastAsia" w:hAnsi="Times New Roman"/>
          <w:spacing w:val="-2"/>
          <w:kern w:val="0"/>
          <w:szCs w:val="28"/>
          <w:lang w:eastAsia="zh-CN"/>
        </w:rPr>
        <w:t>氨氮</w:t>
      </w:r>
      <w:r>
        <w:rPr>
          <w:rFonts w:hAnsi="Times New Roman"/>
          <w:spacing w:val="-2"/>
          <w:kern w:val="0"/>
          <w:szCs w:val="28"/>
        </w:rPr>
        <w:t>、SS</w:t>
      </w:r>
      <w:r>
        <w:rPr>
          <w:rFonts w:hint="eastAsia" w:hAnsi="Times New Roman"/>
          <w:spacing w:val="-2"/>
          <w:kern w:val="0"/>
          <w:szCs w:val="28"/>
        </w:rPr>
        <w:t>、</w:t>
      </w:r>
      <w:r>
        <w:rPr>
          <w:rFonts w:hint="eastAsia" w:hAnsi="Times New Roman"/>
          <w:spacing w:val="-2"/>
          <w:kern w:val="0"/>
          <w:szCs w:val="28"/>
          <w:lang w:eastAsia="zh-CN"/>
        </w:rPr>
        <w:t>总氮</w:t>
      </w:r>
      <w:r>
        <w:rPr>
          <w:rFonts w:hint="eastAsia" w:hAnsi="Times New Roman"/>
          <w:spacing w:val="-2"/>
          <w:kern w:val="0"/>
          <w:szCs w:val="28"/>
        </w:rPr>
        <w:t>、</w:t>
      </w:r>
      <w:r>
        <w:rPr>
          <w:rFonts w:hint="eastAsia" w:hAnsi="Times New Roman"/>
          <w:spacing w:val="-2"/>
          <w:kern w:val="0"/>
          <w:szCs w:val="28"/>
          <w:lang w:eastAsia="zh-CN"/>
        </w:rPr>
        <w:t>总磷、色度</w:t>
      </w:r>
      <w:r>
        <w:rPr>
          <w:rFonts w:hAnsi="Times New Roman"/>
          <w:spacing w:val="-2"/>
          <w:kern w:val="0"/>
          <w:szCs w:val="28"/>
        </w:rPr>
        <w:t>等。</w:t>
      </w:r>
    </w:p>
    <w:p>
      <w:pPr>
        <w:pStyle w:val="163"/>
        <w:spacing w:before="120"/>
        <w:ind w:firstLine="552"/>
        <w:rPr>
          <w:rFonts w:hAnsi="Times New Roman"/>
          <w:spacing w:val="-2"/>
          <w:kern w:val="0"/>
          <w:szCs w:val="28"/>
        </w:rPr>
      </w:pPr>
      <w:r>
        <w:rPr>
          <w:rFonts w:hAnsi="Times New Roman"/>
          <w:spacing w:val="-2"/>
          <w:kern w:val="0"/>
          <w:szCs w:val="28"/>
        </w:rPr>
        <w:t>监测频次：</w:t>
      </w:r>
      <w:r>
        <w:rPr>
          <w:rFonts w:hint="eastAsia" w:hAnsi="Times New Roman"/>
          <w:spacing w:val="-2"/>
          <w:kern w:val="0"/>
          <w:szCs w:val="28"/>
        </w:rPr>
        <w:t>根据实际情况及导则要求</w:t>
      </w:r>
      <w:r>
        <w:rPr>
          <w:rFonts w:hAnsi="Times New Roman"/>
          <w:spacing w:val="-2"/>
          <w:kern w:val="0"/>
          <w:szCs w:val="28"/>
        </w:rPr>
        <w:t>。</w:t>
      </w:r>
    </w:p>
    <w:p>
      <w:pPr>
        <w:pStyle w:val="163"/>
        <w:spacing w:before="120"/>
        <w:ind w:firstLine="552"/>
        <w:rPr>
          <w:rFonts w:hAnsi="Times New Roman"/>
          <w:spacing w:val="-2"/>
          <w:kern w:val="0"/>
          <w:szCs w:val="28"/>
        </w:rPr>
      </w:pPr>
      <w:r>
        <w:rPr>
          <w:rFonts w:hAnsi="Times New Roman"/>
          <w:spacing w:val="-2"/>
          <w:kern w:val="0"/>
          <w:szCs w:val="28"/>
        </w:rPr>
        <w:t>监测采样和分析方法：《环境监测技术规范》和《地表水和污水监测技术规范》。</w:t>
      </w:r>
    </w:p>
    <w:p>
      <w:pPr>
        <w:pStyle w:val="163"/>
        <w:spacing w:before="120"/>
        <w:ind w:firstLine="552"/>
        <w:rPr>
          <w:rFonts w:hAnsi="Times New Roman"/>
          <w:spacing w:val="-2"/>
          <w:kern w:val="0"/>
          <w:szCs w:val="28"/>
        </w:rPr>
      </w:pPr>
      <w:bookmarkStart w:id="306" w:name="_Toc250046187"/>
      <w:r>
        <w:rPr>
          <w:rFonts w:hAnsi="Times New Roman"/>
          <w:spacing w:val="-2"/>
          <w:kern w:val="0"/>
          <w:szCs w:val="28"/>
        </w:rPr>
        <w:t>（2）大气污染监测</w:t>
      </w:r>
      <w:bookmarkEnd w:id="306"/>
    </w:p>
    <w:p>
      <w:pPr>
        <w:pStyle w:val="163"/>
        <w:spacing w:before="120"/>
        <w:ind w:firstLine="552"/>
        <w:rPr>
          <w:rFonts w:hAnsi="Times New Roman"/>
          <w:spacing w:val="-2"/>
          <w:kern w:val="0"/>
          <w:szCs w:val="28"/>
        </w:rPr>
      </w:pPr>
      <w:r>
        <w:rPr>
          <w:rFonts w:hAnsi="Times New Roman"/>
          <w:spacing w:val="-2"/>
          <w:kern w:val="0"/>
          <w:szCs w:val="28"/>
        </w:rPr>
        <w:t>监测点布设：厂界、</w:t>
      </w:r>
      <w:r>
        <w:rPr>
          <w:rFonts w:hint="eastAsia" w:hAnsi="Times New Roman"/>
          <w:spacing w:val="-2"/>
          <w:kern w:val="0"/>
          <w:szCs w:val="28"/>
          <w:lang w:eastAsia="zh-CN"/>
        </w:rPr>
        <w:t>附近居民区</w:t>
      </w:r>
      <w:r>
        <w:rPr>
          <w:rFonts w:hAnsi="Times New Roman"/>
          <w:spacing w:val="-2"/>
          <w:kern w:val="0"/>
          <w:szCs w:val="28"/>
        </w:rPr>
        <w:t>等</w:t>
      </w:r>
      <w:r>
        <w:rPr>
          <w:rFonts w:hint="eastAsia" w:hAnsi="Times New Roman"/>
          <w:spacing w:val="-2"/>
          <w:kern w:val="0"/>
          <w:szCs w:val="28"/>
        </w:rPr>
        <w:t>敏感点</w:t>
      </w:r>
      <w:r>
        <w:rPr>
          <w:rFonts w:hAnsi="Times New Roman"/>
          <w:spacing w:val="-2"/>
          <w:kern w:val="0"/>
          <w:szCs w:val="28"/>
        </w:rPr>
        <w:t>。</w:t>
      </w:r>
    </w:p>
    <w:p>
      <w:pPr>
        <w:pStyle w:val="163"/>
        <w:spacing w:before="120"/>
        <w:ind w:firstLine="552"/>
        <w:rPr>
          <w:rFonts w:hAnsi="Times New Roman"/>
          <w:spacing w:val="-2"/>
          <w:kern w:val="0"/>
          <w:szCs w:val="28"/>
        </w:rPr>
      </w:pPr>
      <w:r>
        <w:rPr>
          <w:rFonts w:hAnsi="Times New Roman"/>
          <w:spacing w:val="-2"/>
          <w:kern w:val="0"/>
          <w:szCs w:val="28"/>
        </w:rPr>
        <w:t>监测项目：根据事故物料泄漏情况，监测</w:t>
      </w:r>
      <w:r>
        <w:rPr>
          <w:rFonts w:hint="eastAsia" w:hAnsi="Times New Roman"/>
          <w:spacing w:val="-2"/>
          <w:kern w:val="0"/>
          <w:szCs w:val="28"/>
          <w:lang w:eastAsia="zh-CN"/>
        </w:rPr>
        <w:t>甲烷、硫化氢、臭气浓度</w:t>
      </w:r>
      <w:r>
        <w:rPr>
          <w:rFonts w:hAnsi="Times New Roman"/>
          <w:spacing w:val="-2"/>
          <w:kern w:val="0"/>
          <w:szCs w:val="28"/>
        </w:rPr>
        <w:t>等，发生火灾事故时还应监测</w:t>
      </w:r>
      <w:r>
        <w:rPr>
          <w:rFonts w:hint="eastAsia" w:hAnsi="Times New Roman"/>
          <w:spacing w:val="-2"/>
          <w:kern w:val="0"/>
          <w:szCs w:val="28"/>
          <w:lang w:eastAsia="zh-CN"/>
        </w:rPr>
        <w:t>氮氧化物、</w:t>
      </w:r>
      <w:r>
        <w:rPr>
          <w:rFonts w:hAnsi="Times New Roman"/>
          <w:spacing w:val="-2"/>
          <w:kern w:val="0"/>
          <w:szCs w:val="28"/>
        </w:rPr>
        <w:t>SO2、烟尘、CO等。</w:t>
      </w:r>
    </w:p>
    <w:p>
      <w:pPr>
        <w:pStyle w:val="163"/>
        <w:spacing w:before="120"/>
        <w:ind w:firstLine="552"/>
        <w:rPr>
          <w:rFonts w:hAnsi="Times New Roman"/>
          <w:spacing w:val="-2"/>
          <w:kern w:val="0"/>
          <w:szCs w:val="28"/>
        </w:rPr>
      </w:pPr>
      <w:r>
        <w:rPr>
          <w:rFonts w:hAnsi="Times New Roman"/>
          <w:spacing w:val="-2"/>
          <w:kern w:val="0"/>
          <w:szCs w:val="28"/>
        </w:rPr>
        <w:t>监测频次：</w:t>
      </w:r>
      <w:r>
        <w:rPr>
          <w:rFonts w:hint="eastAsia" w:hAnsi="Times New Roman"/>
          <w:spacing w:val="-2"/>
          <w:kern w:val="0"/>
          <w:szCs w:val="28"/>
        </w:rPr>
        <w:t>根据实际情况及导则要求</w:t>
      </w:r>
      <w:r>
        <w:rPr>
          <w:rFonts w:hAnsi="Times New Roman"/>
          <w:spacing w:val="-2"/>
          <w:kern w:val="0"/>
          <w:szCs w:val="28"/>
        </w:rPr>
        <w:t>。</w:t>
      </w:r>
    </w:p>
    <w:p>
      <w:pPr>
        <w:pStyle w:val="163"/>
        <w:spacing w:before="120"/>
        <w:ind w:firstLine="552"/>
        <w:rPr>
          <w:rFonts w:hAnsi="Times New Roman"/>
          <w:spacing w:val="-2"/>
          <w:kern w:val="0"/>
          <w:szCs w:val="28"/>
        </w:rPr>
      </w:pPr>
      <w:r>
        <w:rPr>
          <w:rFonts w:hAnsi="Times New Roman"/>
          <w:spacing w:val="-2"/>
          <w:kern w:val="0"/>
          <w:szCs w:val="28"/>
        </w:rPr>
        <w:t>监测采样及分析方法：《环境监测技术规范》、《空气和废气监测分析方法》。</w:t>
      </w:r>
    </w:p>
    <w:p>
      <w:pPr>
        <w:pStyle w:val="163"/>
        <w:spacing w:before="120"/>
        <w:ind w:firstLine="552"/>
        <w:rPr>
          <w:rFonts w:hAnsi="Times New Roman"/>
          <w:spacing w:val="-2"/>
          <w:kern w:val="0"/>
          <w:szCs w:val="28"/>
        </w:rPr>
      </w:pPr>
    </w:p>
    <w:p>
      <w:pPr>
        <w:pStyle w:val="163"/>
        <w:spacing w:before="120"/>
        <w:ind w:firstLine="552"/>
        <w:rPr>
          <w:rFonts w:hAnsi="Times New Roman"/>
          <w:spacing w:val="-2"/>
          <w:kern w:val="0"/>
          <w:szCs w:val="28"/>
        </w:rPr>
      </w:pPr>
    </w:p>
    <w:p>
      <w:pPr>
        <w:pStyle w:val="3"/>
      </w:pPr>
      <w:bookmarkStart w:id="307" w:name="_Toc346756518"/>
      <w:bookmarkStart w:id="308" w:name="_Toc5116"/>
      <w:bookmarkStart w:id="309" w:name="_Toc15497"/>
      <w:bookmarkStart w:id="310" w:name="_Toc13557"/>
      <w:bookmarkStart w:id="311" w:name="_Toc27004"/>
      <w:r>
        <w:t>7.8应急终止</w:t>
      </w:r>
      <w:bookmarkEnd w:id="307"/>
      <w:bookmarkEnd w:id="308"/>
      <w:bookmarkEnd w:id="309"/>
      <w:bookmarkEnd w:id="310"/>
      <w:bookmarkEnd w:id="311"/>
    </w:p>
    <w:p>
      <w:pPr>
        <w:spacing w:line="360" w:lineRule="auto"/>
        <w:ind w:firstLine="19" w:firstLineChars="7"/>
        <w:rPr>
          <w:b/>
        </w:rPr>
      </w:pPr>
      <w:bookmarkStart w:id="312" w:name="_Toc354045347"/>
      <w:bookmarkStart w:id="313" w:name="_Toc353888817"/>
      <w:bookmarkStart w:id="314" w:name="_Toc353955111"/>
      <w:bookmarkStart w:id="315" w:name="_Toc346756519"/>
      <w:bookmarkStart w:id="316" w:name="_Toc353888269"/>
      <w:r>
        <w:rPr>
          <w:b/>
        </w:rPr>
        <w:t>7.8.1应急终止的条件</w:t>
      </w:r>
      <w:bookmarkEnd w:id="312"/>
      <w:bookmarkEnd w:id="313"/>
      <w:bookmarkEnd w:id="314"/>
      <w:bookmarkEnd w:id="315"/>
      <w:bookmarkEnd w:id="316"/>
    </w:p>
    <w:p>
      <w:pPr>
        <w:widowControl/>
        <w:spacing w:line="360" w:lineRule="auto"/>
        <w:ind w:firstLine="552" w:firstLineChars="200"/>
        <w:rPr>
          <w:szCs w:val="28"/>
        </w:rPr>
      </w:pPr>
      <w:r>
        <w:rPr>
          <w:szCs w:val="28"/>
        </w:rPr>
        <w:t>符合下列条件之一的，即满足应急终止条件： </w:t>
      </w:r>
    </w:p>
    <w:p>
      <w:pPr>
        <w:widowControl/>
        <w:spacing w:line="360" w:lineRule="auto"/>
        <w:ind w:firstLine="552" w:firstLineChars="200"/>
        <w:rPr>
          <w:szCs w:val="28"/>
        </w:rPr>
      </w:pPr>
      <w:r>
        <w:rPr>
          <w:szCs w:val="28"/>
        </w:rPr>
        <w:t>（1）事件现场得到控制，事件条件已经消除； </w:t>
      </w:r>
    </w:p>
    <w:p>
      <w:pPr>
        <w:widowControl/>
        <w:spacing w:line="360" w:lineRule="auto"/>
        <w:ind w:firstLine="552" w:firstLineChars="200"/>
        <w:rPr>
          <w:szCs w:val="28"/>
        </w:rPr>
      </w:pPr>
      <w:r>
        <w:rPr>
          <w:szCs w:val="28"/>
        </w:rPr>
        <w:t>（2）污染源的泄露或释放已降至规定限值以内，且事件造成的危害已经被消除，无继发可能。 </w:t>
      </w:r>
    </w:p>
    <w:p>
      <w:pPr>
        <w:widowControl/>
        <w:spacing w:line="360" w:lineRule="auto"/>
        <w:ind w:firstLine="552" w:firstLineChars="200"/>
        <w:rPr>
          <w:szCs w:val="28"/>
        </w:rPr>
      </w:pPr>
      <w:r>
        <w:rPr>
          <w:szCs w:val="28"/>
        </w:rPr>
        <w:t>（3）事件现场的各种专业应急处置行动已无继续的必要； </w:t>
      </w:r>
    </w:p>
    <w:p>
      <w:pPr>
        <w:widowControl/>
        <w:spacing w:line="360" w:lineRule="auto"/>
        <w:ind w:firstLine="552" w:firstLineChars="200"/>
        <w:rPr>
          <w:szCs w:val="28"/>
        </w:rPr>
      </w:pPr>
      <w:r>
        <w:rPr>
          <w:szCs w:val="28"/>
        </w:rPr>
        <w:t>（4）采取必要的防护措施以保护公众免受再次危害，并使事件可能引起的中长期影响趋于合理且尽量低的水平。</w:t>
      </w:r>
    </w:p>
    <w:p>
      <w:pPr>
        <w:spacing w:line="360" w:lineRule="auto"/>
        <w:ind w:firstLine="19" w:firstLineChars="7"/>
        <w:rPr>
          <w:b/>
        </w:rPr>
      </w:pPr>
      <w:bookmarkStart w:id="317" w:name="_Toc353955112"/>
      <w:bookmarkStart w:id="318" w:name="_Toc354045348"/>
      <w:bookmarkStart w:id="319" w:name="_Toc353888270"/>
      <w:bookmarkStart w:id="320" w:name="_Toc353888818"/>
      <w:bookmarkStart w:id="321" w:name="_Toc346756520"/>
      <w:r>
        <w:rPr>
          <w:b/>
        </w:rPr>
        <w:t>7.8.2应急终止的程序</w:t>
      </w:r>
      <w:bookmarkEnd w:id="317"/>
      <w:bookmarkEnd w:id="318"/>
      <w:bookmarkEnd w:id="319"/>
      <w:bookmarkEnd w:id="320"/>
      <w:bookmarkEnd w:id="321"/>
    </w:p>
    <w:p>
      <w:pPr>
        <w:widowControl/>
        <w:spacing w:line="360" w:lineRule="auto"/>
        <w:ind w:firstLine="552" w:firstLineChars="200"/>
        <w:rPr>
          <w:szCs w:val="28"/>
        </w:rPr>
      </w:pPr>
      <w:r>
        <w:rPr>
          <w:szCs w:val="28"/>
        </w:rPr>
        <w:t>（1）现场指挥部确认终止时机或由事件责任</w:t>
      </w:r>
      <w:r>
        <w:rPr>
          <w:rFonts w:hint="eastAsia"/>
          <w:szCs w:val="28"/>
          <w:lang w:eastAsia="zh-CN"/>
        </w:rPr>
        <w:t>部门</w:t>
      </w:r>
      <w:r>
        <w:rPr>
          <w:szCs w:val="28"/>
        </w:rPr>
        <w:t>提出，经现场指挥部批准； </w:t>
      </w:r>
    </w:p>
    <w:p>
      <w:pPr>
        <w:widowControl/>
        <w:spacing w:line="360" w:lineRule="auto"/>
        <w:ind w:firstLine="552" w:firstLineChars="200"/>
        <w:rPr>
          <w:szCs w:val="28"/>
        </w:rPr>
      </w:pPr>
      <w:r>
        <w:rPr>
          <w:szCs w:val="28"/>
        </w:rPr>
        <w:t>（2）指挥部向所属各专业应急救援队伍下达应急终止命令；</w:t>
      </w:r>
    </w:p>
    <w:p>
      <w:pPr>
        <w:widowControl/>
        <w:spacing w:line="360" w:lineRule="auto"/>
        <w:ind w:firstLine="552" w:firstLineChars="200"/>
        <w:rPr>
          <w:szCs w:val="28"/>
        </w:rPr>
      </w:pPr>
      <w:r>
        <w:rPr>
          <w:szCs w:val="28"/>
        </w:rPr>
        <w:t>（3）应急状态终止后，相关类别环境事件专业应急指挥部应根据政府有关指示和实际情况，继续进行环境监测和评价工作，直至其他补救措施无须继续进行为止。</w:t>
      </w:r>
    </w:p>
    <w:p>
      <w:pPr>
        <w:pStyle w:val="3"/>
      </w:pPr>
      <w:bookmarkStart w:id="322" w:name="_Toc346756521"/>
      <w:bookmarkStart w:id="323" w:name="_Toc10680"/>
      <w:bookmarkStart w:id="324" w:name="_Toc29947"/>
      <w:bookmarkStart w:id="325" w:name="_Toc11892"/>
      <w:bookmarkStart w:id="326" w:name="_Toc25361"/>
      <w:r>
        <w:t>7.9应急终止后的行动</w:t>
      </w:r>
      <w:bookmarkEnd w:id="322"/>
      <w:bookmarkEnd w:id="323"/>
      <w:bookmarkEnd w:id="324"/>
      <w:bookmarkEnd w:id="325"/>
      <w:bookmarkEnd w:id="326"/>
    </w:p>
    <w:p>
      <w:pPr>
        <w:widowControl/>
        <w:spacing w:line="360" w:lineRule="auto"/>
        <w:ind w:firstLine="552" w:firstLineChars="200"/>
        <w:rPr>
          <w:szCs w:val="28"/>
        </w:rPr>
      </w:pPr>
      <w:r>
        <w:rPr>
          <w:szCs w:val="28"/>
        </w:rPr>
        <w:t>（1）通知本公司各办公室、各车间以及附近周边企业、村庄和社区危险事故已经得到解除；</w:t>
      </w:r>
    </w:p>
    <w:p>
      <w:pPr>
        <w:widowControl/>
        <w:spacing w:line="360" w:lineRule="auto"/>
        <w:ind w:firstLine="552" w:firstLineChars="200"/>
        <w:rPr>
          <w:szCs w:val="28"/>
        </w:rPr>
      </w:pPr>
      <w:r>
        <w:rPr>
          <w:szCs w:val="28"/>
        </w:rPr>
        <w:t>（2）对现场中暴露的工作人员、应急行动人员和受污染设备进行清洁净化；</w:t>
      </w:r>
    </w:p>
    <w:p>
      <w:pPr>
        <w:widowControl/>
        <w:spacing w:line="360" w:lineRule="auto"/>
        <w:ind w:firstLine="552" w:firstLineChars="200"/>
        <w:rPr>
          <w:szCs w:val="28"/>
        </w:rPr>
      </w:pPr>
      <w:r>
        <w:rPr>
          <w:szCs w:val="28"/>
        </w:rPr>
        <w:t>（3）对于此次发生的环境事故，对起因，过程和结果向有关部门做详细报告；</w:t>
      </w:r>
    </w:p>
    <w:p>
      <w:pPr>
        <w:widowControl/>
        <w:spacing w:line="360" w:lineRule="auto"/>
        <w:ind w:firstLine="552" w:firstLineChars="200"/>
        <w:rPr>
          <w:szCs w:val="28"/>
        </w:rPr>
      </w:pPr>
      <w:r>
        <w:rPr>
          <w:szCs w:val="28"/>
        </w:rPr>
        <w:t>（4）全力配合</w:t>
      </w:r>
      <w:r>
        <w:rPr>
          <w:rFonts w:hint="eastAsia"/>
          <w:szCs w:val="28"/>
          <w:lang w:eastAsia="zh-CN"/>
        </w:rPr>
        <w:t>相关</w:t>
      </w:r>
      <w:r>
        <w:rPr>
          <w:szCs w:val="28"/>
        </w:rPr>
        <w:t>小组</w:t>
      </w:r>
      <w:r>
        <w:rPr>
          <w:rFonts w:hint="eastAsia"/>
          <w:szCs w:val="28"/>
          <w:lang w:eastAsia="zh-CN"/>
        </w:rPr>
        <w:t>事故善后工作</w:t>
      </w:r>
      <w:r>
        <w:rPr>
          <w:szCs w:val="28"/>
        </w:rPr>
        <w:t>，提供事故详细情况，相关情况的说明以及各监测数据等；</w:t>
      </w:r>
    </w:p>
    <w:p>
      <w:pPr>
        <w:widowControl/>
        <w:spacing w:line="360" w:lineRule="auto"/>
        <w:ind w:firstLine="552" w:firstLineChars="200"/>
        <w:rPr>
          <w:szCs w:val="28"/>
        </w:rPr>
      </w:pPr>
      <w:r>
        <w:rPr>
          <w:szCs w:val="28"/>
        </w:rPr>
        <w:t>（5）弄清事故发生的原因，调查事故造成的损失并明确各人承担的责任；</w:t>
      </w:r>
    </w:p>
    <w:p>
      <w:pPr>
        <w:widowControl/>
        <w:spacing w:line="360" w:lineRule="auto"/>
        <w:ind w:firstLine="552" w:firstLineChars="200"/>
        <w:rPr>
          <w:szCs w:val="28"/>
        </w:rPr>
      </w:pPr>
      <w:r>
        <w:rPr>
          <w:szCs w:val="28"/>
        </w:rPr>
        <w:t>（6）对整个环境应急过程评价；</w:t>
      </w:r>
    </w:p>
    <w:p>
      <w:pPr>
        <w:widowControl/>
        <w:spacing w:line="360" w:lineRule="auto"/>
        <w:ind w:firstLine="552" w:firstLineChars="200"/>
        <w:rPr>
          <w:szCs w:val="28"/>
        </w:rPr>
      </w:pPr>
      <w:r>
        <w:rPr>
          <w:szCs w:val="28"/>
        </w:rPr>
        <w:t>（7）对环境应急救援工作进行总结，并向</w:t>
      </w:r>
      <w:r>
        <w:rPr>
          <w:rFonts w:hint="eastAsia"/>
          <w:szCs w:val="28"/>
          <w:lang w:eastAsia="zh-CN"/>
        </w:rPr>
        <w:t>公司</w:t>
      </w:r>
      <w:r>
        <w:rPr>
          <w:szCs w:val="28"/>
        </w:rPr>
        <w:t>领导汇报；</w:t>
      </w:r>
    </w:p>
    <w:p>
      <w:pPr>
        <w:widowControl/>
        <w:spacing w:line="360" w:lineRule="auto"/>
        <w:ind w:firstLine="552" w:firstLineChars="200"/>
        <w:rPr>
          <w:rFonts w:hint="eastAsia" w:eastAsia="宋体"/>
          <w:szCs w:val="28"/>
          <w:lang w:eastAsia="zh-CN"/>
        </w:rPr>
      </w:pPr>
      <w:r>
        <w:rPr>
          <w:szCs w:val="28"/>
        </w:rPr>
        <w:t>（8）针对此次突发环境事件，总结经验教训，并对突发环境事件应急预案进行修订</w:t>
      </w:r>
      <w:r>
        <w:rPr>
          <w:rFonts w:hint="eastAsia"/>
          <w:szCs w:val="28"/>
          <w:lang w:eastAsia="zh-CN"/>
        </w:rPr>
        <w:t>。</w:t>
      </w:r>
    </w:p>
    <w:p>
      <w:pPr>
        <w:pStyle w:val="2"/>
        <w:spacing w:line="480" w:lineRule="exact"/>
        <w:rPr>
          <w:sz w:val="28"/>
        </w:rPr>
        <w:sectPr>
          <w:headerReference r:id="rId15" w:type="default"/>
          <w:footerReference r:id="rId16" w:type="default"/>
          <w:pgSz w:w="11906" w:h="16838"/>
          <w:pgMar w:top="1418" w:right="1418" w:bottom="1418" w:left="1418" w:header="851" w:footer="959" w:gutter="0"/>
          <w:pgBorders>
            <w:top w:val="none" w:sz="0" w:space="0"/>
            <w:left w:val="none" w:sz="0" w:space="0"/>
            <w:bottom w:val="none" w:sz="0" w:space="0"/>
            <w:right w:val="none" w:sz="0" w:space="0"/>
          </w:pgBorders>
          <w:pgNumType w:fmt="decimal"/>
          <w:cols w:space="720" w:num="1"/>
          <w:docGrid w:linePitch="312" w:charSpace="0"/>
        </w:sectPr>
      </w:pPr>
    </w:p>
    <w:p>
      <w:pPr>
        <w:pStyle w:val="2"/>
        <w:jc w:val="center"/>
      </w:pPr>
      <w:bookmarkStart w:id="327" w:name="_Toc962"/>
      <w:bookmarkStart w:id="328" w:name="_Toc31366"/>
      <w:bookmarkStart w:id="329" w:name="_Toc31730"/>
      <w:bookmarkStart w:id="330" w:name="_Toc3948"/>
      <w:r>
        <w:t>8 后期处置</w:t>
      </w:r>
      <w:bookmarkEnd w:id="327"/>
      <w:bookmarkEnd w:id="328"/>
      <w:bookmarkEnd w:id="329"/>
      <w:bookmarkEnd w:id="330"/>
    </w:p>
    <w:p>
      <w:pPr>
        <w:pStyle w:val="3"/>
      </w:pPr>
      <w:bookmarkStart w:id="331" w:name="_Toc1207"/>
      <w:bookmarkStart w:id="332" w:name="_Toc678"/>
      <w:bookmarkStart w:id="333" w:name="_Toc4795"/>
      <w:bookmarkStart w:id="334" w:name="_Toc24166"/>
      <w:r>
        <w:t>8.1善后处置</w:t>
      </w:r>
      <w:bookmarkEnd w:id="331"/>
      <w:bookmarkEnd w:id="332"/>
      <w:bookmarkEnd w:id="333"/>
      <w:bookmarkEnd w:id="334"/>
    </w:p>
    <w:p>
      <w:pPr>
        <w:pStyle w:val="17"/>
        <w:rPr>
          <w:rFonts w:ascii="Times New Roman" w:hAnsi="Times New Roman"/>
          <w:szCs w:val="28"/>
        </w:rPr>
      </w:pPr>
      <w:r>
        <w:rPr>
          <w:rFonts w:ascii="Times New Roman" w:hAnsi="Times New Roman"/>
          <w:szCs w:val="28"/>
        </w:rPr>
        <w:t>事故造成人员伤亡、环境污染、周边社区生产生活影响的，应积极主动与伤亡人员及其家属、受影响区域的人员进行沟通和协商，及时救助，在政府有关部门的协调下，依据国家有关规定进行赔偿。</w:t>
      </w:r>
    </w:p>
    <w:p>
      <w:pPr>
        <w:pStyle w:val="3"/>
      </w:pPr>
      <w:bookmarkStart w:id="335" w:name="_Toc362506696"/>
      <w:bookmarkStart w:id="336" w:name="_Toc408819401"/>
      <w:bookmarkStart w:id="337" w:name="_Toc381866714"/>
      <w:bookmarkStart w:id="338" w:name="_Toc30459"/>
      <w:bookmarkStart w:id="339" w:name="_Toc385509009"/>
      <w:bookmarkStart w:id="340" w:name="_Toc417651835"/>
      <w:bookmarkStart w:id="341" w:name="_Toc707"/>
      <w:bookmarkStart w:id="342" w:name="_Toc11188"/>
      <w:bookmarkStart w:id="343" w:name="_Toc7398"/>
      <w:r>
        <w:t>8.2 现场洗消</w:t>
      </w:r>
      <w:bookmarkEnd w:id="335"/>
      <w:bookmarkEnd w:id="336"/>
      <w:bookmarkEnd w:id="337"/>
      <w:bookmarkEnd w:id="338"/>
      <w:bookmarkEnd w:id="339"/>
      <w:bookmarkEnd w:id="340"/>
      <w:bookmarkEnd w:id="341"/>
      <w:bookmarkEnd w:id="342"/>
      <w:bookmarkEnd w:id="343"/>
    </w:p>
    <w:p>
      <w:pPr>
        <w:numPr>
          <w:ilvl w:val="0"/>
          <w:numId w:val="15"/>
        </w:numPr>
        <w:tabs>
          <w:tab w:val="left" w:pos="0"/>
        </w:tabs>
        <w:spacing w:before="120" w:beforeLines="50" w:line="360" w:lineRule="auto"/>
        <w:ind w:left="0" w:hanging="11"/>
      </w:pPr>
      <w:r>
        <w:t>现场洗消由</w:t>
      </w:r>
      <w:r>
        <w:rPr>
          <w:rFonts w:hint="eastAsia"/>
          <w:lang w:eastAsia="zh-CN"/>
        </w:rPr>
        <w:t>相关小组</w:t>
      </w:r>
      <w:r>
        <w:t>队员负责。</w:t>
      </w:r>
    </w:p>
    <w:p>
      <w:pPr>
        <w:numPr>
          <w:ilvl w:val="0"/>
          <w:numId w:val="15"/>
        </w:numPr>
        <w:tabs>
          <w:tab w:val="left" w:pos="0"/>
        </w:tabs>
        <w:spacing w:before="120" w:beforeLines="50" w:line="360" w:lineRule="auto"/>
        <w:ind w:left="0" w:firstLine="0"/>
      </w:pPr>
      <w:r>
        <w:t>现场洗消是为了防止接触事故现场的有关人员将有毒有害物质携带到外界，保障人员健康和避免环境污染。</w:t>
      </w:r>
    </w:p>
    <w:p>
      <w:pPr>
        <w:pStyle w:val="3"/>
      </w:pPr>
      <w:bookmarkStart w:id="344" w:name="_Toc24702"/>
      <w:bookmarkStart w:id="345" w:name="_Toc5560"/>
      <w:bookmarkStart w:id="346" w:name="_Toc7526"/>
      <w:bookmarkStart w:id="347" w:name="_Toc30404"/>
      <w:r>
        <w:t>8.3调查与评估</w:t>
      </w:r>
      <w:bookmarkEnd w:id="344"/>
      <w:bookmarkEnd w:id="345"/>
      <w:bookmarkEnd w:id="346"/>
      <w:bookmarkEnd w:id="347"/>
    </w:p>
    <w:p>
      <w:pPr>
        <w:pStyle w:val="17"/>
        <w:rPr>
          <w:rFonts w:ascii="Times New Roman" w:hAnsi="Times New Roman"/>
          <w:szCs w:val="28"/>
        </w:rPr>
      </w:pPr>
      <w:r>
        <w:rPr>
          <w:rFonts w:ascii="Times New Roman" w:hAnsi="Times New Roman"/>
          <w:szCs w:val="28"/>
        </w:rPr>
        <w:t>事故得到控制后，对事故现场及周边进行污染监测，确定现场有无污染物遗留。事故发生部门</w:t>
      </w:r>
      <w:r>
        <w:rPr>
          <w:rFonts w:hint="eastAsia" w:ascii="Times New Roman" w:hAnsi="Times New Roman"/>
          <w:szCs w:val="28"/>
          <w:lang w:eastAsia="zh-CN"/>
        </w:rPr>
        <w:t>及相关专业小组</w:t>
      </w:r>
      <w:r>
        <w:rPr>
          <w:rFonts w:ascii="Times New Roman" w:hAnsi="Times New Roman"/>
          <w:szCs w:val="28"/>
        </w:rPr>
        <w:t>组织工人处理、分类或处置所收集的废物、被污染的土壤或其他材料，并确保不在被影响的区域进行任何与泄漏材料性质不相容的废物处理贮存或处置活动。</w:t>
      </w:r>
    </w:p>
    <w:p>
      <w:pPr>
        <w:pStyle w:val="3"/>
      </w:pPr>
      <w:bookmarkStart w:id="348" w:name="_Toc4626"/>
      <w:bookmarkStart w:id="349" w:name="_Toc28123"/>
      <w:bookmarkStart w:id="350" w:name="_Toc28618"/>
      <w:bookmarkStart w:id="351" w:name="_Toc6029"/>
      <w:r>
        <w:t>8.4恢复重建</w:t>
      </w:r>
      <w:bookmarkEnd w:id="348"/>
      <w:bookmarkEnd w:id="349"/>
      <w:bookmarkEnd w:id="350"/>
      <w:bookmarkEnd w:id="351"/>
    </w:p>
    <w:p>
      <w:pPr>
        <w:pStyle w:val="17"/>
        <w:rPr>
          <w:rFonts w:ascii="Times New Roman" w:hAnsi="Times New Roman"/>
          <w:szCs w:val="28"/>
        </w:rPr>
      </w:pPr>
      <w:r>
        <w:rPr>
          <w:rFonts w:ascii="Times New Roman" w:hAnsi="Times New Roman"/>
          <w:szCs w:val="28"/>
        </w:rPr>
        <w:t>Ⅲ级响应后的生产恢复工作由事故发生部门主导完成，Ⅰ级和Ⅱ级响应后的事故现场清理工作由公司应急指挥</w:t>
      </w:r>
      <w:r>
        <w:rPr>
          <w:rFonts w:hint="eastAsia" w:ascii="Times New Roman" w:hAnsi="Times New Roman"/>
          <w:szCs w:val="28"/>
        </w:rPr>
        <w:t>领导</w:t>
      </w:r>
      <w:r>
        <w:rPr>
          <w:rFonts w:hint="eastAsia" w:ascii="Times New Roman" w:hAnsi="Times New Roman"/>
          <w:szCs w:val="28"/>
          <w:lang w:eastAsia="zh-CN"/>
        </w:rPr>
        <w:t>部</w:t>
      </w:r>
      <w:r>
        <w:rPr>
          <w:rFonts w:ascii="Times New Roman" w:hAnsi="Times New Roman"/>
          <w:szCs w:val="28"/>
        </w:rPr>
        <w:t>主导完成。主要完成以下工作，方可恢复生产。</w:t>
      </w:r>
    </w:p>
    <w:p>
      <w:pPr>
        <w:pStyle w:val="17"/>
        <w:rPr>
          <w:rFonts w:ascii="Times New Roman" w:hAnsi="Times New Roman"/>
          <w:szCs w:val="28"/>
        </w:rPr>
      </w:pPr>
      <w:r>
        <w:rPr>
          <w:rFonts w:ascii="Times New Roman" w:hAnsi="Times New Roman"/>
          <w:szCs w:val="28"/>
        </w:rPr>
        <w:t>①转移、处理、贮存或以合适方式处置废弃材料。</w:t>
      </w:r>
    </w:p>
    <w:p>
      <w:pPr>
        <w:pStyle w:val="17"/>
        <w:rPr>
          <w:rFonts w:ascii="Times New Roman" w:hAnsi="Times New Roman"/>
          <w:szCs w:val="28"/>
        </w:rPr>
      </w:pPr>
      <w:r>
        <w:rPr>
          <w:rFonts w:ascii="Times New Roman" w:hAnsi="Times New Roman"/>
          <w:szCs w:val="28"/>
        </w:rPr>
        <w:t>②应急设备设施器材的消除污染、维护、更新等工作，足以应对下次紧急状态。</w:t>
      </w:r>
    </w:p>
    <w:p>
      <w:pPr>
        <w:pStyle w:val="17"/>
        <w:rPr>
          <w:rFonts w:ascii="Times New Roman" w:hAnsi="Times New Roman"/>
          <w:szCs w:val="28"/>
        </w:rPr>
      </w:pPr>
      <w:r>
        <w:rPr>
          <w:rFonts w:ascii="Times New Roman" w:hAnsi="Times New Roman"/>
          <w:szCs w:val="28"/>
        </w:rPr>
        <w:t>③维修或更换有关生产设备。</w:t>
      </w:r>
    </w:p>
    <w:p>
      <w:pPr>
        <w:pStyle w:val="17"/>
        <w:rPr>
          <w:rFonts w:ascii="Times New Roman" w:hAnsi="Times New Roman"/>
          <w:szCs w:val="28"/>
        </w:rPr>
      </w:pPr>
      <w:r>
        <w:rPr>
          <w:rFonts w:ascii="Times New Roman" w:hAnsi="Times New Roman"/>
          <w:szCs w:val="28"/>
        </w:rPr>
        <w:t>④清理或修复污染场地。</w:t>
      </w:r>
    </w:p>
    <w:p>
      <w:pPr>
        <w:pStyle w:val="17"/>
        <w:rPr>
          <w:rFonts w:ascii="Times New Roman" w:hAnsi="Times New Roman"/>
          <w:szCs w:val="28"/>
        </w:rPr>
      </w:pPr>
    </w:p>
    <w:p>
      <w:pPr>
        <w:pStyle w:val="17"/>
        <w:rPr>
          <w:rFonts w:ascii="Times New Roman" w:hAnsi="Times New Roman"/>
          <w:szCs w:val="28"/>
        </w:rPr>
      </w:pPr>
    </w:p>
    <w:p>
      <w:pPr>
        <w:pStyle w:val="17"/>
        <w:rPr>
          <w:rFonts w:ascii="Times New Roman" w:hAnsi="Times New Roman"/>
          <w:szCs w:val="28"/>
        </w:rPr>
      </w:pPr>
    </w:p>
    <w:p>
      <w:pPr>
        <w:pStyle w:val="17"/>
        <w:rPr>
          <w:rFonts w:ascii="Times New Roman" w:hAnsi="Times New Roman"/>
          <w:szCs w:val="28"/>
        </w:rPr>
      </w:pPr>
    </w:p>
    <w:p>
      <w:pPr>
        <w:pStyle w:val="17"/>
        <w:rPr>
          <w:rFonts w:ascii="Times New Roman" w:hAnsi="Times New Roman"/>
          <w:szCs w:val="28"/>
        </w:rPr>
      </w:pPr>
    </w:p>
    <w:p>
      <w:pPr>
        <w:pStyle w:val="17"/>
        <w:rPr>
          <w:rFonts w:ascii="Times New Roman" w:hAnsi="Times New Roman"/>
          <w:szCs w:val="28"/>
        </w:rPr>
      </w:pPr>
    </w:p>
    <w:p>
      <w:pPr>
        <w:pStyle w:val="17"/>
        <w:rPr>
          <w:rFonts w:ascii="Times New Roman" w:hAnsi="Times New Roman"/>
          <w:szCs w:val="28"/>
        </w:rPr>
      </w:pPr>
    </w:p>
    <w:p>
      <w:pPr>
        <w:pStyle w:val="17"/>
        <w:rPr>
          <w:rFonts w:ascii="Times New Roman" w:hAnsi="Times New Roman"/>
          <w:szCs w:val="28"/>
        </w:rPr>
      </w:pPr>
    </w:p>
    <w:p>
      <w:pPr>
        <w:pStyle w:val="17"/>
        <w:rPr>
          <w:rFonts w:ascii="Times New Roman" w:hAnsi="Times New Roman"/>
          <w:szCs w:val="28"/>
        </w:rPr>
      </w:pPr>
    </w:p>
    <w:p>
      <w:pPr>
        <w:pStyle w:val="17"/>
        <w:rPr>
          <w:rFonts w:ascii="Times New Roman" w:hAnsi="Times New Roman"/>
          <w:szCs w:val="28"/>
        </w:rPr>
      </w:pPr>
    </w:p>
    <w:p>
      <w:pPr>
        <w:pStyle w:val="17"/>
        <w:rPr>
          <w:rFonts w:ascii="Times New Roman" w:hAnsi="Times New Roman"/>
          <w:szCs w:val="28"/>
        </w:rPr>
      </w:pPr>
    </w:p>
    <w:p>
      <w:pPr>
        <w:pStyle w:val="17"/>
        <w:rPr>
          <w:rFonts w:ascii="Times New Roman" w:hAnsi="Times New Roman"/>
          <w:szCs w:val="28"/>
        </w:rPr>
      </w:pPr>
    </w:p>
    <w:p>
      <w:pPr>
        <w:pStyle w:val="17"/>
        <w:rPr>
          <w:rFonts w:ascii="Times New Roman" w:hAnsi="Times New Roman"/>
          <w:szCs w:val="28"/>
        </w:rPr>
      </w:pPr>
    </w:p>
    <w:p>
      <w:pPr>
        <w:pStyle w:val="17"/>
        <w:rPr>
          <w:rFonts w:ascii="Times New Roman" w:hAnsi="Times New Roman"/>
          <w:szCs w:val="28"/>
        </w:rPr>
      </w:pPr>
    </w:p>
    <w:p>
      <w:pPr>
        <w:pStyle w:val="17"/>
        <w:rPr>
          <w:rFonts w:ascii="Times New Roman" w:hAnsi="Times New Roman"/>
          <w:szCs w:val="28"/>
        </w:rPr>
      </w:pPr>
    </w:p>
    <w:p>
      <w:pPr>
        <w:pStyle w:val="17"/>
        <w:rPr>
          <w:rFonts w:ascii="Times New Roman" w:hAnsi="Times New Roman"/>
          <w:szCs w:val="28"/>
        </w:rPr>
      </w:pPr>
    </w:p>
    <w:p>
      <w:pPr>
        <w:pStyle w:val="17"/>
        <w:rPr>
          <w:rFonts w:ascii="Times New Roman" w:hAnsi="Times New Roman"/>
          <w:szCs w:val="28"/>
        </w:rPr>
      </w:pPr>
    </w:p>
    <w:p>
      <w:pPr>
        <w:pStyle w:val="17"/>
        <w:rPr>
          <w:rFonts w:ascii="Times New Roman" w:hAnsi="Times New Roman"/>
          <w:szCs w:val="28"/>
        </w:rPr>
      </w:pPr>
    </w:p>
    <w:p>
      <w:pPr>
        <w:pStyle w:val="17"/>
        <w:rPr>
          <w:rFonts w:ascii="Times New Roman" w:hAnsi="Times New Roman"/>
          <w:szCs w:val="28"/>
        </w:rPr>
      </w:pPr>
    </w:p>
    <w:p>
      <w:pPr>
        <w:pStyle w:val="17"/>
        <w:rPr>
          <w:rFonts w:ascii="Times New Roman" w:hAnsi="Times New Roman"/>
          <w:szCs w:val="28"/>
        </w:rPr>
      </w:pPr>
    </w:p>
    <w:p>
      <w:pPr>
        <w:pStyle w:val="17"/>
        <w:rPr>
          <w:rFonts w:ascii="Times New Roman" w:hAnsi="Times New Roman"/>
          <w:szCs w:val="28"/>
        </w:rPr>
      </w:pPr>
    </w:p>
    <w:p>
      <w:pPr>
        <w:pStyle w:val="17"/>
        <w:rPr>
          <w:rFonts w:ascii="Times New Roman" w:hAnsi="Times New Roman"/>
          <w:szCs w:val="28"/>
        </w:rPr>
      </w:pPr>
    </w:p>
    <w:p>
      <w:pPr>
        <w:pStyle w:val="2"/>
        <w:jc w:val="center"/>
      </w:pPr>
      <w:bookmarkStart w:id="352" w:name="_Toc30385"/>
      <w:bookmarkStart w:id="353" w:name="_Toc27661"/>
      <w:bookmarkStart w:id="354" w:name="_Toc7493"/>
      <w:bookmarkStart w:id="355" w:name="_Toc16479"/>
      <w:r>
        <w:t>9应急救援保障</w:t>
      </w:r>
      <w:bookmarkEnd w:id="352"/>
      <w:bookmarkEnd w:id="353"/>
      <w:bookmarkEnd w:id="354"/>
      <w:bookmarkEnd w:id="355"/>
    </w:p>
    <w:p>
      <w:pPr>
        <w:pStyle w:val="3"/>
      </w:pPr>
      <w:bookmarkStart w:id="356" w:name="_Toc346756535"/>
      <w:bookmarkStart w:id="357" w:name="_Toc23882"/>
      <w:bookmarkStart w:id="358" w:name="_Toc17440"/>
      <w:bookmarkStart w:id="359" w:name="_Toc11418"/>
      <w:bookmarkStart w:id="360" w:name="_Toc11111"/>
      <w:r>
        <w:t>9.1经费及其他保障</w:t>
      </w:r>
      <w:bookmarkEnd w:id="356"/>
      <w:bookmarkEnd w:id="357"/>
      <w:bookmarkEnd w:id="358"/>
      <w:bookmarkEnd w:id="359"/>
      <w:bookmarkEnd w:id="360"/>
    </w:p>
    <w:p>
      <w:pPr>
        <w:widowControl/>
        <w:spacing w:line="360" w:lineRule="auto"/>
        <w:ind w:firstLine="552" w:firstLineChars="200"/>
        <w:rPr>
          <w:szCs w:val="28"/>
        </w:rPr>
      </w:pPr>
      <w:r>
        <w:rPr>
          <w:szCs w:val="28"/>
        </w:rPr>
        <w:t>应急专项经费由本公司设立的专用账户提供。该账户内资金限用于突发环境事件，不得以任何理由用作他用，从而保障应急状态时应急经费的及时到位。</w:t>
      </w:r>
    </w:p>
    <w:p>
      <w:pPr>
        <w:pStyle w:val="3"/>
      </w:pPr>
      <w:bookmarkStart w:id="361" w:name="_Toc2921"/>
      <w:bookmarkStart w:id="362" w:name="_Toc8163"/>
      <w:bookmarkStart w:id="363" w:name="_Toc5825"/>
      <w:bookmarkStart w:id="364" w:name="_Toc346756536"/>
      <w:bookmarkStart w:id="365" w:name="_Toc989"/>
      <w:r>
        <w:t>9.2应急物资装备保障</w:t>
      </w:r>
      <w:bookmarkEnd w:id="361"/>
      <w:bookmarkEnd w:id="362"/>
      <w:bookmarkEnd w:id="363"/>
      <w:bookmarkEnd w:id="364"/>
      <w:bookmarkEnd w:id="365"/>
    </w:p>
    <w:p>
      <w:pPr>
        <w:widowControl/>
        <w:spacing w:line="360" w:lineRule="auto"/>
        <w:ind w:firstLine="552" w:firstLineChars="200"/>
        <w:rPr>
          <w:szCs w:val="28"/>
        </w:rPr>
      </w:pPr>
      <w:r>
        <w:rPr>
          <w:szCs w:val="28"/>
        </w:rPr>
        <w:t>本公司在积极发挥现有检验、鉴定、监测力量的基础上，根据工作需要和职责要求，加强危险化学品检验、鉴定和监测设备建设。增加应急处置、快速机动和自身防护装备、物资的储备，不断提高应急监测，动态监控的能力，保证在发生环境事件时能有效防范对环境的污染和扩散。</w:t>
      </w:r>
    </w:p>
    <w:p>
      <w:pPr>
        <w:pStyle w:val="3"/>
      </w:pPr>
      <w:bookmarkStart w:id="366" w:name="_Toc29335"/>
      <w:bookmarkStart w:id="367" w:name="_Toc346756537"/>
      <w:bookmarkStart w:id="368" w:name="_Toc8644"/>
      <w:bookmarkStart w:id="369" w:name="_Toc10237"/>
      <w:bookmarkStart w:id="370" w:name="_Toc20233"/>
      <w:r>
        <w:t>9.3应急队伍保障</w:t>
      </w:r>
      <w:bookmarkEnd w:id="366"/>
      <w:bookmarkEnd w:id="367"/>
      <w:bookmarkEnd w:id="368"/>
      <w:bookmarkEnd w:id="369"/>
      <w:bookmarkEnd w:id="370"/>
    </w:p>
    <w:p>
      <w:pPr>
        <w:widowControl/>
        <w:spacing w:line="360" w:lineRule="auto"/>
        <w:ind w:firstLine="552" w:firstLineChars="200"/>
        <w:jc w:val="left"/>
        <w:rPr>
          <w:szCs w:val="28"/>
        </w:rPr>
      </w:pPr>
      <w:r>
        <w:rPr>
          <w:szCs w:val="28"/>
        </w:rPr>
        <w:t>（1）本公司组建应急救援小组和义务消防队，开展应急救援培训与训练及演练，不断提高应急救援能力；</w:t>
      </w:r>
    </w:p>
    <w:p>
      <w:pPr>
        <w:widowControl/>
        <w:spacing w:line="360" w:lineRule="auto"/>
        <w:ind w:firstLine="552" w:firstLineChars="200"/>
        <w:jc w:val="left"/>
        <w:rPr>
          <w:szCs w:val="28"/>
        </w:rPr>
      </w:pPr>
      <w:r>
        <w:rPr>
          <w:szCs w:val="28"/>
        </w:rPr>
        <w:t>（2）各相关部门负责人都需参加应急培训，参与接受过培训的救援行动。</w:t>
      </w:r>
    </w:p>
    <w:p>
      <w:pPr>
        <w:pStyle w:val="3"/>
      </w:pPr>
      <w:bookmarkStart w:id="371" w:name="_Toc16195"/>
      <w:bookmarkStart w:id="372" w:name="_Toc11907"/>
      <w:bookmarkStart w:id="373" w:name="_Toc21172"/>
      <w:bookmarkStart w:id="374" w:name="_Toc17513"/>
      <w:bookmarkStart w:id="375" w:name="_Toc346756538"/>
      <w:r>
        <w:t>9.4通讯与信息保障措施</w:t>
      </w:r>
      <w:bookmarkEnd w:id="371"/>
      <w:bookmarkEnd w:id="372"/>
      <w:bookmarkEnd w:id="373"/>
      <w:bookmarkEnd w:id="374"/>
      <w:bookmarkEnd w:id="375"/>
    </w:p>
    <w:p>
      <w:pPr>
        <w:widowControl/>
        <w:spacing w:line="360" w:lineRule="auto"/>
        <w:ind w:firstLine="552" w:firstLineChars="200"/>
        <w:rPr>
          <w:szCs w:val="28"/>
        </w:rPr>
      </w:pPr>
      <w:r>
        <w:rPr>
          <w:szCs w:val="28"/>
        </w:rPr>
        <w:t>（1）公司电信设施的配备</w:t>
      </w:r>
      <w:r>
        <w:rPr>
          <w:rFonts w:hint="eastAsia"/>
          <w:szCs w:val="28"/>
          <w:lang w:eastAsia="zh-CN"/>
        </w:rPr>
        <w:t>定期</w:t>
      </w:r>
      <w:r>
        <w:rPr>
          <w:szCs w:val="28"/>
        </w:rPr>
        <w:t>维护，保障通讯畅通，建立各部门负责人和主要应急人员通讯录，定期确认各联络电话，遇人员或通讯方式变更及时更新；</w:t>
      </w:r>
    </w:p>
    <w:p>
      <w:pPr>
        <w:widowControl/>
        <w:spacing w:line="360" w:lineRule="auto"/>
        <w:ind w:firstLine="552" w:firstLineChars="200"/>
        <w:rPr>
          <w:szCs w:val="28"/>
        </w:rPr>
      </w:pPr>
      <w:r>
        <w:rPr>
          <w:szCs w:val="28"/>
        </w:rPr>
        <w:t>（2）各岗位、人员负责维护配备使用的电话，确保完好；</w:t>
      </w:r>
    </w:p>
    <w:p>
      <w:pPr>
        <w:widowControl/>
        <w:spacing w:line="360" w:lineRule="auto"/>
        <w:ind w:firstLine="552" w:firstLineChars="200"/>
        <w:rPr>
          <w:szCs w:val="28"/>
        </w:rPr>
      </w:pPr>
      <w:r>
        <w:rPr>
          <w:szCs w:val="28"/>
        </w:rPr>
        <w:t>（3）各应急</w:t>
      </w:r>
      <w:r>
        <w:rPr>
          <w:rFonts w:hint="eastAsia"/>
          <w:szCs w:val="28"/>
          <w:lang w:eastAsia="zh-CN"/>
        </w:rPr>
        <w:t>小组</w:t>
      </w:r>
      <w:r>
        <w:rPr>
          <w:szCs w:val="28"/>
        </w:rPr>
        <w:t>主要应急负责人手机必须保持24小时开机，号码如有变更，应及时通知</w:t>
      </w:r>
      <w:r>
        <w:rPr>
          <w:rFonts w:hint="eastAsia"/>
          <w:szCs w:val="28"/>
          <w:lang w:eastAsia="zh-CN"/>
        </w:rPr>
        <w:t>安全部</w:t>
      </w:r>
      <w:r>
        <w:rPr>
          <w:szCs w:val="28"/>
        </w:rPr>
        <w:t>。</w:t>
      </w:r>
    </w:p>
    <w:p>
      <w:pPr>
        <w:pStyle w:val="3"/>
      </w:pPr>
      <w:bookmarkStart w:id="376" w:name="_Toc346756539"/>
      <w:bookmarkStart w:id="377" w:name="_Toc19232"/>
      <w:bookmarkStart w:id="378" w:name="_Toc16981"/>
      <w:bookmarkStart w:id="379" w:name="_Toc4"/>
      <w:bookmarkStart w:id="380" w:name="_Toc19698"/>
      <w:r>
        <w:t>9.5医疗急救保障</w:t>
      </w:r>
      <w:bookmarkEnd w:id="376"/>
      <w:bookmarkEnd w:id="377"/>
      <w:bookmarkEnd w:id="378"/>
      <w:bookmarkEnd w:id="379"/>
      <w:bookmarkEnd w:id="380"/>
    </w:p>
    <w:p>
      <w:pPr>
        <w:widowControl/>
        <w:spacing w:line="360" w:lineRule="auto"/>
        <w:ind w:firstLine="552" w:firstLineChars="200"/>
        <w:rPr>
          <w:szCs w:val="28"/>
        </w:rPr>
      </w:pPr>
      <w:r>
        <w:rPr>
          <w:szCs w:val="28"/>
        </w:rPr>
        <w:t>（1）</w:t>
      </w:r>
      <w:r>
        <w:rPr>
          <w:rFonts w:hint="eastAsia"/>
          <w:szCs w:val="28"/>
          <w:lang w:eastAsia="zh-CN"/>
        </w:rPr>
        <w:t>医疗救护组</w:t>
      </w:r>
      <w:r>
        <w:rPr>
          <w:szCs w:val="28"/>
        </w:rPr>
        <w:t>负责落实与地方医疗卫生、职业病防治部门的应急医疗救援协议的签订，落实急救药箱药品，急救器材的配备与更新。</w:t>
      </w:r>
    </w:p>
    <w:p>
      <w:pPr>
        <w:widowControl/>
        <w:spacing w:line="360" w:lineRule="auto"/>
        <w:ind w:firstLine="552" w:firstLineChars="200"/>
        <w:rPr>
          <w:szCs w:val="28"/>
        </w:rPr>
      </w:pPr>
      <w:r>
        <w:rPr>
          <w:szCs w:val="28"/>
        </w:rPr>
        <w:t>（2）落实组织现场应急人员与医疗急救人员定期的医疗急救知识与技术的培训。</w:t>
      </w:r>
    </w:p>
    <w:p>
      <w:pPr>
        <w:pStyle w:val="17"/>
        <w:rPr>
          <w:rFonts w:ascii="Times New Roman" w:hAnsi="Times New Roman"/>
        </w:rPr>
      </w:pPr>
    </w:p>
    <w:p>
      <w:pPr>
        <w:pStyle w:val="17"/>
        <w:rPr>
          <w:rFonts w:ascii="Times New Roman" w:hAnsi="Times New Roman"/>
        </w:rPr>
      </w:pPr>
    </w:p>
    <w:p>
      <w:pPr>
        <w:pStyle w:val="17"/>
        <w:rPr>
          <w:rFonts w:ascii="Times New Roman" w:hAnsi="Times New Roman"/>
        </w:rPr>
      </w:pPr>
    </w:p>
    <w:p>
      <w:pPr>
        <w:pStyle w:val="17"/>
        <w:rPr>
          <w:rFonts w:ascii="Times New Roman" w:hAnsi="Times New Roman"/>
        </w:rPr>
      </w:pPr>
    </w:p>
    <w:p>
      <w:pPr>
        <w:pStyle w:val="17"/>
        <w:rPr>
          <w:rFonts w:ascii="Times New Roman" w:hAnsi="Times New Roman"/>
        </w:rPr>
      </w:pPr>
    </w:p>
    <w:p>
      <w:pPr>
        <w:pStyle w:val="17"/>
        <w:rPr>
          <w:rFonts w:ascii="Times New Roman" w:hAnsi="Times New Roman"/>
        </w:rPr>
      </w:pPr>
    </w:p>
    <w:p>
      <w:pPr>
        <w:pStyle w:val="17"/>
        <w:rPr>
          <w:rFonts w:ascii="Times New Roman" w:hAnsi="Times New Roman"/>
        </w:rPr>
      </w:pPr>
    </w:p>
    <w:p>
      <w:pPr>
        <w:pStyle w:val="17"/>
        <w:rPr>
          <w:rFonts w:ascii="Times New Roman" w:hAnsi="Times New Roman"/>
        </w:rPr>
      </w:pPr>
    </w:p>
    <w:p>
      <w:pPr>
        <w:pStyle w:val="17"/>
        <w:rPr>
          <w:rFonts w:ascii="Times New Roman" w:hAnsi="Times New Roman"/>
        </w:rPr>
      </w:pPr>
    </w:p>
    <w:p>
      <w:pPr>
        <w:pStyle w:val="17"/>
        <w:rPr>
          <w:rFonts w:ascii="Times New Roman" w:hAnsi="Times New Roman"/>
        </w:rPr>
      </w:pPr>
    </w:p>
    <w:p>
      <w:pPr>
        <w:pStyle w:val="17"/>
        <w:rPr>
          <w:rFonts w:ascii="Times New Roman" w:hAnsi="Times New Roman"/>
        </w:rPr>
      </w:pPr>
    </w:p>
    <w:p>
      <w:pPr>
        <w:pStyle w:val="17"/>
        <w:rPr>
          <w:rFonts w:ascii="Times New Roman" w:hAnsi="Times New Roman"/>
        </w:rPr>
      </w:pPr>
    </w:p>
    <w:p>
      <w:pPr>
        <w:pStyle w:val="17"/>
        <w:rPr>
          <w:rFonts w:ascii="Times New Roman" w:hAnsi="Times New Roman"/>
        </w:rPr>
      </w:pPr>
    </w:p>
    <w:p>
      <w:pPr>
        <w:pStyle w:val="2"/>
        <w:jc w:val="center"/>
      </w:pPr>
      <w:bookmarkStart w:id="381" w:name="_Toc17499"/>
      <w:bookmarkStart w:id="382" w:name="_Toc11955"/>
      <w:bookmarkStart w:id="383" w:name="_Toc29507"/>
      <w:bookmarkStart w:id="384" w:name="_Toc19985"/>
      <w:r>
        <w:t>10监督管理</w:t>
      </w:r>
      <w:bookmarkEnd w:id="381"/>
      <w:bookmarkEnd w:id="382"/>
      <w:bookmarkEnd w:id="383"/>
      <w:bookmarkEnd w:id="384"/>
    </w:p>
    <w:p>
      <w:pPr>
        <w:pStyle w:val="3"/>
      </w:pPr>
      <w:bookmarkStart w:id="385" w:name="_Toc18715"/>
      <w:bookmarkStart w:id="386" w:name="_Toc346756526"/>
      <w:bookmarkStart w:id="387" w:name="_Toc29590"/>
      <w:bookmarkStart w:id="388" w:name="_Toc22980"/>
      <w:bookmarkStart w:id="389" w:name="_Toc7712"/>
      <w:r>
        <w:t>10.1培训</w:t>
      </w:r>
      <w:bookmarkEnd w:id="385"/>
      <w:bookmarkEnd w:id="386"/>
      <w:bookmarkEnd w:id="387"/>
      <w:bookmarkEnd w:id="388"/>
      <w:bookmarkEnd w:id="389"/>
    </w:p>
    <w:p>
      <w:pPr>
        <w:widowControl/>
        <w:spacing w:line="360" w:lineRule="auto"/>
        <w:ind w:firstLine="552" w:firstLineChars="200"/>
        <w:rPr>
          <w:szCs w:val="28"/>
        </w:rPr>
      </w:pPr>
      <w:r>
        <w:rPr>
          <w:szCs w:val="28"/>
        </w:rPr>
        <w:t>依据对本企业单位员工、周边工厂企业、人员情况的分析结果，明确培训如下内容：本公司事故应急救援和突发环境污染事故处理的人员培训分二个层次开展。</w:t>
      </w:r>
    </w:p>
    <w:p>
      <w:pPr>
        <w:widowControl/>
        <w:spacing w:line="360" w:lineRule="auto"/>
        <w:ind w:firstLine="552" w:firstLineChars="200"/>
        <w:rPr>
          <w:szCs w:val="28"/>
        </w:rPr>
      </w:pPr>
      <w:r>
        <w:rPr>
          <w:szCs w:val="28"/>
        </w:rPr>
        <w:t>1、车间班组级</w:t>
      </w:r>
    </w:p>
    <w:p>
      <w:pPr>
        <w:widowControl/>
        <w:spacing w:line="360" w:lineRule="auto"/>
        <w:ind w:firstLine="552" w:firstLineChars="200"/>
        <w:rPr>
          <w:szCs w:val="28"/>
        </w:rPr>
      </w:pPr>
      <w:r>
        <w:rPr>
          <w:szCs w:val="28"/>
        </w:rPr>
        <w:t>车间班组级是及时处理事故、紧急避险、自救互救的重要环节，同时也是事故及早发现、及时上报的关键，一般</w:t>
      </w:r>
      <w:r>
        <w:rPr>
          <w:rFonts w:hint="eastAsia"/>
          <w:szCs w:val="28"/>
          <w:lang w:eastAsia="zh-CN"/>
        </w:rPr>
        <w:t>突发环境</w:t>
      </w:r>
      <w:r>
        <w:rPr>
          <w:szCs w:val="28"/>
        </w:rPr>
        <w:t>事故在这一层次上能够及时处理而避免，对班组职工开展事故急救处理培训非常重要。每季开展一次，培训内容：</w:t>
      </w:r>
    </w:p>
    <w:p>
      <w:pPr>
        <w:widowControl/>
        <w:spacing w:line="360" w:lineRule="auto"/>
        <w:ind w:firstLine="552" w:firstLineChars="200"/>
        <w:rPr>
          <w:szCs w:val="28"/>
        </w:rPr>
      </w:pPr>
      <w:r>
        <w:rPr>
          <w:szCs w:val="28"/>
        </w:rPr>
        <w:t>（1）消防安全知识和技能的培训。</w:t>
      </w:r>
    </w:p>
    <w:p>
      <w:pPr>
        <w:widowControl/>
        <w:spacing w:line="360" w:lineRule="auto"/>
        <w:ind w:firstLine="552" w:firstLineChars="200"/>
        <w:rPr>
          <w:szCs w:val="28"/>
        </w:rPr>
      </w:pPr>
      <w:r>
        <w:rPr>
          <w:szCs w:val="28"/>
        </w:rPr>
        <w:t>（2）本公司生产系统运行情况。</w:t>
      </w:r>
    </w:p>
    <w:p>
      <w:pPr>
        <w:widowControl/>
        <w:spacing w:line="360" w:lineRule="auto"/>
        <w:ind w:firstLine="552" w:firstLineChars="200"/>
        <w:rPr>
          <w:szCs w:val="28"/>
        </w:rPr>
      </w:pPr>
      <w:r>
        <w:rPr>
          <w:szCs w:val="28"/>
        </w:rPr>
        <w:t>（3）本公司内应急抢救。</w:t>
      </w:r>
    </w:p>
    <w:p>
      <w:pPr>
        <w:widowControl/>
        <w:spacing w:line="360" w:lineRule="auto"/>
        <w:ind w:firstLine="552" w:firstLineChars="200"/>
        <w:rPr>
          <w:szCs w:val="28"/>
        </w:rPr>
      </w:pPr>
      <w:r>
        <w:rPr>
          <w:szCs w:val="28"/>
        </w:rPr>
        <w:t>（4）本公司内洗消。</w:t>
      </w:r>
    </w:p>
    <w:p>
      <w:pPr>
        <w:widowControl/>
        <w:spacing w:line="360" w:lineRule="auto"/>
        <w:ind w:firstLine="552" w:firstLineChars="200"/>
        <w:rPr>
          <w:szCs w:val="28"/>
        </w:rPr>
      </w:pPr>
      <w:r>
        <w:rPr>
          <w:szCs w:val="28"/>
        </w:rPr>
        <w:t>（5）防护指挥。</w:t>
      </w:r>
    </w:p>
    <w:p>
      <w:pPr>
        <w:widowControl/>
        <w:spacing w:line="360" w:lineRule="auto"/>
        <w:ind w:firstLine="552" w:firstLineChars="200"/>
        <w:rPr>
          <w:szCs w:val="28"/>
        </w:rPr>
      </w:pPr>
      <w:r>
        <w:rPr>
          <w:szCs w:val="28"/>
        </w:rPr>
        <w:t>（6）急救与医疗。</w:t>
      </w:r>
    </w:p>
    <w:p>
      <w:pPr>
        <w:widowControl/>
        <w:spacing w:line="360" w:lineRule="auto"/>
        <w:ind w:firstLine="552" w:firstLineChars="200"/>
        <w:rPr>
          <w:szCs w:val="28"/>
        </w:rPr>
      </w:pPr>
      <w:r>
        <w:rPr>
          <w:szCs w:val="28"/>
        </w:rPr>
        <w:t>（7）各种标志布设及由于危害区域的变化布设点的变更。</w:t>
      </w:r>
    </w:p>
    <w:p>
      <w:pPr>
        <w:widowControl/>
        <w:spacing w:line="360" w:lineRule="auto"/>
        <w:ind w:firstLine="552" w:firstLineChars="200"/>
        <w:rPr>
          <w:szCs w:val="28"/>
        </w:rPr>
      </w:pPr>
      <w:r>
        <w:rPr>
          <w:szCs w:val="28"/>
        </w:rPr>
        <w:t>2、厂级</w:t>
      </w:r>
    </w:p>
    <w:p>
      <w:pPr>
        <w:widowControl/>
        <w:spacing w:line="360" w:lineRule="auto"/>
        <w:ind w:firstLine="552" w:firstLineChars="200"/>
        <w:rPr>
          <w:szCs w:val="28"/>
        </w:rPr>
      </w:pPr>
      <w:r>
        <w:rPr>
          <w:szCs w:val="28"/>
        </w:rPr>
        <w:t>由</w:t>
      </w:r>
      <w:r>
        <w:rPr>
          <w:rFonts w:hint="eastAsia"/>
          <w:szCs w:val="28"/>
          <w:lang w:eastAsia="zh-CN"/>
        </w:rPr>
        <w:t>总经理</w:t>
      </w:r>
      <w:r>
        <w:rPr>
          <w:szCs w:val="28"/>
        </w:rPr>
        <w:t>及</w:t>
      </w:r>
      <w:r>
        <w:rPr>
          <w:rFonts w:hint="eastAsia"/>
          <w:szCs w:val="28"/>
          <w:lang w:eastAsia="zh-CN"/>
        </w:rPr>
        <w:t>应急专业小组</w:t>
      </w:r>
      <w:r>
        <w:rPr>
          <w:szCs w:val="28"/>
        </w:rPr>
        <w:t>队员组成，成员能够熟练使用现场装备、设施等对事故进行可靠控制。它是应急救援的指挥部与操作者之间的联系，同时也是事故得到及时可靠处理的关键。每年进行二次，培训内容：</w:t>
      </w:r>
    </w:p>
    <w:p>
      <w:pPr>
        <w:widowControl/>
        <w:spacing w:line="360" w:lineRule="auto"/>
        <w:ind w:firstLine="552" w:firstLineChars="200"/>
        <w:rPr>
          <w:szCs w:val="28"/>
        </w:rPr>
      </w:pPr>
      <w:r>
        <w:rPr>
          <w:szCs w:val="28"/>
        </w:rPr>
        <w:t>（1）包括班组级培训所有内容。</w:t>
      </w:r>
    </w:p>
    <w:p>
      <w:pPr>
        <w:widowControl/>
        <w:spacing w:line="360" w:lineRule="auto"/>
        <w:ind w:firstLine="552" w:firstLineChars="200"/>
        <w:rPr>
          <w:szCs w:val="28"/>
        </w:rPr>
      </w:pPr>
      <w:r>
        <w:rPr>
          <w:szCs w:val="28"/>
        </w:rPr>
        <w:t>（2）掌握应急救援预案，事故时按照预案有条不紊地组织应急救援。</w:t>
      </w:r>
    </w:p>
    <w:p>
      <w:pPr>
        <w:widowControl/>
        <w:spacing w:line="360" w:lineRule="auto"/>
        <w:ind w:firstLine="552" w:firstLineChars="200"/>
        <w:rPr>
          <w:szCs w:val="28"/>
        </w:rPr>
      </w:pPr>
      <w:r>
        <w:rPr>
          <w:szCs w:val="28"/>
        </w:rPr>
        <w:t>（3）针对车间生产实际情况，熟悉如何有效控制事故，避免事故失控和扩大化。</w:t>
      </w:r>
    </w:p>
    <w:p>
      <w:pPr>
        <w:widowControl/>
        <w:spacing w:line="360" w:lineRule="auto"/>
        <w:ind w:firstLine="552" w:firstLineChars="200"/>
        <w:rPr>
          <w:szCs w:val="28"/>
        </w:rPr>
      </w:pPr>
      <w:r>
        <w:rPr>
          <w:szCs w:val="28"/>
        </w:rPr>
        <w:t>（4）各部门依据应急救援的职责和分工开展工作。</w:t>
      </w:r>
    </w:p>
    <w:p>
      <w:pPr>
        <w:widowControl/>
        <w:spacing w:line="360" w:lineRule="auto"/>
        <w:ind w:firstLine="552" w:firstLineChars="200"/>
        <w:rPr>
          <w:szCs w:val="28"/>
        </w:rPr>
      </w:pPr>
      <w:r>
        <w:rPr>
          <w:szCs w:val="28"/>
        </w:rPr>
        <w:t>（5）组织应急物资的调运。</w:t>
      </w:r>
    </w:p>
    <w:p>
      <w:pPr>
        <w:widowControl/>
        <w:spacing w:line="360" w:lineRule="auto"/>
        <w:ind w:firstLine="552" w:firstLineChars="200"/>
        <w:rPr>
          <w:szCs w:val="28"/>
        </w:rPr>
      </w:pPr>
      <w:r>
        <w:rPr>
          <w:szCs w:val="28"/>
        </w:rPr>
        <w:t>（6）申请外部救援力量的报警方法，以及发布事故消息，组织周边</w:t>
      </w:r>
      <w:r>
        <w:rPr>
          <w:rFonts w:hint="eastAsia"/>
          <w:szCs w:val="28"/>
          <w:lang w:eastAsia="zh-CN"/>
        </w:rPr>
        <w:t>企业、居民</w:t>
      </w:r>
      <w:r>
        <w:rPr>
          <w:szCs w:val="28"/>
        </w:rPr>
        <w:t>、政府部门的疏散方法等；</w:t>
      </w:r>
    </w:p>
    <w:p>
      <w:pPr>
        <w:widowControl/>
        <w:spacing w:line="360" w:lineRule="auto"/>
        <w:ind w:firstLine="552" w:firstLineChars="200"/>
        <w:rPr>
          <w:szCs w:val="28"/>
        </w:rPr>
      </w:pPr>
      <w:r>
        <w:rPr>
          <w:szCs w:val="28"/>
        </w:rPr>
        <w:t>（7）事故现场的警戒和隔离，以及事故现场的洗消方法。</w:t>
      </w:r>
    </w:p>
    <w:p>
      <w:pPr>
        <w:widowControl/>
        <w:spacing w:line="360" w:lineRule="auto"/>
        <w:ind w:firstLine="552" w:firstLineChars="200"/>
        <w:rPr>
          <w:szCs w:val="28"/>
        </w:rPr>
      </w:pPr>
      <w:r>
        <w:rPr>
          <w:szCs w:val="28"/>
        </w:rPr>
        <w:t>3、应急培训要求</w:t>
      </w:r>
    </w:p>
    <w:p>
      <w:pPr>
        <w:widowControl/>
        <w:spacing w:line="360" w:lineRule="auto"/>
        <w:ind w:firstLine="552" w:firstLineChars="200"/>
        <w:rPr>
          <w:szCs w:val="28"/>
        </w:rPr>
      </w:pPr>
      <w:r>
        <w:rPr>
          <w:szCs w:val="28"/>
        </w:rPr>
        <w:t>（1）针对性：针对可能的事故及承担的应急职责不同人员予以不同的培训内容；</w:t>
      </w:r>
    </w:p>
    <w:p>
      <w:pPr>
        <w:widowControl/>
        <w:spacing w:line="360" w:lineRule="auto"/>
        <w:ind w:firstLine="552" w:firstLineChars="200"/>
        <w:rPr>
          <w:szCs w:val="28"/>
        </w:rPr>
      </w:pPr>
      <w:r>
        <w:rPr>
          <w:szCs w:val="28"/>
        </w:rPr>
        <w:t>（2）周期性：厂级的培训一般每年二次，部门与功能性的培训每季一次；</w:t>
      </w:r>
    </w:p>
    <w:p>
      <w:pPr>
        <w:widowControl/>
        <w:spacing w:line="360" w:lineRule="auto"/>
        <w:ind w:firstLine="552" w:firstLineChars="200"/>
        <w:rPr>
          <w:szCs w:val="28"/>
        </w:rPr>
      </w:pPr>
      <w:r>
        <w:rPr>
          <w:szCs w:val="28"/>
        </w:rPr>
        <w:t>（3）真实性：培训应贴近实际应急活动。</w:t>
      </w:r>
    </w:p>
    <w:p>
      <w:pPr>
        <w:pStyle w:val="3"/>
      </w:pPr>
      <w:bookmarkStart w:id="390" w:name="_Toc4390"/>
      <w:bookmarkStart w:id="391" w:name="_Toc16791"/>
      <w:bookmarkStart w:id="392" w:name="_Toc24530"/>
      <w:bookmarkStart w:id="393" w:name="_Toc32222"/>
      <w:r>
        <w:t>10.2应急预案演练</w:t>
      </w:r>
      <w:bookmarkEnd w:id="390"/>
      <w:bookmarkEnd w:id="391"/>
      <w:bookmarkEnd w:id="392"/>
      <w:bookmarkEnd w:id="393"/>
    </w:p>
    <w:p>
      <w:pPr>
        <w:spacing w:before="120" w:beforeLines="50" w:after="120" w:afterLines="50" w:line="480" w:lineRule="exact"/>
        <w:ind w:firstLine="19" w:firstLineChars="7"/>
        <w:rPr>
          <w:b/>
        </w:rPr>
      </w:pPr>
      <w:bookmarkStart w:id="394" w:name="_Toc346756528"/>
      <w:r>
        <w:rPr>
          <w:b/>
        </w:rPr>
        <w:t>10.2.1演练方式</w:t>
      </w:r>
      <w:bookmarkEnd w:id="394"/>
    </w:p>
    <w:p>
      <w:pPr>
        <w:spacing w:line="360" w:lineRule="auto"/>
        <w:ind w:firstLine="552" w:firstLineChars="200"/>
        <w:jc w:val="left"/>
        <w:rPr>
          <w:rFonts w:hint="eastAsia" w:eastAsia="宋体"/>
          <w:b/>
          <w:spacing w:val="0"/>
          <w:sz w:val="21"/>
          <w:szCs w:val="21"/>
          <w:lang w:eastAsia="zh-CN"/>
        </w:rPr>
      </w:pPr>
      <w:r>
        <w:rPr>
          <w:szCs w:val="28"/>
        </w:rPr>
        <w:t>演练分为桌面演练、功能演练、综合演练三种。</w:t>
      </w:r>
    </w:p>
    <w:p>
      <w:pPr>
        <w:spacing w:before="120" w:beforeLines="50" w:after="120" w:afterLines="50" w:line="480" w:lineRule="exact"/>
        <w:ind w:firstLine="19" w:firstLineChars="7"/>
        <w:rPr>
          <w:b/>
        </w:rPr>
      </w:pPr>
      <w:bookmarkStart w:id="395" w:name="_Toc346756529"/>
      <w:r>
        <w:rPr>
          <w:b/>
        </w:rPr>
        <w:t>10.2.2演练组织与级别</w:t>
      </w:r>
      <w:bookmarkEnd w:id="395"/>
    </w:p>
    <w:p>
      <w:pPr>
        <w:widowControl/>
        <w:spacing w:line="360" w:lineRule="auto"/>
        <w:ind w:firstLine="552" w:firstLineChars="200"/>
        <w:rPr>
          <w:szCs w:val="28"/>
        </w:rPr>
      </w:pPr>
      <w:r>
        <w:rPr>
          <w:szCs w:val="28"/>
        </w:rPr>
        <w:t>（1）应急演练分为部门、厂级演练和配合政府部门演练三级；</w:t>
      </w:r>
    </w:p>
    <w:p>
      <w:pPr>
        <w:widowControl/>
        <w:spacing w:line="360" w:lineRule="auto"/>
        <w:ind w:firstLine="552" w:firstLineChars="200"/>
        <w:rPr>
          <w:szCs w:val="28"/>
        </w:rPr>
      </w:pPr>
      <w:r>
        <w:rPr>
          <w:szCs w:val="28"/>
        </w:rPr>
        <w:t>（2）部门级的演练由部门负责人（现场指挥）组织进行，本公司安全、环保、技术及相关部门派员观摩指导；</w:t>
      </w:r>
    </w:p>
    <w:p>
      <w:pPr>
        <w:widowControl/>
        <w:spacing w:line="360" w:lineRule="auto"/>
        <w:ind w:firstLine="552" w:firstLineChars="200"/>
        <w:rPr>
          <w:szCs w:val="28"/>
        </w:rPr>
      </w:pPr>
      <w:r>
        <w:rPr>
          <w:szCs w:val="28"/>
        </w:rPr>
        <w:t>（3）厂级演练由本公司应急指挥</w:t>
      </w:r>
      <w:r>
        <w:rPr>
          <w:rFonts w:hint="eastAsia"/>
          <w:szCs w:val="28"/>
          <w:lang w:eastAsia="zh-CN"/>
        </w:rPr>
        <w:t>部</w:t>
      </w:r>
      <w:r>
        <w:rPr>
          <w:szCs w:val="28"/>
        </w:rPr>
        <w:t>组织进行，各相关部门参加；</w:t>
      </w:r>
    </w:p>
    <w:p>
      <w:pPr>
        <w:widowControl/>
        <w:spacing w:line="360" w:lineRule="auto"/>
        <w:ind w:firstLine="552" w:firstLineChars="200"/>
        <w:rPr>
          <w:szCs w:val="28"/>
        </w:rPr>
      </w:pPr>
      <w:r>
        <w:rPr>
          <w:szCs w:val="28"/>
        </w:rPr>
        <w:t>（4）与政府有关部门的联合演练，由政府有关部门组织进行，本公司应急领导小组成员参加，相关部门人员参加配合。</w:t>
      </w:r>
    </w:p>
    <w:p>
      <w:pPr>
        <w:spacing w:before="120" w:beforeLines="50" w:after="120" w:afterLines="50" w:line="480" w:lineRule="exact"/>
        <w:ind w:firstLine="19" w:firstLineChars="7"/>
        <w:rPr>
          <w:b/>
        </w:rPr>
      </w:pPr>
      <w:bookmarkStart w:id="396" w:name="_Toc346756530"/>
      <w:r>
        <w:rPr>
          <w:b/>
        </w:rPr>
        <w:t>10.2.3演练准备</w:t>
      </w:r>
      <w:bookmarkEnd w:id="396"/>
    </w:p>
    <w:p>
      <w:pPr>
        <w:widowControl/>
        <w:spacing w:line="360" w:lineRule="auto"/>
        <w:ind w:firstLine="552" w:firstLineChars="200"/>
        <w:jc w:val="left"/>
        <w:rPr>
          <w:szCs w:val="28"/>
        </w:rPr>
      </w:pPr>
      <w:r>
        <w:rPr>
          <w:szCs w:val="28"/>
        </w:rPr>
        <w:t>（1）演练应制订演练方案，按演练级别报应急指挥负责人审批；</w:t>
      </w:r>
    </w:p>
    <w:p>
      <w:pPr>
        <w:widowControl/>
        <w:spacing w:line="360" w:lineRule="auto"/>
        <w:ind w:firstLine="552" w:firstLineChars="200"/>
        <w:jc w:val="left"/>
        <w:rPr>
          <w:szCs w:val="28"/>
        </w:rPr>
      </w:pPr>
      <w:r>
        <w:rPr>
          <w:szCs w:val="28"/>
        </w:rPr>
        <w:t>（2）演练前应落实所需的各种器材装备与物资、交通车辆、防护器材的准备，以确保演练顺利进行；</w:t>
      </w:r>
    </w:p>
    <w:p>
      <w:pPr>
        <w:widowControl/>
        <w:spacing w:line="360" w:lineRule="auto"/>
        <w:ind w:firstLine="552" w:firstLineChars="200"/>
        <w:jc w:val="left"/>
        <w:rPr>
          <w:szCs w:val="28"/>
        </w:rPr>
      </w:pPr>
      <w:r>
        <w:rPr>
          <w:szCs w:val="28"/>
        </w:rPr>
        <w:t>（3）演练前应通知周边社区、企业人员，必要时与新闻媒体沟通，以避免造成不必要的影响。</w:t>
      </w:r>
    </w:p>
    <w:p>
      <w:pPr>
        <w:spacing w:before="120" w:beforeLines="50" w:after="120" w:afterLines="50" w:line="480" w:lineRule="exact"/>
        <w:ind w:firstLine="19" w:firstLineChars="7"/>
        <w:rPr>
          <w:b/>
        </w:rPr>
      </w:pPr>
      <w:bookmarkStart w:id="397" w:name="_Toc346756531"/>
      <w:r>
        <w:rPr>
          <w:b/>
        </w:rPr>
        <w:t>10.2.4演练频次与范围</w:t>
      </w:r>
      <w:bookmarkEnd w:id="397"/>
    </w:p>
    <w:p>
      <w:pPr>
        <w:widowControl/>
        <w:spacing w:line="360" w:lineRule="auto"/>
        <w:ind w:firstLine="552" w:firstLineChars="200"/>
        <w:rPr>
          <w:szCs w:val="28"/>
        </w:rPr>
      </w:pPr>
      <w:r>
        <w:rPr>
          <w:szCs w:val="28"/>
        </w:rPr>
        <w:t>（1）部门演练（或训练）以报警、报告程序、现场应急处置、紧急疏散等熟悉应急响应和某项应急功能的单项演练，演练频次每年4次以上；</w:t>
      </w:r>
    </w:p>
    <w:p>
      <w:pPr>
        <w:widowControl/>
        <w:spacing w:line="360" w:lineRule="auto"/>
        <w:ind w:firstLine="552" w:firstLineChars="200"/>
        <w:rPr>
          <w:szCs w:val="28"/>
        </w:rPr>
      </w:pPr>
      <w:r>
        <w:rPr>
          <w:szCs w:val="28"/>
        </w:rPr>
        <w:t>（2）厂级演练以多个应急小组之间或某些外部应急组织之间相互协调进行的演练与厂级预案全部或部分功能的综合演练，演练频次每年2次以上。</w:t>
      </w:r>
    </w:p>
    <w:p>
      <w:pPr>
        <w:widowControl/>
        <w:spacing w:line="360" w:lineRule="auto"/>
        <w:ind w:firstLine="552" w:firstLineChars="200"/>
        <w:rPr>
          <w:szCs w:val="28"/>
        </w:rPr>
      </w:pPr>
      <w:r>
        <w:rPr>
          <w:szCs w:val="28"/>
        </w:rPr>
        <w:t>（3）与政府有关部门的演练，视政府组织频次情况确定，亦可结合厂级组织的演练进行。</w:t>
      </w:r>
    </w:p>
    <w:p>
      <w:pPr>
        <w:spacing w:before="120" w:beforeLines="50" w:after="120" w:afterLines="50" w:line="480" w:lineRule="exact"/>
        <w:ind w:firstLine="19" w:firstLineChars="7"/>
        <w:rPr>
          <w:b/>
        </w:rPr>
      </w:pPr>
      <w:bookmarkStart w:id="398" w:name="_Toc346756532"/>
      <w:r>
        <w:rPr>
          <w:b/>
        </w:rPr>
        <w:t>10.2.5演练内容</w:t>
      </w:r>
      <w:bookmarkEnd w:id="398"/>
    </w:p>
    <w:p>
      <w:pPr>
        <w:widowControl/>
        <w:spacing w:line="360" w:lineRule="auto"/>
        <w:ind w:firstLine="552" w:firstLineChars="200"/>
        <w:rPr>
          <w:szCs w:val="28"/>
        </w:rPr>
      </w:pPr>
      <w:r>
        <w:rPr>
          <w:szCs w:val="28"/>
        </w:rPr>
        <w:t>（1）本公司内应急抢险。</w:t>
      </w:r>
    </w:p>
    <w:p>
      <w:pPr>
        <w:widowControl/>
        <w:spacing w:line="360" w:lineRule="auto"/>
        <w:ind w:firstLine="552" w:firstLineChars="200"/>
        <w:rPr>
          <w:szCs w:val="28"/>
        </w:rPr>
      </w:pPr>
      <w:r>
        <w:rPr>
          <w:szCs w:val="28"/>
        </w:rPr>
        <w:t>（2）急救与医疗。</w:t>
      </w:r>
    </w:p>
    <w:p>
      <w:pPr>
        <w:widowControl/>
        <w:spacing w:line="360" w:lineRule="auto"/>
        <w:ind w:firstLine="552" w:firstLineChars="200"/>
        <w:rPr>
          <w:szCs w:val="28"/>
        </w:rPr>
      </w:pPr>
      <w:r>
        <w:rPr>
          <w:szCs w:val="28"/>
        </w:rPr>
        <w:t>（3）本公司内洗消。</w:t>
      </w:r>
    </w:p>
    <w:p>
      <w:pPr>
        <w:widowControl/>
        <w:spacing w:line="360" w:lineRule="auto"/>
        <w:ind w:firstLine="552" w:firstLineChars="200"/>
        <w:rPr>
          <w:szCs w:val="28"/>
        </w:rPr>
      </w:pPr>
      <w:r>
        <w:rPr>
          <w:szCs w:val="28"/>
        </w:rPr>
        <w:t>（4）事故区清点人数及人员</w:t>
      </w:r>
      <w:r>
        <w:rPr>
          <w:rFonts w:hint="eastAsia"/>
          <w:szCs w:val="28"/>
          <w:lang w:eastAsia="zh-CN"/>
        </w:rPr>
        <w:t>疏散</w:t>
      </w:r>
      <w:r>
        <w:rPr>
          <w:szCs w:val="28"/>
        </w:rPr>
        <w:t>。</w:t>
      </w:r>
    </w:p>
    <w:p>
      <w:pPr>
        <w:widowControl/>
        <w:spacing w:line="360" w:lineRule="auto"/>
        <w:ind w:firstLine="552" w:firstLineChars="200"/>
        <w:rPr>
          <w:szCs w:val="28"/>
        </w:rPr>
      </w:pPr>
      <w:r>
        <w:rPr>
          <w:szCs w:val="28"/>
        </w:rPr>
        <w:t>（5）各种标志布设及由于危害区域的变化布设点的变更。</w:t>
      </w:r>
    </w:p>
    <w:p>
      <w:pPr>
        <w:widowControl/>
        <w:spacing w:line="360" w:lineRule="auto"/>
        <w:ind w:firstLine="552" w:firstLineChars="200"/>
        <w:rPr>
          <w:szCs w:val="28"/>
        </w:rPr>
      </w:pPr>
      <w:r>
        <w:rPr>
          <w:szCs w:val="28"/>
        </w:rPr>
        <w:t>（6）交通控制及交通道口的管制。</w:t>
      </w:r>
    </w:p>
    <w:p>
      <w:pPr>
        <w:widowControl/>
        <w:spacing w:line="360" w:lineRule="auto"/>
        <w:ind w:firstLine="552" w:firstLineChars="200"/>
        <w:rPr>
          <w:szCs w:val="28"/>
        </w:rPr>
      </w:pPr>
      <w:r>
        <w:rPr>
          <w:szCs w:val="28"/>
        </w:rPr>
        <w:t>（7）居民及无关人员的撤离以及有关撤离工作的演习。</w:t>
      </w:r>
    </w:p>
    <w:p>
      <w:pPr>
        <w:widowControl/>
        <w:spacing w:line="360" w:lineRule="auto"/>
        <w:ind w:firstLine="552" w:firstLineChars="200"/>
        <w:rPr>
          <w:szCs w:val="28"/>
        </w:rPr>
      </w:pPr>
      <w:r>
        <w:rPr>
          <w:szCs w:val="28"/>
        </w:rPr>
        <w:t>（8）向上级报告情况及向友邻单位通报情况。</w:t>
      </w:r>
    </w:p>
    <w:p>
      <w:pPr>
        <w:widowControl/>
        <w:spacing w:line="360" w:lineRule="auto"/>
        <w:ind w:firstLine="552" w:firstLineChars="200"/>
        <w:rPr>
          <w:szCs w:val="28"/>
        </w:rPr>
      </w:pPr>
      <w:r>
        <w:rPr>
          <w:szCs w:val="28"/>
        </w:rPr>
        <w:t>（9）事故进一步扩大所采取的措施。</w:t>
      </w:r>
    </w:p>
    <w:p>
      <w:pPr>
        <w:widowControl/>
        <w:spacing w:line="360" w:lineRule="auto"/>
        <w:ind w:firstLine="552" w:firstLineChars="200"/>
        <w:rPr>
          <w:szCs w:val="28"/>
        </w:rPr>
      </w:pPr>
      <w:r>
        <w:rPr>
          <w:szCs w:val="28"/>
        </w:rPr>
        <w:t>（10）事故的善后处理。</w:t>
      </w:r>
    </w:p>
    <w:p>
      <w:pPr>
        <w:widowControl/>
        <w:spacing w:line="360" w:lineRule="auto"/>
        <w:ind w:firstLine="552" w:firstLineChars="200"/>
        <w:rPr>
          <w:szCs w:val="28"/>
        </w:rPr>
      </w:pPr>
    </w:p>
    <w:p>
      <w:pPr>
        <w:widowControl/>
        <w:spacing w:line="360" w:lineRule="auto"/>
        <w:jc w:val="center"/>
        <w:rPr>
          <w:rFonts w:hint="eastAsia" w:eastAsia="宋体"/>
          <w:szCs w:val="28"/>
          <w:lang w:eastAsia="zh-CN"/>
        </w:rPr>
      </w:pPr>
      <w:r>
        <w:rPr>
          <w:rFonts w:hint="eastAsia" w:eastAsia="宋体"/>
          <w:szCs w:val="28"/>
          <w:lang w:eastAsia="zh-CN"/>
        </w:rPr>
        <w:drawing>
          <wp:inline distT="0" distB="0" distL="114300" distR="114300">
            <wp:extent cx="4149090" cy="3112135"/>
            <wp:effectExtent l="0" t="0" r="3810" b="12065"/>
            <wp:docPr id="4" name="图片 4" descr="69ea82ce204ff3bc758681522743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69ea82ce204ff3bc758681522743709"/>
                    <pic:cNvPicPr>
                      <a:picLocks noChangeAspect="1"/>
                    </pic:cNvPicPr>
                  </pic:nvPicPr>
                  <pic:blipFill>
                    <a:blip r:embed="rId33"/>
                    <a:stretch>
                      <a:fillRect/>
                    </a:stretch>
                  </pic:blipFill>
                  <pic:spPr>
                    <a:xfrm>
                      <a:off x="0" y="0"/>
                      <a:ext cx="4149090" cy="3112135"/>
                    </a:xfrm>
                    <a:prstGeom prst="rect">
                      <a:avLst/>
                    </a:prstGeom>
                  </pic:spPr>
                </pic:pic>
              </a:graphicData>
            </a:graphic>
          </wp:inline>
        </w:drawing>
      </w:r>
    </w:p>
    <w:p>
      <w:pPr>
        <w:widowControl/>
        <w:spacing w:line="360" w:lineRule="auto"/>
        <w:jc w:val="center"/>
        <w:rPr>
          <w:rFonts w:hint="eastAsia"/>
          <w:szCs w:val="28"/>
          <w:lang w:val="en-US" w:eastAsia="zh-CN"/>
        </w:rPr>
      </w:pPr>
      <w:r>
        <w:rPr>
          <w:rFonts w:hint="eastAsia"/>
          <w:szCs w:val="28"/>
          <w:lang w:val="en-US" w:eastAsia="zh-CN"/>
        </w:rPr>
        <w:t>图10-1  2018年应急演练</w:t>
      </w:r>
    </w:p>
    <w:p>
      <w:pPr>
        <w:widowControl/>
        <w:spacing w:line="360" w:lineRule="auto"/>
        <w:jc w:val="center"/>
        <w:rPr>
          <w:rFonts w:hint="eastAsia"/>
          <w:szCs w:val="28"/>
          <w:lang w:val="en-US" w:eastAsia="zh-CN"/>
        </w:rPr>
      </w:pPr>
      <w:r>
        <w:rPr>
          <w:rFonts w:hint="eastAsia"/>
          <w:szCs w:val="28"/>
          <w:lang w:val="en-US" w:eastAsia="zh-CN"/>
        </w:rPr>
        <w:drawing>
          <wp:inline distT="0" distB="0" distL="114300" distR="114300">
            <wp:extent cx="3657600" cy="4878070"/>
            <wp:effectExtent l="0" t="0" r="0" b="17780"/>
            <wp:docPr id="5" name="图片 5" descr="a413de026c056d36ff7e7d0a96f40b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a413de026c056d36ff7e7d0a96f40bb"/>
                    <pic:cNvPicPr>
                      <a:picLocks noChangeAspect="1"/>
                    </pic:cNvPicPr>
                  </pic:nvPicPr>
                  <pic:blipFill>
                    <a:blip r:embed="rId34"/>
                    <a:stretch>
                      <a:fillRect/>
                    </a:stretch>
                  </pic:blipFill>
                  <pic:spPr>
                    <a:xfrm>
                      <a:off x="0" y="0"/>
                      <a:ext cx="3657600" cy="4878070"/>
                    </a:xfrm>
                    <a:prstGeom prst="rect">
                      <a:avLst/>
                    </a:prstGeom>
                  </pic:spPr>
                </pic:pic>
              </a:graphicData>
            </a:graphic>
          </wp:inline>
        </w:drawing>
      </w:r>
    </w:p>
    <w:p>
      <w:pPr>
        <w:widowControl/>
        <w:spacing w:line="360" w:lineRule="auto"/>
        <w:jc w:val="center"/>
        <w:rPr>
          <w:rFonts w:hint="eastAsia"/>
          <w:szCs w:val="28"/>
          <w:lang w:val="en-US" w:eastAsia="zh-CN"/>
        </w:rPr>
      </w:pPr>
      <w:r>
        <w:rPr>
          <w:rFonts w:hint="eastAsia"/>
          <w:szCs w:val="28"/>
          <w:lang w:val="en-US" w:eastAsia="zh-CN"/>
        </w:rPr>
        <w:t>图10-1  事故废水收集输送应急演练</w:t>
      </w:r>
    </w:p>
    <w:p>
      <w:pPr>
        <w:pStyle w:val="3"/>
      </w:pPr>
      <w:bookmarkStart w:id="399" w:name="_Toc346756527"/>
      <w:bookmarkStart w:id="400" w:name="_Toc26484"/>
      <w:bookmarkStart w:id="401" w:name="_Toc32535"/>
      <w:bookmarkStart w:id="402" w:name="_Toc7287"/>
      <w:bookmarkStart w:id="403" w:name="_Toc20566"/>
      <w:r>
        <w:t>10.</w:t>
      </w:r>
      <w:bookmarkEnd w:id="399"/>
      <w:r>
        <w:t>3责任与</w:t>
      </w:r>
      <w:r>
        <w:rPr>
          <w:rFonts w:hint="eastAsia"/>
        </w:rPr>
        <w:t>奖</w:t>
      </w:r>
      <w:r>
        <w:t>惩</w:t>
      </w:r>
      <w:bookmarkEnd w:id="400"/>
      <w:bookmarkEnd w:id="401"/>
      <w:bookmarkEnd w:id="402"/>
      <w:bookmarkEnd w:id="403"/>
    </w:p>
    <w:p>
      <w:pPr>
        <w:widowControl/>
        <w:spacing w:line="360" w:lineRule="auto"/>
        <w:ind w:firstLine="552" w:firstLineChars="200"/>
        <w:rPr>
          <w:szCs w:val="28"/>
        </w:rPr>
      </w:pPr>
      <w:r>
        <w:rPr>
          <w:szCs w:val="28"/>
        </w:rPr>
        <w:t>奖励分为三种：通告表扬；记功奖励；晋升提级；对于在抢险救援中有功的，挽救受灾人员生命的或者挽救厂内重要物资免受损失的，酌情给予一定奖励。</w:t>
      </w:r>
    </w:p>
    <w:p>
      <w:pPr>
        <w:widowControl/>
        <w:spacing w:line="360" w:lineRule="auto"/>
        <w:ind w:firstLine="552" w:firstLineChars="200"/>
        <w:rPr>
          <w:szCs w:val="28"/>
        </w:rPr>
      </w:pPr>
      <w:r>
        <w:rPr>
          <w:szCs w:val="28"/>
        </w:rPr>
        <w:t>在突发环境事件应急救援工作中，有下列事迹之一的个人，应依据有关规定给予奖励：</w:t>
      </w:r>
    </w:p>
    <w:p>
      <w:pPr>
        <w:widowControl/>
        <w:spacing w:line="360" w:lineRule="auto"/>
        <w:ind w:firstLine="552" w:firstLineChars="200"/>
        <w:rPr>
          <w:szCs w:val="28"/>
        </w:rPr>
      </w:pPr>
      <w:r>
        <w:rPr>
          <w:szCs w:val="28"/>
        </w:rPr>
        <w:t>（1）出色完成突发环境事件应急处置任务，成绩显著的；</w:t>
      </w:r>
    </w:p>
    <w:p>
      <w:pPr>
        <w:widowControl/>
        <w:spacing w:line="360" w:lineRule="auto"/>
        <w:ind w:firstLine="552" w:firstLineChars="200"/>
        <w:rPr>
          <w:szCs w:val="28"/>
        </w:rPr>
      </w:pPr>
      <w:r>
        <w:rPr>
          <w:szCs w:val="28"/>
        </w:rPr>
        <w:t>（2）对防止或挽救突发环境事件有功，使集体和人民群众的生命财产免受或者减少损失的；</w:t>
      </w:r>
    </w:p>
    <w:p>
      <w:pPr>
        <w:widowControl/>
        <w:spacing w:line="360" w:lineRule="auto"/>
        <w:ind w:firstLine="552" w:firstLineChars="200"/>
        <w:rPr>
          <w:szCs w:val="28"/>
        </w:rPr>
      </w:pPr>
      <w:r>
        <w:rPr>
          <w:szCs w:val="28"/>
        </w:rPr>
        <w:t>（3）对事件应急准备与响应提出重大建议，实施效果显著的；</w:t>
      </w:r>
    </w:p>
    <w:p>
      <w:pPr>
        <w:widowControl/>
        <w:spacing w:line="360" w:lineRule="auto"/>
        <w:ind w:firstLine="552" w:firstLineChars="200"/>
        <w:rPr>
          <w:szCs w:val="28"/>
        </w:rPr>
      </w:pPr>
      <w:r>
        <w:rPr>
          <w:szCs w:val="28"/>
        </w:rPr>
        <w:t>（4）有其他特殊贡献的。</w:t>
      </w:r>
    </w:p>
    <w:p>
      <w:pPr>
        <w:widowControl/>
        <w:spacing w:line="360" w:lineRule="auto"/>
        <w:ind w:firstLine="552" w:firstLineChars="200"/>
        <w:rPr>
          <w:szCs w:val="28"/>
        </w:rPr>
      </w:pPr>
      <w:r>
        <w:rPr>
          <w:szCs w:val="28"/>
        </w:rPr>
        <w:t>在突发环境事件应急工作中，有下列行为之一的，按照有关法律和规定，对有关责任人员视情节和危害后果，由单位给予行政处分；构成犯罪的，由司法机关依法追究刑事责任：</w:t>
      </w:r>
    </w:p>
    <w:p>
      <w:pPr>
        <w:widowControl/>
        <w:spacing w:line="360" w:lineRule="auto"/>
        <w:ind w:firstLine="552" w:firstLineChars="200"/>
        <w:rPr>
          <w:szCs w:val="28"/>
        </w:rPr>
      </w:pPr>
      <w:r>
        <w:rPr>
          <w:szCs w:val="28"/>
        </w:rPr>
        <w:t>（1）不认真履行环保法律、法规，而引发环境事件的；</w:t>
      </w:r>
    </w:p>
    <w:p>
      <w:pPr>
        <w:widowControl/>
        <w:spacing w:line="360" w:lineRule="auto"/>
        <w:ind w:firstLine="552" w:firstLineChars="200"/>
        <w:rPr>
          <w:szCs w:val="28"/>
        </w:rPr>
      </w:pPr>
      <w:r>
        <w:rPr>
          <w:szCs w:val="28"/>
        </w:rPr>
        <w:t>（2）拒绝承担突发环境事件应急准备义务的；</w:t>
      </w:r>
    </w:p>
    <w:p>
      <w:pPr>
        <w:widowControl/>
        <w:spacing w:line="360" w:lineRule="auto"/>
        <w:ind w:firstLine="552" w:firstLineChars="200"/>
        <w:rPr>
          <w:szCs w:val="28"/>
        </w:rPr>
      </w:pPr>
      <w:r>
        <w:rPr>
          <w:szCs w:val="28"/>
        </w:rPr>
        <w:t>（3）不按规定报告、通报突发环境事件真实情况的；</w:t>
      </w:r>
    </w:p>
    <w:p>
      <w:pPr>
        <w:widowControl/>
        <w:spacing w:line="360" w:lineRule="auto"/>
        <w:ind w:firstLine="552" w:firstLineChars="200"/>
        <w:rPr>
          <w:szCs w:val="28"/>
        </w:rPr>
      </w:pPr>
      <w:r>
        <w:rPr>
          <w:szCs w:val="28"/>
        </w:rPr>
        <w:t>（4）拒不执行突发环境事件应急预案，不服从命令和指挥，或者在事件应急响应时临阵脱逃的；</w:t>
      </w:r>
    </w:p>
    <w:p>
      <w:pPr>
        <w:widowControl/>
        <w:spacing w:line="360" w:lineRule="auto"/>
        <w:ind w:firstLine="552" w:firstLineChars="200"/>
        <w:rPr>
          <w:szCs w:val="28"/>
        </w:rPr>
      </w:pPr>
      <w:r>
        <w:rPr>
          <w:szCs w:val="28"/>
        </w:rPr>
        <w:t>（5）盗窃、贪污、挪用环境事件应急工作资金、装备和物资的；</w:t>
      </w:r>
    </w:p>
    <w:p>
      <w:pPr>
        <w:widowControl/>
        <w:spacing w:line="360" w:lineRule="auto"/>
        <w:ind w:firstLine="552" w:firstLineChars="200"/>
        <w:rPr>
          <w:szCs w:val="28"/>
        </w:rPr>
      </w:pPr>
      <w:r>
        <w:rPr>
          <w:szCs w:val="28"/>
        </w:rPr>
        <w:t>（6）阻碍环境事件应急工作人员依法执行职务或者进行破坏活动的；</w:t>
      </w:r>
    </w:p>
    <w:p>
      <w:pPr>
        <w:widowControl/>
        <w:spacing w:line="360" w:lineRule="auto"/>
        <w:ind w:firstLine="552" w:firstLineChars="200"/>
        <w:rPr>
          <w:szCs w:val="28"/>
        </w:rPr>
      </w:pPr>
      <w:r>
        <w:rPr>
          <w:szCs w:val="28"/>
        </w:rPr>
        <w:t>（7）散布谣言，扰乱社会秩序的；</w:t>
      </w:r>
    </w:p>
    <w:p>
      <w:pPr>
        <w:widowControl/>
        <w:spacing w:line="360" w:lineRule="auto"/>
        <w:ind w:firstLine="552" w:firstLineChars="200"/>
        <w:rPr>
          <w:szCs w:val="28"/>
        </w:rPr>
      </w:pPr>
      <w:r>
        <w:rPr>
          <w:szCs w:val="28"/>
        </w:rPr>
        <w:t>（8）有其他对环境事件应急工作造成危害行为的。</w:t>
      </w:r>
    </w:p>
    <w:p>
      <w:pPr>
        <w:widowControl/>
        <w:spacing w:line="360" w:lineRule="auto"/>
        <w:ind w:firstLine="552" w:firstLineChars="200"/>
        <w:rPr>
          <w:szCs w:val="28"/>
        </w:rPr>
      </w:pPr>
    </w:p>
    <w:p>
      <w:pPr>
        <w:widowControl/>
        <w:spacing w:line="360" w:lineRule="auto"/>
        <w:ind w:firstLine="552" w:firstLineChars="200"/>
        <w:rPr>
          <w:szCs w:val="28"/>
        </w:rPr>
      </w:pPr>
    </w:p>
    <w:p>
      <w:pPr>
        <w:pStyle w:val="2"/>
        <w:jc w:val="center"/>
      </w:pPr>
      <w:bookmarkStart w:id="404" w:name="_Toc21793"/>
      <w:bookmarkStart w:id="405" w:name="_Toc21187"/>
      <w:bookmarkStart w:id="406" w:name="_Toc15515"/>
      <w:bookmarkStart w:id="407" w:name="_Toc8070"/>
      <w:r>
        <w:t>11 附则</w:t>
      </w:r>
      <w:bookmarkEnd w:id="404"/>
      <w:bookmarkEnd w:id="405"/>
      <w:bookmarkEnd w:id="406"/>
      <w:bookmarkEnd w:id="407"/>
    </w:p>
    <w:p>
      <w:pPr>
        <w:pStyle w:val="3"/>
      </w:pPr>
      <w:bookmarkStart w:id="408" w:name="_Toc27431"/>
      <w:bookmarkStart w:id="409" w:name="_Toc19588"/>
      <w:bookmarkStart w:id="410" w:name="_Toc3233"/>
      <w:bookmarkStart w:id="411" w:name="_Toc19233"/>
      <w:r>
        <w:t>11.1预案的评审、备案、发布和更新</w:t>
      </w:r>
      <w:bookmarkEnd w:id="408"/>
      <w:bookmarkEnd w:id="409"/>
      <w:bookmarkEnd w:id="410"/>
      <w:bookmarkEnd w:id="411"/>
    </w:p>
    <w:p>
      <w:pPr>
        <w:spacing w:before="120" w:beforeLines="50" w:after="120" w:afterLines="50" w:line="480" w:lineRule="exact"/>
        <w:ind w:firstLine="19" w:firstLineChars="7"/>
        <w:rPr>
          <w:b/>
        </w:rPr>
      </w:pPr>
      <w:bookmarkStart w:id="412" w:name="_Toc346756541"/>
      <w:r>
        <w:rPr>
          <w:b/>
        </w:rPr>
        <w:t>11.1.1预案评审</w:t>
      </w:r>
      <w:bookmarkEnd w:id="412"/>
    </w:p>
    <w:p>
      <w:pPr>
        <w:widowControl/>
        <w:spacing w:line="360" w:lineRule="auto"/>
        <w:ind w:firstLine="552" w:firstLineChars="200"/>
        <w:jc w:val="left"/>
        <w:rPr>
          <w:szCs w:val="28"/>
        </w:rPr>
      </w:pPr>
      <w:r>
        <w:rPr>
          <w:szCs w:val="28"/>
        </w:rPr>
        <w:t>应急预案评审由本公司的</w:t>
      </w:r>
      <w:r>
        <w:rPr>
          <w:rFonts w:hint="eastAsia"/>
          <w:szCs w:val="28"/>
          <w:lang w:eastAsia="zh-CN"/>
        </w:rPr>
        <w:t>安全</w:t>
      </w:r>
      <w:r>
        <w:rPr>
          <w:szCs w:val="28"/>
        </w:rPr>
        <w:t>部根据演练结果及其他信息，每年组织一次评审，以确保预案的持续适宜性，评审时间和评审方式视具体情况而定。</w:t>
      </w:r>
    </w:p>
    <w:p>
      <w:pPr>
        <w:spacing w:before="120" w:beforeLines="50" w:after="120" w:afterLines="50" w:line="480" w:lineRule="exact"/>
        <w:ind w:firstLine="19" w:firstLineChars="7"/>
        <w:rPr>
          <w:b/>
        </w:rPr>
      </w:pPr>
      <w:bookmarkStart w:id="413" w:name="_Toc346756542"/>
      <w:r>
        <w:rPr>
          <w:b/>
        </w:rPr>
        <w:t>11.1.2预案备案</w:t>
      </w:r>
      <w:bookmarkEnd w:id="413"/>
    </w:p>
    <w:p>
      <w:pPr>
        <w:widowControl/>
        <w:spacing w:line="360" w:lineRule="auto"/>
        <w:ind w:firstLine="552" w:firstLineChars="200"/>
        <w:jc w:val="left"/>
        <w:rPr>
          <w:szCs w:val="28"/>
        </w:rPr>
      </w:pPr>
      <w:r>
        <w:rPr>
          <w:szCs w:val="28"/>
        </w:rPr>
        <w:t>本公司应将最新版本应急预案报当地政府环境保护管理部门或应急管理部门备案。</w:t>
      </w:r>
    </w:p>
    <w:p>
      <w:pPr>
        <w:spacing w:before="120" w:beforeLines="50" w:after="120" w:afterLines="50" w:line="480" w:lineRule="exact"/>
        <w:ind w:firstLine="19" w:firstLineChars="7"/>
        <w:rPr>
          <w:b/>
        </w:rPr>
      </w:pPr>
      <w:bookmarkStart w:id="414" w:name="_Toc346756543"/>
      <w:r>
        <w:rPr>
          <w:b/>
        </w:rPr>
        <w:t>11.1.3预案发布与发放</w:t>
      </w:r>
      <w:bookmarkEnd w:id="414"/>
    </w:p>
    <w:p>
      <w:pPr>
        <w:widowControl/>
        <w:spacing w:line="360" w:lineRule="auto"/>
        <w:ind w:firstLine="552" w:firstLineChars="200"/>
        <w:jc w:val="left"/>
        <w:rPr>
          <w:szCs w:val="28"/>
        </w:rPr>
      </w:pPr>
      <w:r>
        <w:rPr>
          <w:szCs w:val="28"/>
        </w:rPr>
        <w:t>本公司应急预案经本公司的各部门联合评审后，由总经理签署发布。</w:t>
      </w:r>
    </w:p>
    <w:p>
      <w:pPr>
        <w:widowControl/>
        <w:spacing w:line="360" w:lineRule="auto"/>
        <w:ind w:firstLine="552" w:firstLineChars="200"/>
        <w:rPr>
          <w:szCs w:val="28"/>
        </w:rPr>
      </w:pPr>
      <w:r>
        <w:rPr>
          <w:rFonts w:hint="eastAsia"/>
          <w:szCs w:val="28"/>
          <w:lang w:eastAsia="zh-CN"/>
        </w:rPr>
        <w:t>安全</w:t>
      </w:r>
      <w:r>
        <w:rPr>
          <w:szCs w:val="28"/>
        </w:rPr>
        <w:t>部负责对应急预案的统一管理；</w:t>
      </w:r>
    </w:p>
    <w:p>
      <w:pPr>
        <w:widowControl/>
        <w:spacing w:line="360" w:lineRule="auto"/>
        <w:ind w:firstLine="552" w:firstLineChars="200"/>
        <w:rPr>
          <w:szCs w:val="28"/>
        </w:rPr>
      </w:pPr>
      <w:r>
        <w:rPr>
          <w:rFonts w:hint="eastAsia"/>
          <w:szCs w:val="28"/>
          <w:lang w:eastAsia="zh-CN"/>
        </w:rPr>
        <w:t>安全</w:t>
      </w:r>
      <w:r>
        <w:rPr>
          <w:szCs w:val="28"/>
        </w:rPr>
        <w:t>部负责预案的管理发放，发放应建立发放记录，并及时对已发放预案进行更新，确保各部门获得最新版本的应急预案；</w:t>
      </w:r>
    </w:p>
    <w:p>
      <w:pPr>
        <w:widowControl/>
        <w:spacing w:line="360" w:lineRule="auto"/>
        <w:ind w:firstLine="552" w:firstLineChars="200"/>
        <w:rPr>
          <w:rFonts w:hint="eastAsia" w:eastAsia="宋体"/>
          <w:szCs w:val="28"/>
          <w:lang w:eastAsia="zh-CN"/>
        </w:rPr>
      </w:pPr>
      <w:r>
        <w:rPr>
          <w:szCs w:val="28"/>
        </w:rPr>
        <w:t>应发放给应急指挥小组成员和各部门主要负责人、岗位</w:t>
      </w:r>
      <w:r>
        <w:rPr>
          <w:rFonts w:hint="eastAsia"/>
          <w:szCs w:val="28"/>
          <w:lang w:eastAsia="zh-CN"/>
        </w:rPr>
        <w:t>。</w:t>
      </w:r>
    </w:p>
    <w:p>
      <w:pPr>
        <w:spacing w:before="120" w:beforeLines="50" w:after="120" w:afterLines="50" w:line="480" w:lineRule="exact"/>
        <w:ind w:firstLine="19" w:firstLineChars="7"/>
        <w:rPr>
          <w:b/>
        </w:rPr>
      </w:pPr>
      <w:bookmarkStart w:id="415" w:name="_Toc346756544"/>
      <w:r>
        <w:rPr>
          <w:b/>
        </w:rPr>
        <w:t>11.1.4应急预案的修订</w:t>
      </w:r>
      <w:bookmarkEnd w:id="415"/>
    </w:p>
    <w:p>
      <w:pPr>
        <w:widowControl/>
        <w:spacing w:line="360" w:lineRule="auto"/>
        <w:ind w:firstLine="552" w:firstLineChars="200"/>
        <w:rPr>
          <w:szCs w:val="28"/>
        </w:rPr>
      </w:pPr>
      <w:r>
        <w:rPr>
          <w:szCs w:val="28"/>
        </w:rPr>
        <w:t>应急预案评审由本公司的</w:t>
      </w:r>
      <w:r>
        <w:rPr>
          <w:rFonts w:hint="eastAsia"/>
          <w:szCs w:val="28"/>
          <w:lang w:eastAsia="zh-CN"/>
        </w:rPr>
        <w:t>安全</w:t>
      </w:r>
      <w:r>
        <w:rPr>
          <w:szCs w:val="28"/>
        </w:rPr>
        <w:t>部根据演练结果及其他信息，每年组织一次评审，以确保预案的持续适宜性，评审时间和评审方式视具体情况而定。</w:t>
      </w:r>
    </w:p>
    <w:p>
      <w:pPr>
        <w:widowControl/>
        <w:spacing w:line="360" w:lineRule="auto"/>
        <w:ind w:firstLine="552" w:firstLineChars="200"/>
        <w:rPr>
          <w:szCs w:val="28"/>
        </w:rPr>
      </w:pPr>
      <w:r>
        <w:rPr>
          <w:szCs w:val="28"/>
        </w:rPr>
        <w:t>（1）在下列情况下，应对应急预案及时修订：</w:t>
      </w:r>
    </w:p>
    <w:p>
      <w:pPr>
        <w:widowControl/>
        <w:spacing w:line="360" w:lineRule="auto"/>
        <w:ind w:firstLine="552" w:firstLineChars="200"/>
        <w:rPr>
          <w:szCs w:val="28"/>
        </w:rPr>
      </w:pPr>
      <w:r>
        <w:rPr>
          <w:szCs w:val="28"/>
        </w:rPr>
        <w:t>危险源发生变化（包括危险源的种类、数量、位置）；</w:t>
      </w:r>
    </w:p>
    <w:p>
      <w:pPr>
        <w:widowControl/>
        <w:spacing w:line="360" w:lineRule="auto"/>
        <w:ind w:firstLine="552" w:firstLineChars="200"/>
        <w:rPr>
          <w:szCs w:val="28"/>
        </w:rPr>
      </w:pPr>
      <w:r>
        <w:rPr>
          <w:szCs w:val="28"/>
        </w:rPr>
        <w:t>应急机构或人员发生变化；</w:t>
      </w:r>
    </w:p>
    <w:p>
      <w:pPr>
        <w:widowControl/>
        <w:spacing w:line="360" w:lineRule="auto"/>
        <w:ind w:firstLine="552" w:firstLineChars="200"/>
        <w:rPr>
          <w:szCs w:val="28"/>
        </w:rPr>
      </w:pPr>
      <w:r>
        <w:rPr>
          <w:szCs w:val="28"/>
        </w:rPr>
        <w:t>应急装备、设施发生变化；</w:t>
      </w:r>
    </w:p>
    <w:p>
      <w:pPr>
        <w:widowControl/>
        <w:spacing w:line="360" w:lineRule="auto"/>
        <w:ind w:firstLine="552" w:firstLineChars="200"/>
        <w:rPr>
          <w:szCs w:val="28"/>
        </w:rPr>
      </w:pPr>
      <w:r>
        <w:rPr>
          <w:szCs w:val="28"/>
        </w:rPr>
        <w:t>应急演练评价中发生存在不符合项；</w:t>
      </w:r>
    </w:p>
    <w:p>
      <w:pPr>
        <w:widowControl/>
        <w:spacing w:line="360" w:lineRule="auto"/>
        <w:ind w:firstLine="552" w:firstLineChars="200"/>
        <w:rPr>
          <w:szCs w:val="28"/>
        </w:rPr>
      </w:pPr>
      <w:r>
        <w:rPr>
          <w:szCs w:val="28"/>
        </w:rPr>
        <w:t>法律、法规发生变化。</w:t>
      </w:r>
    </w:p>
    <w:p>
      <w:pPr>
        <w:widowControl/>
        <w:spacing w:line="360" w:lineRule="auto"/>
        <w:ind w:firstLine="552" w:firstLineChars="200"/>
        <w:rPr>
          <w:szCs w:val="28"/>
        </w:rPr>
      </w:pPr>
      <w:r>
        <w:rPr>
          <w:szCs w:val="28"/>
        </w:rPr>
        <w:t>（2）应急预案更改、修订程序</w:t>
      </w:r>
    </w:p>
    <w:p>
      <w:pPr>
        <w:widowControl/>
        <w:spacing w:line="360" w:lineRule="auto"/>
        <w:ind w:firstLine="552" w:firstLineChars="200"/>
        <w:rPr>
          <w:szCs w:val="28"/>
        </w:rPr>
      </w:pPr>
      <w:r>
        <w:rPr>
          <w:szCs w:val="28"/>
        </w:rPr>
        <w:t>应急预案的修订由安全管理部根据上述情况的变化和原因，向本公司领导提出申请，说明修改原因，经授权后组织修订，并将修改后的文件传递给相关部门。</w:t>
      </w:r>
    </w:p>
    <w:p>
      <w:pPr>
        <w:widowControl/>
        <w:spacing w:line="360" w:lineRule="auto"/>
        <w:ind w:firstLine="552" w:firstLineChars="200"/>
        <w:rPr>
          <w:szCs w:val="28"/>
        </w:rPr>
      </w:pPr>
      <w:r>
        <w:rPr>
          <w:szCs w:val="28"/>
        </w:rPr>
        <w:t>（3）预案修订应建立修改记录（包括修改日期、页码、内容、修改人）。</w:t>
      </w:r>
    </w:p>
    <w:p>
      <w:pPr>
        <w:spacing w:before="120" w:beforeLines="50" w:after="120" w:afterLines="50" w:line="480" w:lineRule="exact"/>
        <w:ind w:firstLine="19" w:firstLineChars="7"/>
        <w:rPr>
          <w:b/>
        </w:rPr>
      </w:pPr>
      <w:r>
        <w:rPr>
          <w:b/>
        </w:rPr>
        <w:t>11.1.5预案的实施和生效时间</w:t>
      </w:r>
    </w:p>
    <w:p>
      <w:pPr>
        <w:widowControl/>
        <w:spacing w:line="360" w:lineRule="auto"/>
        <w:ind w:firstLine="552" w:firstLineChars="200"/>
        <w:rPr>
          <w:szCs w:val="28"/>
        </w:rPr>
      </w:pPr>
      <w:r>
        <w:rPr>
          <w:szCs w:val="28"/>
        </w:rPr>
        <w:t>本预案经指挥部组织发布之日起生效。并将本预案下发至所有有关人员。</w:t>
      </w:r>
    </w:p>
    <w:p>
      <w:pPr>
        <w:pStyle w:val="3"/>
      </w:pPr>
      <w:bookmarkStart w:id="416" w:name="_Toc32755"/>
      <w:bookmarkStart w:id="417" w:name="_Toc31394"/>
      <w:bookmarkStart w:id="418" w:name="_Toc26384"/>
      <w:bookmarkStart w:id="419" w:name="_Toc30202"/>
      <w:r>
        <w:t>11.2术语与定义</w:t>
      </w:r>
      <w:bookmarkEnd w:id="416"/>
      <w:bookmarkEnd w:id="417"/>
      <w:bookmarkEnd w:id="418"/>
      <w:bookmarkEnd w:id="419"/>
    </w:p>
    <w:p>
      <w:pPr>
        <w:spacing w:before="120" w:beforeLines="50" w:after="120" w:afterLines="50" w:line="480" w:lineRule="exact"/>
        <w:ind w:firstLine="19" w:firstLineChars="7"/>
        <w:rPr>
          <w:b/>
        </w:rPr>
      </w:pPr>
      <w:r>
        <w:rPr>
          <w:b/>
        </w:rPr>
        <w:t>11.2.1环境保护目标</w:t>
      </w:r>
    </w:p>
    <w:p>
      <w:pPr>
        <w:pStyle w:val="17"/>
        <w:rPr>
          <w:rFonts w:ascii="Times New Roman" w:hAnsi="Times New Roman"/>
        </w:rPr>
      </w:pPr>
      <w:r>
        <w:rPr>
          <w:rFonts w:ascii="Times New Roman" w:hAnsi="Times New Roman"/>
        </w:rPr>
        <w:t>在突发环境污染事件中，急需保护的环境敏感区域中可能受到影响的对象。</w:t>
      </w:r>
    </w:p>
    <w:p>
      <w:pPr>
        <w:spacing w:before="120" w:beforeLines="50" w:after="120" w:afterLines="50" w:line="480" w:lineRule="exact"/>
        <w:ind w:firstLine="19" w:firstLineChars="7"/>
        <w:rPr>
          <w:b/>
        </w:rPr>
      </w:pPr>
      <w:r>
        <w:rPr>
          <w:b/>
        </w:rPr>
        <w:t>11.2.2环境敏感区</w:t>
      </w:r>
    </w:p>
    <w:p>
      <w:pPr>
        <w:pStyle w:val="17"/>
        <w:rPr>
          <w:rFonts w:ascii="Times New Roman" w:hAnsi="Times New Roman"/>
        </w:rPr>
      </w:pPr>
      <w:r>
        <w:rPr>
          <w:rFonts w:ascii="Times New Roman" w:hAnsi="Times New Roman"/>
        </w:rPr>
        <w:t xml:space="preserve">根据《建设公司环境保护分类管理名录》规定，指具有下列特征的区域： </w:t>
      </w:r>
    </w:p>
    <w:p>
      <w:pPr>
        <w:pStyle w:val="17"/>
        <w:rPr>
          <w:rFonts w:ascii="Times New Roman" w:hAnsi="Times New Roman"/>
        </w:rPr>
      </w:pPr>
      <w:r>
        <w:rPr>
          <w:rFonts w:ascii="Times New Roman" w:hAnsi="Times New Roman"/>
        </w:rPr>
        <w:t xml:space="preserve">（1）需特殊保护地区：国家法律、法规、行政规章及规划确定或经县级以上人民政府批准的需要特殊保护的地区，如饮用水水源保护区、自然保护区、风景名胜区、生态功能保护区、基本农田保护区、水土流失重点防治区、森林公园、地质公园、世界遗产地、国家重点文物保护单位、历史文化保护地等。 </w:t>
      </w:r>
    </w:p>
    <w:p>
      <w:pPr>
        <w:pStyle w:val="17"/>
        <w:rPr>
          <w:rFonts w:ascii="Times New Roman" w:hAnsi="Times New Roman"/>
        </w:rPr>
      </w:pPr>
      <w:r>
        <w:rPr>
          <w:rFonts w:ascii="Times New Roman" w:hAnsi="Times New Roman"/>
        </w:rPr>
        <w:t xml:space="preserve">（2）生态敏感与脆弱区：沙尘暴源区、荒漠中的绿洲、严重缺水地区、珍稀动植物栖息地或特殊生态系统、天然林、热带雨林、红树林、珊瑚礁、鱼虾产卵场、重要湿地和天然渔场等。 </w:t>
      </w:r>
    </w:p>
    <w:p>
      <w:pPr>
        <w:pStyle w:val="17"/>
        <w:rPr>
          <w:rFonts w:ascii="Times New Roman" w:hAnsi="Times New Roman"/>
        </w:rPr>
      </w:pPr>
      <w:r>
        <w:rPr>
          <w:rFonts w:ascii="Times New Roman" w:hAnsi="Times New Roman"/>
        </w:rPr>
        <w:t xml:space="preserve">（3）社会关注区：人口密集区、文教区、党政机关集中的办公地点、疗养地、医院等，以及具有历史、文化、科学、民族意义的保护地等。 </w:t>
      </w:r>
    </w:p>
    <w:p>
      <w:pPr>
        <w:spacing w:before="120" w:beforeLines="50" w:after="120" w:afterLines="50" w:line="480" w:lineRule="exact"/>
        <w:ind w:firstLine="19" w:firstLineChars="7"/>
        <w:rPr>
          <w:b/>
        </w:rPr>
      </w:pPr>
      <w:r>
        <w:rPr>
          <w:b/>
        </w:rPr>
        <w:t>11.2.3环境污染事件危险源</w:t>
      </w:r>
    </w:p>
    <w:p>
      <w:pPr>
        <w:pStyle w:val="17"/>
        <w:rPr>
          <w:rFonts w:ascii="Times New Roman" w:hAnsi="Times New Roman"/>
        </w:rPr>
      </w:pPr>
      <w:r>
        <w:rPr>
          <w:rFonts w:ascii="Times New Roman" w:hAnsi="Times New Roman"/>
        </w:rPr>
        <w:t>可能导致环境污染事件的污染源，以及生产、贮存、经营、使用、运输或产生、收集、利用、处置危险物质（有毒有害、易燃易爆其中含危险化学品和危险废物等）。</w:t>
      </w:r>
    </w:p>
    <w:p>
      <w:pPr>
        <w:spacing w:before="120" w:beforeLines="50" w:after="120" w:afterLines="50" w:line="480" w:lineRule="exact"/>
        <w:ind w:firstLine="19" w:firstLineChars="7"/>
        <w:rPr>
          <w:b/>
        </w:rPr>
      </w:pPr>
      <w:r>
        <w:rPr>
          <w:b/>
        </w:rPr>
        <w:t>11.2.4污染源</w:t>
      </w:r>
    </w:p>
    <w:p>
      <w:pPr>
        <w:pStyle w:val="17"/>
        <w:rPr>
          <w:rFonts w:ascii="Times New Roman" w:hAnsi="Times New Roman"/>
        </w:rPr>
      </w:pPr>
      <w:r>
        <w:rPr>
          <w:rFonts w:ascii="Times New Roman" w:hAnsi="Times New Roman"/>
        </w:rPr>
        <w:t>产生向环境排放污染物的单位。</w:t>
      </w:r>
    </w:p>
    <w:p>
      <w:pPr>
        <w:spacing w:before="120" w:beforeLines="50" w:after="120" w:afterLines="50" w:line="480" w:lineRule="exact"/>
        <w:ind w:firstLine="19" w:firstLineChars="7"/>
        <w:rPr>
          <w:b/>
        </w:rPr>
      </w:pPr>
      <w:r>
        <w:rPr>
          <w:b/>
        </w:rPr>
        <w:t>11.2.5危险化学品</w:t>
      </w:r>
    </w:p>
    <w:p>
      <w:pPr>
        <w:pStyle w:val="17"/>
        <w:rPr>
          <w:rFonts w:ascii="Times New Roman" w:hAnsi="Times New Roman"/>
        </w:rPr>
      </w:pPr>
      <w:r>
        <w:rPr>
          <w:rFonts w:ascii="Times New Roman" w:hAnsi="Times New Roman"/>
        </w:rPr>
        <w:t>指属于爆炸品、压缩气体和液化气体、易燃液体、易燃固体、自燃物品和遇湿易燃物品、氧化剂和有机过氧化物、有毒品和腐蚀品的化学品。</w:t>
      </w:r>
    </w:p>
    <w:p>
      <w:pPr>
        <w:spacing w:before="120" w:beforeLines="50" w:after="120" w:afterLines="50" w:line="480" w:lineRule="exact"/>
        <w:ind w:firstLine="19" w:firstLineChars="7"/>
        <w:rPr>
          <w:b/>
        </w:rPr>
      </w:pPr>
      <w:r>
        <w:rPr>
          <w:b/>
        </w:rPr>
        <w:t>11.2.6危险废物</w:t>
      </w:r>
    </w:p>
    <w:p>
      <w:pPr>
        <w:pStyle w:val="17"/>
        <w:rPr>
          <w:rFonts w:ascii="Times New Roman" w:hAnsi="Times New Roman"/>
        </w:rPr>
      </w:pPr>
      <w:r>
        <w:rPr>
          <w:rFonts w:ascii="Times New Roman" w:hAnsi="Times New Roman"/>
        </w:rPr>
        <w:t>指列入国家危险废物名录或者根据国家规定的危险废物鉴别标准和鉴别方法认定的具有危险特性的废物。</w:t>
      </w:r>
    </w:p>
    <w:p>
      <w:pPr>
        <w:spacing w:before="120" w:beforeLines="50" w:after="120" w:afterLines="50" w:line="480" w:lineRule="exact"/>
        <w:ind w:firstLine="19" w:firstLineChars="7"/>
        <w:rPr>
          <w:b/>
        </w:rPr>
      </w:pPr>
      <w:r>
        <w:rPr>
          <w:b/>
        </w:rPr>
        <w:t>11.2.7重大危险源</w:t>
      </w:r>
    </w:p>
    <w:p>
      <w:pPr>
        <w:pStyle w:val="17"/>
        <w:rPr>
          <w:rFonts w:ascii="Times New Roman" w:hAnsi="Times New Roman"/>
        </w:rPr>
      </w:pPr>
      <w:r>
        <w:rPr>
          <w:rFonts w:ascii="Times New Roman" w:hAnsi="Times New Roman"/>
        </w:rPr>
        <w:t>按照《重大危险源辨识》（GB18218）的定义，重大危险源指长期地或临时地生产、搬运、使用或者储存危险物品，且危险物品的数量等于或者超过临界量的单元（包括场所和设施）。</w:t>
      </w:r>
    </w:p>
    <w:p>
      <w:pPr>
        <w:spacing w:before="120" w:beforeLines="50" w:after="120" w:afterLines="50" w:line="480" w:lineRule="exact"/>
        <w:ind w:firstLine="19" w:firstLineChars="7"/>
        <w:rPr>
          <w:b/>
        </w:rPr>
      </w:pPr>
      <w:r>
        <w:rPr>
          <w:b/>
        </w:rPr>
        <w:t>11.2.8危险目标</w:t>
      </w:r>
    </w:p>
    <w:p>
      <w:pPr>
        <w:pStyle w:val="17"/>
        <w:rPr>
          <w:rFonts w:ascii="Times New Roman" w:hAnsi="Times New Roman"/>
        </w:rPr>
      </w:pPr>
      <w:r>
        <w:rPr>
          <w:rFonts w:ascii="Times New Roman" w:hAnsi="Times New Roman"/>
        </w:rPr>
        <w:t>指因危险性质、数量可能引起事故的危险化学品所在场所或设施。危险目标既可以是特定区域，也可以是特定设备、设施，危险目标的确定需要经过危险分析（包括危险识别、脆弱性分析与风险评价）之后才能确定。</w:t>
      </w:r>
    </w:p>
    <w:p>
      <w:pPr>
        <w:spacing w:before="120" w:beforeLines="50" w:after="120" w:afterLines="50" w:line="480" w:lineRule="exact"/>
        <w:ind w:firstLine="19" w:firstLineChars="7"/>
        <w:rPr>
          <w:b/>
        </w:rPr>
      </w:pPr>
      <w:r>
        <w:rPr>
          <w:b/>
        </w:rPr>
        <w:t>11.2.9突发环境污染事件（事故）</w:t>
      </w:r>
    </w:p>
    <w:p>
      <w:pPr>
        <w:pStyle w:val="17"/>
        <w:rPr>
          <w:rFonts w:ascii="Times New Roman" w:hAnsi="Times New Roman"/>
        </w:rPr>
      </w:pPr>
      <w:r>
        <w:rPr>
          <w:rFonts w:ascii="Times New Roman" w:hAnsi="Times New Roman"/>
        </w:rPr>
        <w:t>指由于违反环境保护法律法规的经济、社会活动与行为，以及意外因素的影响或不可抗拒的自然灾害等原因致使环境受到污染，人体健康受到危害，社会经济与人民财产受到损失，造成不良社会影响的突发环境污染事件（事故）。</w:t>
      </w:r>
    </w:p>
    <w:p>
      <w:pPr>
        <w:spacing w:before="120" w:beforeLines="50" w:after="120" w:afterLines="50" w:line="480" w:lineRule="exact"/>
        <w:ind w:firstLine="19" w:firstLineChars="7"/>
        <w:rPr>
          <w:b/>
        </w:rPr>
      </w:pPr>
      <w:r>
        <w:rPr>
          <w:b/>
        </w:rPr>
        <w:t>11.2.10应急救援</w:t>
      </w:r>
    </w:p>
    <w:p>
      <w:pPr>
        <w:pStyle w:val="17"/>
        <w:rPr>
          <w:rFonts w:ascii="Times New Roman" w:hAnsi="Times New Roman"/>
        </w:rPr>
      </w:pPr>
      <w:r>
        <w:rPr>
          <w:rFonts w:ascii="Times New Roman" w:hAnsi="Times New Roman"/>
        </w:rPr>
        <w:t>指在发生事故时，采取的消除、减少事故危害和防止事故恶化，最大限度降低事故损失的措施。</w:t>
      </w:r>
    </w:p>
    <w:p>
      <w:pPr>
        <w:spacing w:before="120" w:beforeLines="50" w:after="120" w:afterLines="50" w:line="480" w:lineRule="exact"/>
        <w:ind w:firstLine="19" w:firstLineChars="7"/>
        <w:rPr>
          <w:b/>
        </w:rPr>
      </w:pPr>
      <w:r>
        <w:rPr>
          <w:b/>
        </w:rPr>
        <w:t>11.2.11预案</w:t>
      </w:r>
    </w:p>
    <w:p>
      <w:pPr>
        <w:pStyle w:val="17"/>
        <w:rPr>
          <w:rFonts w:ascii="Times New Roman" w:hAnsi="Times New Roman"/>
        </w:rPr>
      </w:pPr>
      <w:r>
        <w:rPr>
          <w:rFonts w:ascii="Times New Roman" w:hAnsi="Times New Roman"/>
        </w:rPr>
        <w:t>指根据预测可能发生突发环境污染事件的类别、危害程度，而制定的事故应急救援方案。要充分考虑现有物质、人员及危险源的具体条件，能及时、有效地统筹指导事故应急救援行动。</w:t>
      </w:r>
    </w:p>
    <w:p>
      <w:pPr>
        <w:spacing w:before="120" w:beforeLines="50" w:after="120" w:afterLines="50" w:line="480" w:lineRule="exact"/>
        <w:ind w:firstLine="19" w:firstLineChars="7"/>
        <w:rPr>
          <w:b/>
        </w:rPr>
      </w:pPr>
      <w:r>
        <w:rPr>
          <w:b/>
        </w:rPr>
        <w:t>11.2.12分类</w:t>
      </w:r>
    </w:p>
    <w:p>
      <w:pPr>
        <w:pStyle w:val="17"/>
        <w:rPr>
          <w:rFonts w:ascii="Times New Roman" w:hAnsi="Times New Roman"/>
        </w:rPr>
      </w:pPr>
      <w:r>
        <w:rPr>
          <w:rFonts w:ascii="Times New Roman" w:hAnsi="Times New Roman"/>
        </w:rPr>
        <w:t>根据突发环境污染事件的发生过程、性质和机理，对不同突发环境污染事故而划分的类别。　</w:t>
      </w:r>
    </w:p>
    <w:p>
      <w:pPr>
        <w:spacing w:before="120" w:beforeLines="50" w:after="120" w:afterLines="50" w:line="480" w:lineRule="exact"/>
        <w:ind w:firstLine="19" w:firstLineChars="7"/>
        <w:rPr>
          <w:b/>
        </w:rPr>
      </w:pPr>
      <w:r>
        <w:rPr>
          <w:b/>
        </w:rPr>
        <w:t>11.2.13分级</w:t>
      </w:r>
    </w:p>
    <w:p>
      <w:pPr>
        <w:pStyle w:val="17"/>
        <w:rPr>
          <w:rFonts w:ascii="Times New Roman" w:hAnsi="Times New Roman"/>
        </w:rPr>
      </w:pPr>
      <w:r>
        <w:rPr>
          <w:rFonts w:ascii="Times New Roman" w:hAnsi="Times New Roman"/>
        </w:rPr>
        <w:t>按照事故严重性、紧急程度及危害程度划分的级别。根据本公司的情况，将本公司的事故级别划分为轻微和严重。</w:t>
      </w:r>
    </w:p>
    <w:p>
      <w:pPr>
        <w:pStyle w:val="17"/>
        <w:rPr>
          <w:rFonts w:ascii="Times New Roman" w:hAnsi="Times New Roman"/>
        </w:rPr>
      </w:pPr>
      <w:r>
        <w:rPr>
          <w:rFonts w:ascii="Times New Roman" w:hAnsi="Times New Roman"/>
        </w:rPr>
        <w:t>（1）预警（三级响应）：发生影响企业局部安全运行的事故时的应急响应水平，也称为应急待命，是最低应急级别，对应的事故类型是可以控制的异常事件或容易被控制的事件。此类事件对企业人员的影响可以忽略。</w:t>
      </w:r>
    </w:p>
    <w:p>
      <w:pPr>
        <w:pStyle w:val="17"/>
        <w:rPr>
          <w:rFonts w:ascii="Times New Roman" w:hAnsi="Times New Roman"/>
        </w:rPr>
      </w:pPr>
      <w:r>
        <w:rPr>
          <w:rFonts w:ascii="Times New Roman" w:hAnsi="Times New Roman"/>
        </w:rPr>
        <w:t>（2）企业应急（二级响应）：发生影响企业整体安全运行的事故时的应急响应水平，必须采取行动以保护现场人员。此类事故不会明显造成企业边界以外的后果，外部人群一般不会受事故的直接影响。</w:t>
      </w:r>
    </w:p>
    <w:p>
      <w:pPr>
        <w:pStyle w:val="17"/>
        <w:rPr>
          <w:rFonts w:ascii="Times New Roman" w:hAnsi="Times New Roman"/>
        </w:rPr>
      </w:pPr>
      <w:r>
        <w:rPr>
          <w:rFonts w:ascii="Times New Roman" w:hAnsi="Times New Roman"/>
        </w:rPr>
        <w:t>（3）社会应急（一级响应）：发生破坏企业整体安全运行的事故或发生（很可能）造成企业外部影响事故的应急响应水平，要求启动企业（场）外事故应急救援预案，主要由政府等外部应急救援力量控制事故。</w:t>
      </w:r>
    </w:p>
    <w:p>
      <w:pPr>
        <w:spacing w:before="120" w:beforeLines="50" w:after="120" w:afterLines="50" w:line="480" w:lineRule="exact"/>
        <w:ind w:firstLine="19" w:firstLineChars="7"/>
        <w:rPr>
          <w:b/>
        </w:rPr>
      </w:pPr>
      <w:r>
        <w:rPr>
          <w:b/>
        </w:rPr>
        <w:t>11.2.14应急监测</w:t>
      </w:r>
    </w:p>
    <w:p>
      <w:pPr>
        <w:pStyle w:val="17"/>
        <w:rPr>
          <w:rFonts w:ascii="Times New Roman" w:hAnsi="Times New Roman"/>
        </w:rPr>
      </w:pPr>
      <w:r>
        <w:rPr>
          <w:rFonts w:ascii="Times New Roman" w:hAnsi="Times New Roman"/>
        </w:rPr>
        <w:t>环境应急情况下，为发现和查明环境污染情况和污染范围而进行的环境监测。包括定点监测和动态监测。</w:t>
      </w:r>
    </w:p>
    <w:p>
      <w:pPr>
        <w:spacing w:before="120" w:beforeLines="50" w:after="120" w:afterLines="50" w:line="480" w:lineRule="exact"/>
        <w:ind w:firstLine="19" w:firstLineChars="7"/>
        <w:rPr>
          <w:b/>
        </w:rPr>
      </w:pPr>
      <w:r>
        <w:rPr>
          <w:b/>
        </w:rPr>
        <w:t>11.2.15应急演习</w:t>
      </w:r>
    </w:p>
    <w:p>
      <w:pPr>
        <w:pStyle w:val="17"/>
        <w:rPr>
          <w:rFonts w:ascii="Times New Roman" w:hAnsi="Times New Roman"/>
        </w:rPr>
      </w:pPr>
      <w:r>
        <w:rPr>
          <w:rFonts w:ascii="Times New Roman" w:hAnsi="Times New Roman"/>
        </w:rPr>
        <w:t>为检验应急预案的有效性、应急准备的完善性、应急响应能力的适应性和应急人员的协同性而进行的一种模拟应急响应的实践活动，根据所涉及的内容和范围的不同，可分为单项演习（演练）、综合演习和指挥中心、现场应急组织联合进行的联合演习。</w:t>
      </w:r>
    </w:p>
    <w:p>
      <w:pPr>
        <w:spacing w:before="120" w:beforeLines="50" w:after="120" w:afterLines="50" w:line="480" w:lineRule="exact"/>
        <w:ind w:firstLine="19" w:firstLineChars="7"/>
        <w:rPr>
          <w:b/>
        </w:rPr>
      </w:pPr>
      <w:r>
        <w:rPr>
          <w:b/>
        </w:rPr>
        <w:t>11.2.16应急指挥部</w:t>
      </w:r>
    </w:p>
    <w:p>
      <w:pPr>
        <w:pStyle w:val="17"/>
        <w:rPr>
          <w:rFonts w:ascii="Times New Roman" w:hAnsi="Times New Roman"/>
        </w:rPr>
      </w:pPr>
      <w:r>
        <w:rPr>
          <w:rFonts w:ascii="Times New Roman" w:hAnsi="Times New Roman"/>
        </w:rPr>
        <w:t>应急反应组织管理应急反应活动的中心场所。</w:t>
      </w:r>
    </w:p>
    <w:p>
      <w:pPr>
        <w:spacing w:before="120" w:beforeLines="50" w:after="120" w:afterLines="50" w:line="480" w:lineRule="exact"/>
        <w:ind w:firstLine="19" w:firstLineChars="7"/>
        <w:rPr>
          <w:b/>
        </w:rPr>
      </w:pPr>
      <w:r>
        <w:rPr>
          <w:b/>
        </w:rPr>
        <w:t>11.2.17应急总指挥</w:t>
      </w:r>
    </w:p>
    <w:p>
      <w:pPr>
        <w:pStyle w:val="17"/>
        <w:rPr>
          <w:rFonts w:ascii="Times New Roman" w:hAnsi="Times New Roman"/>
        </w:rPr>
      </w:pPr>
      <w:r>
        <w:rPr>
          <w:rFonts w:ascii="Times New Roman" w:hAnsi="Times New Roman"/>
        </w:rPr>
        <w:t>在紧急情况下负责实施应急反应预案的人。</w:t>
      </w:r>
    </w:p>
    <w:p>
      <w:pPr>
        <w:spacing w:before="120" w:beforeLines="50" w:after="120" w:afterLines="50" w:line="480" w:lineRule="exact"/>
        <w:ind w:firstLine="19" w:firstLineChars="7"/>
        <w:rPr>
          <w:b/>
        </w:rPr>
      </w:pPr>
      <w:r>
        <w:rPr>
          <w:b/>
        </w:rPr>
        <w:t>11.2.18应急人员</w:t>
      </w:r>
    </w:p>
    <w:p>
      <w:pPr>
        <w:pStyle w:val="17"/>
        <w:rPr>
          <w:rFonts w:ascii="Times New Roman" w:hAnsi="Times New Roman"/>
        </w:rPr>
      </w:pPr>
      <w:r>
        <w:rPr>
          <w:rFonts w:ascii="Times New Roman" w:hAnsi="Times New Roman"/>
        </w:rPr>
        <w:t>所有在紧急情况下负有某一职能的人员。</w:t>
      </w:r>
    </w:p>
    <w:p>
      <w:pPr>
        <w:spacing w:line="360" w:lineRule="auto"/>
        <w:ind w:firstLine="516" w:firstLineChars="187"/>
      </w:pPr>
    </w:p>
    <w:p>
      <w:pPr>
        <w:spacing w:line="360" w:lineRule="auto"/>
        <w:ind w:firstLine="516" w:firstLineChars="187"/>
      </w:pPr>
    </w:p>
    <w:p>
      <w:pPr>
        <w:pStyle w:val="2"/>
        <w:spacing w:line="480" w:lineRule="exact"/>
        <w:rPr>
          <w:sz w:val="28"/>
        </w:rPr>
        <w:sectPr>
          <w:pgSz w:w="11906" w:h="16838"/>
          <w:pgMar w:top="1418" w:right="1418" w:bottom="1418" w:left="1418" w:header="851" w:footer="959" w:gutter="0"/>
          <w:pgBorders>
            <w:top w:val="none" w:sz="0" w:space="0"/>
            <w:left w:val="none" w:sz="0" w:space="0"/>
            <w:bottom w:val="none" w:sz="0" w:space="0"/>
            <w:right w:val="none" w:sz="0" w:space="0"/>
          </w:pgBorders>
          <w:pgNumType w:fmt="decimal"/>
          <w:cols w:space="720" w:num="1"/>
          <w:docGrid w:linePitch="312" w:charSpace="0"/>
        </w:sectPr>
      </w:pPr>
    </w:p>
    <w:p>
      <w:pPr>
        <w:pStyle w:val="2"/>
        <w:jc w:val="center"/>
      </w:pPr>
      <w:bookmarkStart w:id="420" w:name="_Toc3433"/>
      <w:bookmarkStart w:id="421" w:name="_Toc16609"/>
      <w:bookmarkStart w:id="422" w:name="_Toc2598"/>
      <w:bookmarkStart w:id="423" w:name="_Toc7960"/>
      <w:r>
        <w:t>12 附件</w:t>
      </w:r>
      <w:bookmarkEnd w:id="420"/>
      <w:bookmarkEnd w:id="421"/>
      <w:bookmarkEnd w:id="422"/>
      <w:bookmarkEnd w:id="423"/>
    </w:p>
    <w:p>
      <w:pPr>
        <w:pStyle w:val="3"/>
        <w:spacing w:line="480" w:lineRule="exact"/>
        <w:rPr>
          <w:sz w:val="28"/>
        </w:rPr>
      </w:pPr>
      <w:bookmarkStart w:id="424" w:name="_Toc18927"/>
      <w:bookmarkStart w:id="425" w:name="_Toc365013646"/>
      <w:bookmarkStart w:id="426" w:name="_Toc31200"/>
      <w:bookmarkStart w:id="427" w:name="_Toc698"/>
      <w:bookmarkStart w:id="428" w:name="_Toc16520"/>
      <w:r>
        <w:rPr>
          <w:sz w:val="28"/>
        </w:rPr>
        <w:pict>
          <v:line id="直线 4005" o:spid="_x0000_s6712" o:spt="20" style="position:absolute;left:0pt;flip:x;margin-left:327.85pt;margin-top:-231.15pt;height:0pt;width:126pt;z-index:251567104;mso-width-relative:page;mso-height-relative:page;" coordsize="21600,216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">
            <v:path arrowok="t"/>
            <v:fill focussize="0,0"/>
            <v:stroke endarrow="block"/>
            <v:imagedata o:title=""/>
            <o:lock v:ext="edit"/>
          </v:line>
        </w:pict>
      </w:r>
      <w:r>
        <w:rPr>
          <w:sz w:val="28"/>
        </w:rPr>
        <w:pict>
          <v:line id="直线 3978" o:spid="_x0000_s6711" o:spt="20" style="position:absolute;left:0pt;margin-left:282.85pt;margin-top:-219.35pt;height:17.55pt;width:0.1pt;z-index:251566080;mso-width-relative:page;mso-height-relative:page;" coordsize="21600,216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">
            <v:path arrowok="t"/>
            <v:fill focussize="0,0"/>
            <v:stroke endarrow="block"/>
            <v:imagedata o:title=""/>
            <o:lock v:ext="edit"/>
          </v:line>
        </w:pict>
      </w:r>
      <w:r>
        <w:rPr>
          <w:sz w:val="28"/>
        </w:rPr>
        <w:pict>
          <v:rect id="矩形 3962" o:spid="_x0000_s1270" o:spt="1" style="position:absolute;left:0pt;margin-left:237.85pt;margin-top:-201.7pt;height:23.25pt;width:89.95pt;z-index:251565056;mso-width-relative:page;mso-height-relative:page;" coordsize="21600,216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">
            <v:path/>
            <v:fill focussize="0,0"/>
            <v:stroke/>
            <v:imagedata o:title=""/>
            <o:lock v:ext="edit"/>
            <v:textbox inset="0mm,1.3mm,0mm,1.3mm">
              <w:txbxContent>
                <w:p>
                  <w:pPr>
                    <w:spacing w:line="320" w:lineRule="exact"/>
                    <w:jc w:val="center"/>
                    <w:rPr>
                      <w:rFonts w:ascii="楷体_GB2312" w:eastAsia="楷体_GB2312"/>
                      <w:szCs w:val="21"/>
                    </w:rPr>
                  </w:pPr>
                  <w:r>
                    <w:rPr>
                      <w:rFonts w:hint="eastAsia" w:ascii="楷体_GB2312" w:eastAsia="楷体_GB2312"/>
                      <w:szCs w:val="21"/>
                    </w:rPr>
                    <w:t>总结评审</w:t>
                  </w:r>
                </w:p>
              </w:txbxContent>
            </v:textbox>
          </v:rect>
        </w:pict>
      </w:r>
      <w:r>
        <w:rPr>
          <w:sz w:val="28"/>
        </w:rPr>
        <w:pict>
          <v:rect id="矩形 3961" o:spid="_x0000_s1271" o:spt="1" style="position:absolute;left:0pt;margin-left:237.85pt;margin-top:-242.75pt;height:23.25pt;width:89.95pt;z-index:251564032;mso-width-relative:page;mso-height-relative:page;" coordsize="21600,216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">
            <v:path/>
            <v:fill focussize="0,0"/>
            <v:stroke/>
            <v:imagedata o:title=""/>
            <o:lock v:ext="edit"/>
            <v:textbox inset="0mm,1.3mm,0mm,1.3mm">
              <w:txbxContent>
                <w:p>
                  <w:pPr>
                    <w:spacing w:line="320" w:lineRule="exact"/>
                    <w:jc w:val="center"/>
                    <w:rPr>
                      <w:rFonts w:ascii="楷体_GB2312" w:eastAsia="楷体_GB2312"/>
                      <w:szCs w:val="21"/>
                    </w:rPr>
                  </w:pPr>
                  <w:r>
                    <w:rPr>
                      <w:rFonts w:hint="eastAsia" w:ascii="楷体_GB2312" w:eastAsia="楷体_GB2312"/>
                      <w:szCs w:val="21"/>
                    </w:rPr>
                    <w:t>应急恢复</w:t>
                  </w:r>
                </w:p>
              </w:txbxContent>
            </v:textbox>
          </v:rect>
        </w:pict>
      </w:r>
      <w:r>
        <w:rPr>
          <w:sz w:val="28"/>
        </w:rPr>
        <w:t>附件1应急响应流程图</w:t>
      </w:r>
      <w:bookmarkEnd w:id="424"/>
      <w:bookmarkEnd w:id="425"/>
      <w:bookmarkEnd w:id="426"/>
      <w:bookmarkEnd w:id="427"/>
      <w:bookmarkEnd w:id="428"/>
      <w:r>
        <w:rPr>
          <w:sz w:val="28"/>
        </w:rPr>
        <w:t xml:space="preserve">                 </w:t>
      </w:r>
    </w:p>
    <w:p>
      <w:pPr>
        <w:spacing w:before="120" w:beforeLines="50" w:line="360" w:lineRule="auto"/>
        <w:rPr>
          <w:b/>
          <w:bCs/>
          <w:sz w:val="24"/>
        </w:rPr>
      </w:pPr>
      <w:r>
        <w:pict>
          <v:group id="_x0000_s8454" o:spid="_x0000_s8454" o:spt="203" style="height:553.8pt;width:459pt;" coordorigin="1382,4900" coordsize="9180,11076" editas="canvas">
            <o:lock v:ext="edit"/>
            <v:shape id="_x0000_s8455" o:spid="_x0000_s8455" o:spt="75" type="#_x0000_t75" style="position:absolute;left:1382;top:4900;height:11076;width:9180;" filled="f" stroked="t" coordsize="21600,21600">
              <v:fill on="f" focussize="0,0"/>
              <v:stroke color="#000000" joinstyle="miter"/>
              <v:imagedata o:title=""/>
              <o:lock v:ext="edit" rotation="t" text="t" aspectratio="t"/>
            </v:shape>
            <v:rect id="_x0000_s8456" o:spid="_x0000_s8456" o:spt="1" style="position:absolute;left:5702;top:6148;height:468;width:900;" fillcolor="#FFFFFF" filled="t" stroked="t" coordsize="21600,21600">
              <v:path/>
              <v:fill on="t" color2="#FFFFFF" focussize="0,0"/>
              <v:stroke color="#000000" joinstyle="miter"/>
              <v:imagedata o:title=""/>
              <o:lock v:ext="edit" aspectratio="f"/>
              <v:textbox>
                <w:txbxContent>
                  <w:p>
                    <w:pPr>
                      <w:spacing w:line="240" w:lineRule="exact"/>
                      <w:jc w:val="center"/>
                      <w:rPr>
                        <w:rFonts w:eastAsia="宋体"/>
                        <w:sz w:val="21"/>
                        <w:szCs w:val="21"/>
                      </w:rPr>
                    </w:pPr>
                    <w:r>
                      <w:rPr>
                        <w:rFonts w:hAnsi="宋体" w:eastAsia="宋体"/>
                        <w:sz w:val="21"/>
                        <w:szCs w:val="21"/>
                      </w:rPr>
                      <w:t>接警</w:t>
                    </w:r>
                  </w:p>
                </w:txbxContent>
              </v:textbox>
            </v:rect>
            <v:rect id="_x0000_s8457" o:spid="_x0000_s8457" o:spt="1" style="position:absolute;left:1742;top:7708;height:468;width:1800;" fillcolor="#FFFFFF" filled="t" stroked="t" coordsize="21600,21600">
              <v:path/>
              <v:fill on="t" color2="#FFFFFF" focussize="0,0"/>
              <v:stroke color="#000000" joinstyle="miter"/>
              <v:imagedata o:title=""/>
              <o:lock v:ext="edit" aspectratio="f"/>
              <v:textbox inset="0mm,1.27mm,0mm,1.27mm">
                <w:txbxContent>
                  <w:p>
                    <w:pPr>
                      <w:spacing w:line="240" w:lineRule="exact"/>
                      <w:jc w:val="center"/>
                      <w:rPr>
                        <w:rFonts w:hint="eastAsia" w:eastAsia="宋体"/>
                        <w:sz w:val="21"/>
                        <w:szCs w:val="21"/>
                      </w:rPr>
                    </w:pPr>
                    <w:r>
                      <w:rPr>
                        <w:rFonts w:hint="eastAsia" w:hAnsi="宋体" w:eastAsia="宋体"/>
                        <w:sz w:val="21"/>
                        <w:szCs w:val="21"/>
                      </w:rPr>
                      <w:t>不启动应急响应</w:t>
                    </w:r>
                  </w:p>
                </w:txbxContent>
              </v:textbox>
            </v:rect>
            <v:rect id="_x0000_s8458" o:spid="_x0000_s8458" o:spt="1" style="position:absolute;left:5702;top:5056;height:468;width:900;" fillcolor="#FFFFFF" filled="t" stroked="t" coordsize="21600,21600">
              <v:path/>
              <v:fill on="t" color2="#FFFFFF" focussize="0,0"/>
              <v:stroke color="#000000" joinstyle="miter"/>
              <v:imagedata o:title=""/>
              <o:lock v:ext="edit" aspectratio="f"/>
              <v:textbox>
                <w:txbxContent>
                  <w:p>
                    <w:pPr>
                      <w:spacing w:line="240" w:lineRule="exact"/>
                      <w:jc w:val="center"/>
                      <w:rPr>
                        <w:rFonts w:hint="eastAsia" w:eastAsia="宋体"/>
                        <w:sz w:val="21"/>
                        <w:szCs w:val="21"/>
                      </w:rPr>
                    </w:pPr>
                    <w:r>
                      <w:rPr>
                        <w:rFonts w:hint="eastAsia" w:hAnsi="宋体" w:eastAsia="宋体"/>
                        <w:sz w:val="21"/>
                        <w:szCs w:val="21"/>
                      </w:rPr>
                      <w:t>报警</w:t>
                    </w:r>
                  </w:p>
                </w:txbxContent>
              </v:textbox>
            </v:rect>
            <v:rect id="_x0000_s8459" o:spid="_x0000_s8459" o:spt="1" style="position:absolute;left:6782;top:5056;height:468;width:1980;" fillcolor="#FFFFFF" filled="t" stroked="f" coordsize="21600,21600">
              <v:path/>
              <v:fill on="t" color2="#FFFFFF" focussize="0,0"/>
              <v:stroke on="f"/>
              <v:imagedata o:title=""/>
              <o:lock v:ext="edit" aspectratio="f"/>
              <v:textbox>
                <w:txbxContent>
                  <w:p>
                    <w:pPr>
                      <w:spacing w:line="240" w:lineRule="exact"/>
                      <w:jc w:val="center"/>
                      <w:rPr>
                        <w:rFonts w:hint="eastAsia" w:eastAsia="宋体"/>
                        <w:sz w:val="21"/>
                        <w:szCs w:val="21"/>
                      </w:rPr>
                    </w:pPr>
                    <w:r>
                      <w:rPr>
                        <w:rFonts w:hint="eastAsia" w:hAnsi="宋体" w:eastAsia="宋体"/>
                        <w:sz w:val="21"/>
                        <w:szCs w:val="21"/>
                      </w:rPr>
                      <w:t>（事故现场人员）</w:t>
                    </w:r>
                  </w:p>
                </w:txbxContent>
              </v:textbox>
            </v:rect>
            <v:rect id="_x0000_s8460" o:spid="_x0000_s8460" o:spt="1" style="position:absolute;left:6782;top:6148;height:468;width:2520;" fillcolor="#FFFFFF" filled="t" stroked="f" coordsize="21600,21600">
              <v:path/>
              <v:fill on="t" color2="#FFFFFF" focussize="0,0"/>
              <v:stroke on="f"/>
              <v:imagedata o:title=""/>
              <o:lock v:ext="edit" aspectratio="f"/>
              <v:textbox>
                <w:txbxContent>
                  <w:p>
                    <w:pPr>
                      <w:spacing w:line="240" w:lineRule="exact"/>
                      <w:jc w:val="center"/>
                      <w:rPr>
                        <w:rFonts w:hint="eastAsia" w:eastAsia="宋体"/>
                        <w:sz w:val="21"/>
                        <w:szCs w:val="21"/>
                      </w:rPr>
                    </w:pPr>
                    <w:r>
                      <w:rPr>
                        <w:rFonts w:hint="eastAsia" w:hAnsi="宋体" w:eastAsia="宋体"/>
                        <w:sz w:val="21"/>
                        <w:szCs w:val="21"/>
                      </w:rPr>
                      <w:t>（上级领导或指挥人员）</w:t>
                    </w:r>
                  </w:p>
                </w:txbxContent>
              </v:textbox>
            </v:rect>
            <v:line id="_x0000_s8461" o:spid="_x0000_s8461" o:spt="20" style="position:absolute;left:6242;top:5524;height:624;width:0;" filled="f" stroked="t" coordsize="21600,21600">
              <v:path arrowok="t"/>
              <v:fill on="f" focussize="0,0"/>
              <v:stroke color="#000000" endarrow="block"/>
              <v:imagedata o:title=""/>
              <o:lock v:ext="edit" aspectratio="f"/>
            </v:line>
            <v:line id="_x0000_s8462" o:spid="_x0000_s8462" o:spt="20" style="position:absolute;left:6242;top:6616;height:468;width:0;" filled="f" stroked="t" coordsize="21600,21600">
              <v:path arrowok="t"/>
              <v:fill on="f" focussize="0,0"/>
              <v:stroke color="#000000" endarrow="block"/>
              <v:imagedata o:title=""/>
              <o:lock v:ext="edit" aspectratio="f"/>
            </v:line>
            <v:line id="_x0000_s8463" o:spid="_x0000_s8463" o:spt="20" style="position:absolute;left:2102;top:7084;height:1;width:7020;" filled="f" stroked="t" coordsize="21600,21600">
              <v:path arrowok="t"/>
              <v:fill on="f" focussize="0,0"/>
              <v:stroke color="#000000"/>
              <v:imagedata o:title=""/>
              <o:lock v:ext="edit" aspectratio="f"/>
            </v:line>
            <v:line id="_x0000_s8464" o:spid="_x0000_s8464" o:spt="20" style="position:absolute;left:2102;top:7084;height:624;width:0;" filled="f" stroked="t" coordsize="21600,21600">
              <v:path arrowok="t"/>
              <v:fill on="f" focussize="0,0"/>
              <v:stroke color="#000000" endarrow="block"/>
              <v:imagedata o:title=""/>
              <o:lock v:ext="edit" aspectratio="f"/>
            </v:line>
            <v:rect id="_x0000_s8465" o:spid="_x0000_s8465" o:spt="1" style="position:absolute;left:1922;top:7240;height:468;width:2520;" fillcolor="#FFFFFF" filled="t" stroked="f" coordsize="21600,21600">
              <v:path/>
              <v:fill on="t" color2="#FFFFFF" opacity="0f" focussize="0,0"/>
              <v:stroke on="f"/>
              <v:imagedata o:title=""/>
              <o:lock v:ext="edit" aspectratio="f"/>
              <v:textbox>
                <w:txbxContent>
                  <w:p>
                    <w:pPr>
                      <w:spacing w:line="240" w:lineRule="exact"/>
                      <w:jc w:val="center"/>
                      <w:rPr>
                        <w:rFonts w:hint="eastAsia" w:eastAsia="宋体"/>
                        <w:sz w:val="21"/>
                        <w:szCs w:val="21"/>
                      </w:rPr>
                    </w:pPr>
                    <w:r>
                      <w:rPr>
                        <w:rFonts w:hint="eastAsia" w:hAnsi="宋体" w:eastAsia="宋体"/>
                        <w:sz w:val="21"/>
                        <w:szCs w:val="21"/>
                      </w:rPr>
                      <w:t>低于最低响应级别</w:t>
                    </w:r>
                  </w:p>
                </w:txbxContent>
              </v:textbox>
            </v:rect>
            <v:line id="_x0000_s8466" o:spid="_x0000_s8466" o:spt="20" style="position:absolute;left:4622;top:7084;height:624;width:0;" filled="f" stroked="t" coordsize="21600,21600">
              <v:path arrowok="t"/>
              <v:fill on="f" focussize="0,0"/>
              <v:stroke color="#000000" endarrow="block"/>
              <v:imagedata o:title=""/>
              <o:lock v:ext="edit" aspectratio="f"/>
            </v:line>
            <v:rect id="_x0000_s8467" o:spid="_x0000_s8467" o:spt="1" style="position:absolute;left:4622;top:7084;height:468;width:1260;" fillcolor="#FFFFFF" filled="t" stroked="f" coordsize="21600,21600">
              <v:path/>
              <v:fill on="t" color2="#FFFFFF" opacity="0f" focussize="0,0"/>
              <v:stroke on="f"/>
              <v:imagedata o:title=""/>
              <o:lock v:ext="edit" aspectratio="f"/>
              <v:textbox>
                <w:txbxContent>
                  <w:p>
                    <w:pPr>
                      <w:spacing w:line="240" w:lineRule="auto"/>
                      <w:rPr>
                        <w:szCs w:val="21"/>
                      </w:rPr>
                    </w:pPr>
                    <w:r>
                      <w:rPr>
                        <w:rFonts w:hint="eastAsia" w:ascii="宋体" w:hAnsi="宋体" w:eastAsia="宋体"/>
                        <w:sz w:val="21"/>
                        <w:szCs w:val="21"/>
                      </w:rPr>
                      <w:t>Ⅲ级事故</w:t>
                    </w:r>
                  </w:p>
                </w:txbxContent>
              </v:textbox>
            </v:rect>
            <v:rect id="_x0000_s8468" o:spid="_x0000_s8468" o:spt="1" style="position:absolute;left:3902;top:7708;height:468;width:1800;" fillcolor="#FFFFFF" filled="t" stroked="t" coordsize="21600,21600">
              <v:path/>
              <v:fill on="t" color2="#FFFFFF" focussize="0,0"/>
              <v:stroke color="#000000" joinstyle="miter"/>
              <v:imagedata o:title=""/>
              <o:lock v:ext="edit" aspectratio="f"/>
              <v:textbox inset="0mm,1.27mm,0mm,1.27mm">
                <w:txbxContent>
                  <w:p>
                    <w:pPr>
                      <w:spacing w:line="240" w:lineRule="exact"/>
                      <w:jc w:val="center"/>
                      <w:rPr>
                        <w:rFonts w:hint="eastAsia" w:eastAsia="宋体"/>
                        <w:sz w:val="21"/>
                        <w:szCs w:val="21"/>
                      </w:rPr>
                    </w:pPr>
                    <w:r>
                      <w:rPr>
                        <w:rFonts w:hint="eastAsia" w:hAnsi="宋体" w:eastAsia="宋体"/>
                        <w:sz w:val="21"/>
                        <w:szCs w:val="21"/>
                      </w:rPr>
                      <w:t>启动三级响应</w:t>
                    </w:r>
                  </w:p>
                </w:txbxContent>
              </v:textbox>
            </v:rect>
            <v:line id="_x0000_s8469" o:spid="_x0000_s8469" o:spt="20" style="position:absolute;left:6962;top:7084;height:624;width:1;" filled="f" stroked="t" coordsize="21600,21600">
              <v:path arrowok="t"/>
              <v:fill on="f" focussize="0,0"/>
              <v:stroke color="#000000" endarrow="block"/>
              <v:imagedata o:title=""/>
              <o:lock v:ext="edit" aspectratio="f"/>
            </v:line>
            <v:rect id="_x0000_s8470" o:spid="_x0000_s8470" o:spt="1" style="position:absolute;left:6962;top:7084;height:468;width:1260;" fillcolor="#FFFFFF" filled="t" stroked="f" coordsize="21600,21600">
              <v:path/>
              <v:fill on="t" color2="#FFFFFF" opacity="0f" focussize="0,0"/>
              <v:stroke on="f"/>
              <v:imagedata o:title=""/>
              <o:lock v:ext="edit" aspectratio="f"/>
              <v:textbox>
                <w:txbxContent>
                  <w:p>
                    <w:pPr>
                      <w:spacing w:line="240" w:lineRule="auto"/>
                      <w:rPr>
                        <w:szCs w:val="21"/>
                      </w:rPr>
                    </w:pPr>
                    <w:r>
                      <w:rPr>
                        <w:rFonts w:hint="eastAsia" w:ascii="宋体" w:hAnsi="宋体" w:eastAsia="宋体"/>
                        <w:sz w:val="21"/>
                        <w:szCs w:val="21"/>
                      </w:rPr>
                      <w:t>Ⅱ级事故</w:t>
                    </w:r>
                  </w:p>
                </w:txbxContent>
              </v:textbox>
            </v:rect>
            <v:rect id="_x0000_s8471" o:spid="_x0000_s8471" o:spt="1" style="position:absolute;left:6242;top:7708;height:468;width:1800;" fillcolor="#FFFFFF" filled="t" stroked="t" coordsize="21600,21600">
              <v:path/>
              <v:fill on="t" color2="#FFFFFF" focussize="0,0"/>
              <v:stroke color="#000000" joinstyle="miter"/>
              <v:imagedata o:title=""/>
              <o:lock v:ext="edit" aspectratio="f"/>
              <v:textbox inset="0mm,1.27mm,0mm,1.27mm">
                <w:txbxContent>
                  <w:p>
                    <w:pPr>
                      <w:spacing w:line="240" w:lineRule="exact"/>
                      <w:jc w:val="center"/>
                      <w:rPr>
                        <w:rFonts w:hint="eastAsia" w:eastAsia="宋体"/>
                        <w:sz w:val="21"/>
                        <w:szCs w:val="21"/>
                      </w:rPr>
                    </w:pPr>
                    <w:r>
                      <w:rPr>
                        <w:rFonts w:hint="eastAsia" w:hAnsi="宋体" w:eastAsia="宋体"/>
                        <w:sz w:val="21"/>
                        <w:szCs w:val="21"/>
                      </w:rPr>
                      <w:t>启动二级响应</w:t>
                    </w:r>
                  </w:p>
                </w:txbxContent>
              </v:textbox>
            </v:rect>
            <v:line id="_x0000_s8472" o:spid="_x0000_s8472" o:spt="20" style="position:absolute;left:9122;top:7084;height:624;width:1;" filled="f" stroked="t" coordsize="21600,21600">
              <v:path arrowok="t"/>
              <v:fill on="f" focussize="0,0"/>
              <v:stroke color="#000000" endarrow="block"/>
              <v:imagedata o:title=""/>
              <o:lock v:ext="edit" aspectratio="f"/>
            </v:line>
            <v:rect id="_x0000_s8473" o:spid="_x0000_s8473" o:spt="1" style="position:absolute;left:9122;top:7084;height:468;width:1260;" fillcolor="#FFFFFF" filled="t" stroked="f" coordsize="21600,21600">
              <v:path/>
              <v:fill on="t" color2="#FFFFFF" opacity="0f" focussize="0,0"/>
              <v:stroke on="f"/>
              <v:imagedata o:title=""/>
              <o:lock v:ext="edit" aspectratio="f"/>
              <v:textbox>
                <w:txbxContent>
                  <w:p>
                    <w:pPr>
                      <w:spacing w:line="240" w:lineRule="auto"/>
                      <w:rPr>
                        <w:szCs w:val="21"/>
                      </w:rPr>
                    </w:pPr>
                    <w:r>
                      <w:rPr>
                        <w:rFonts w:hint="eastAsia" w:ascii="宋体" w:hAnsi="宋体" w:eastAsia="宋体"/>
                        <w:sz w:val="21"/>
                        <w:szCs w:val="21"/>
                      </w:rPr>
                      <w:t>Ⅰ级事故</w:t>
                    </w:r>
                  </w:p>
                </w:txbxContent>
              </v:textbox>
            </v:rect>
            <v:rect id="_x0000_s8474" o:spid="_x0000_s8474" o:spt="1" style="position:absolute;left:8402;top:7708;height:468;width:1800;" fillcolor="#FFFFFF" filled="t" stroked="t" coordsize="21600,21600">
              <v:path/>
              <v:fill on="t" color2="#FFFFFF" focussize="0,0"/>
              <v:stroke color="#000000" joinstyle="miter"/>
              <v:imagedata o:title=""/>
              <o:lock v:ext="edit" aspectratio="f"/>
              <v:textbox inset="0mm,1.27mm,0mm,1.27mm">
                <w:txbxContent>
                  <w:p>
                    <w:pPr>
                      <w:spacing w:line="240" w:lineRule="exact"/>
                      <w:jc w:val="center"/>
                      <w:rPr>
                        <w:rFonts w:hint="eastAsia" w:eastAsia="宋体"/>
                        <w:sz w:val="21"/>
                        <w:szCs w:val="21"/>
                      </w:rPr>
                    </w:pPr>
                    <w:r>
                      <w:rPr>
                        <w:rFonts w:hint="eastAsia" w:hAnsi="宋体" w:eastAsia="宋体"/>
                        <w:sz w:val="21"/>
                        <w:szCs w:val="21"/>
                      </w:rPr>
                      <w:t>启动一级响应</w:t>
                    </w:r>
                  </w:p>
                </w:txbxContent>
              </v:textbox>
            </v:rect>
            <v:line id="_x0000_s8475" o:spid="_x0000_s8475" o:spt="20" style="position:absolute;left:4622;top:8176;height:624;width:0;" filled="f" stroked="t" coordsize="21600,21600">
              <v:path arrowok="t"/>
              <v:fill on="f" focussize="0,0"/>
              <v:stroke color="#000000" endarrow="block"/>
              <v:imagedata o:title=""/>
              <o:lock v:ext="edit" aspectratio="f"/>
            </v:line>
            <v:rect id="_x0000_s8476" o:spid="_x0000_s8476" o:spt="1" style="position:absolute;left:3902;top:8800;height:468;width:1800;" fillcolor="#FFFFFF" filled="t" stroked="t" coordsize="21600,21600">
              <v:path/>
              <v:fill on="t" color2="#FFFFFF" focussize="0,0"/>
              <v:stroke color="#000000" joinstyle="miter" dashstyle="dash"/>
              <v:imagedata o:title=""/>
              <o:lock v:ext="edit" aspectratio="f"/>
              <v:textbox inset="0mm,1.27mm,0mm,1.27mm">
                <w:txbxContent>
                  <w:p>
                    <w:pPr>
                      <w:spacing w:line="240" w:lineRule="exact"/>
                      <w:jc w:val="center"/>
                      <w:rPr>
                        <w:rFonts w:hint="eastAsia" w:eastAsia="宋体"/>
                        <w:sz w:val="21"/>
                        <w:szCs w:val="21"/>
                      </w:rPr>
                    </w:pPr>
                    <w:r>
                      <w:rPr>
                        <w:rFonts w:hint="eastAsia" w:hAnsi="宋体" w:eastAsia="宋体"/>
                        <w:sz w:val="21"/>
                        <w:szCs w:val="21"/>
                      </w:rPr>
                      <w:t>现场处置方案</w:t>
                    </w:r>
                  </w:p>
                </w:txbxContent>
              </v:textbox>
            </v:rect>
            <v:line id="_x0000_s8477" o:spid="_x0000_s8477" o:spt="20" style="position:absolute;left:6962;top:8176;height:624;width:1;" filled="f" stroked="t" coordsize="21600,21600">
              <v:path arrowok="t"/>
              <v:fill on="f" focussize="0,0"/>
              <v:stroke color="#000000" endarrow="block"/>
              <v:imagedata o:title=""/>
              <o:lock v:ext="edit" aspectratio="f"/>
            </v:line>
            <v:rect id="_x0000_s8478" o:spid="_x0000_s8478" o:spt="1" style="position:absolute;left:6242;top:8800;height:468;width:1800;" fillcolor="#FFFFFF" filled="t" stroked="t" coordsize="21600,21600">
              <v:path/>
              <v:fill on="t" color2="#FFFFFF" focussize="0,0"/>
              <v:stroke color="#000000" joinstyle="miter" dashstyle="dash"/>
              <v:imagedata o:title=""/>
              <o:lock v:ext="edit" aspectratio="f"/>
              <v:textbox inset="0mm,1.27mm,0mm,1.27mm">
                <w:txbxContent>
                  <w:p>
                    <w:pPr>
                      <w:spacing w:line="240" w:lineRule="exact"/>
                      <w:jc w:val="center"/>
                      <w:rPr>
                        <w:rFonts w:hint="eastAsia" w:eastAsia="宋体"/>
                        <w:sz w:val="21"/>
                        <w:szCs w:val="21"/>
                      </w:rPr>
                    </w:pPr>
                    <w:r>
                      <w:rPr>
                        <w:rFonts w:hint="eastAsia" w:hAnsi="宋体" w:eastAsia="宋体"/>
                        <w:sz w:val="21"/>
                        <w:szCs w:val="21"/>
                      </w:rPr>
                      <w:t>公司内应急预案</w:t>
                    </w:r>
                  </w:p>
                </w:txbxContent>
              </v:textbox>
            </v:rect>
            <v:line id="_x0000_s8479" o:spid="_x0000_s8479" o:spt="20" style="position:absolute;left:9122;top:8176;height:624;width:1;" filled="f" stroked="t" coordsize="21600,21600">
              <v:path arrowok="t"/>
              <v:fill on="f" focussize="0,0"/>
              <v:stroke color="#000000" endarrow="block"/>
              <v:imagedata o:title=""/>
              <o:lock v:ext="edit" aspectratio="f"/>
            </v:line>
            <v:rect id="_x0000_s8480" o:spid="_x0000_s8480" o:spt="1" style="position:absolute;left:8402;top:8800;height:468;width:1800;" fillcolor="#FFFFFF" filled="t" stroked="t" coordsize="21600,21600">
              <v:path/>
              <v:fill on="t" color2="#FFFFFF" focussize="0,0"/>
              <v:stroke color="#000000" joinstyle="miter" dashstyle="dash"/>
              <v:imagedata o:title=""/>
              <o:lock v:ext="edit" aspectratio="f"/>
              <v:textbox inset="0mm,1.27mm,0mm,1.27mm">
                <w:txbxContent>
                  <w:p>
                    <w:pPr>
                      <w:spacing w:line="240" w:lineRule="exact"/>
                      <w:jc w:val="center"/>
                      <w:rPr>
                        <w:rFonts w:hint="eastAsia" w:eastAsia="宋体"/>
                        <w:sz w:val="21"/>
                        <w:szCs w:val="21"/>
                      </w:rPr>
                    </w:pPr>
                    <w:r>
                      <w:rPr>
                        <w:rFonts w:hint="eastAsia" w:hAnsi="宋体" w:eastAsia="宋体"/>
                        <w:sz w:val="21"/>
                        <w:szCs w:val="21"/>
                      </w:rPr>
                      <w:t>政府应急预案</w:t>
                    </w:r>
                  </w:p>
                </w:txbxContent>
              </v:textbox>
            </v:rect>
            <v:line id="_x0000_s8481" o:spid="_x0000_s8481" o:spt="20" style="position:absolute;left:4622;top:9268;height:624;width:0;" filled="f" stroked="t" coordsize="21600,21600">
              <v:path arrowok="t"/>
              <v:fill on="f" focussize="0,0"/>
              <v:stroke color="#000000" endarrow="block"/>
              <v:imagedata o:title=""/>
              <o:lock v:ext="edit" aspectratio="f"/>
            </v:line>
            <v:shape id="_x0000_s8482" o:spid="_x0000_s8482" o:spt="4" type="#_x0000_t4" style="position:absolute;left:3826;top:9925;height:903;width:1696;" fillcolor="#FFFFFF" filled="t" stroked="t" coordsize="21600,21600">
              <v:path/>
              <v:fill on="t" color2="#FFFFFF" focussize="0,0"/>
              <v:stroke color="#000000" joinstyle="miter"/>
              <v:imagedata o:title=""/>
              <o:lock v:ext="edit" aspectratio="f"/>
            </v:shape>
            <v:rect id="_x0000_s8483" o:spid="_x0000_s8483" o:spt="1" style="position:absolute;left:4066;top:10072;height:675;width:1260;" fillcolor="#FFFFFF" filled="t" stroked="f" coordsize="21600,21600">
              <v:path/>
              <v:fill on="t" color2="#FFFFFF" opacity="0f" focussize="0,0"/>
              <v:stroke on="f"/>
              <v:imagedata o:title=""/>
              <o:lock v:ext="edit" aspectratio="f"/>
              <v:textbox>
                <w:txbxContent>
                  <w:p>
                    <w:pPr>
                      <w:spacing w:line="240" w:lineRule="auto"/>
                      <w:rPr>
                        <w:szCs w:val="21"/>
                      </w:rPr>
                    </w:pPr>
                    <w:r>
                      <w:rPr>
                        <w:rFonts w:hint="eastAsia" w:ascii="宋体" w:hAnsi="宋体" w:eastAsia="宋体"/>
                        <w:sz w:val="21"/>
                        <w:szCs w:val="21"/>
                      </w:rPr>
                      <w:t>自主处置</w:t>
                    </w:r>
                  </w:p>
                </w:txbxContent>
              </v:textbox>
            </v:rect>
            <v:line id="_x0000_s8484" o:spid="_x0000_s8484" o:spt="20" style="position:absolute;left:5522;top:10360;height:0;width:360;" filled="f" stroked="t" coordsize="21600,21600">
              <v:path arrowok="t"/>
              <v:fill on="f" focussize="0,0"/>
              <v:stroke color="#000000"/>
              <v:imagedata o:title=""/>
              <o:lock v:ext="edit" aspectratio="f"/>
            </v:line>
            <v:line id="_x0000_s8485" o:spid="_x0000_s8485" o:spt="20" style="position:absolute;left:5882;top:7864;flip:y;height:2496;width:0;" filled="f" stroked="t" coordsize="21600,21600">
              <v:path arrowok="t"/>
              <v:fill on="f" focussize="0,0"/>
              <v:stroke color="#000000"/>
              <v:imagedata o:title=""/>
              <o:lock v:ext="edit" aspectratio="f"/>
            </v:line>
            <v:line id="_x0000_s8486" o:spid="_x0000_s8486" o:spt="20" style="position:absolute;left:5882;top:7864;height:0;width:360;" filled="f" stroked="t" coordsize="21600,21600">
              <v:path arrowok="t"/>
              <v:fill on="f" focussize="0,0"/>
              <v:stroke color="#000000" endarrow="block"/>
              <v:imagedata o:title=""/>
              <o:lock v:ext="edit" aspectratio="f"/>
            </v:line>
            <v:rect id="_x0000_s8487" o:spid="_x0000_s8487" o:spt="1" style="position:absolute;left:5522;top:9892;height:468;width:720;" fillcolor="#FFFFFF" filled="t" stroked="f" coordsize="21600,21600">
              <v:path/>
              <v:fill on="t" color2="#FFFFFF" opacity="0f" focussize="0,0"/>
              <v:stroke on="f"/>
              <v:imagedata o:title=""/>
              <o:lock v:ext="edit" aspectratio="f"/>
              <v:textbox>
                <w:txbxContent>
                  <w:p>
                    <w:pPr>
                      <w:spacing w:line="240" w:lineRule="auto"/>
                      <w:rPr>
                        <w:szCs w:val="21"/>
                      </w:rPr>
                    </w:pPr>
                    <w:r>
                      <w:rPr>
                        <w:rFonts w:hint="eastAsia" w:ascii="宋体" w:hAnsi="宋体" w:eastAsia="宋体"/>
                        <w:sz w:val="21"/>
                        <w:szCs w:val="21"/>
                      </w:rPr>
                      <w:t>NO</w:t>
                    </w:r>
                  </w:p>
                </w:txbxContent>
              </v:textbox>
            </v:rect>
            <v:line id="_x0000_s8488" o:spid="_x0000_s8488" o:spt="20" style="position:absolute;left:4622;top:10828;height:624;width:0;" filled="f" stroked="t" coordsize="21600,21600">
              <v:path arrowok="t"/>
              <v:fill on="f" focussize="0,0"/>
              <v:stroke color="#000000" endarrow="block"/>
              <v:imagedata o:title=""/>
              <o:lock v:ext="edit" aspectratio="f"/>
            </v:line>
            <v:rect id="_x0000_s8489" o:spid="_x0000_s8489" o:spt="1" style="position:absolute;left:4442;top:10828;height:468;width:720;" fillcolor="#FFFFFF" filled="t" stroked="f" coordsize="21600,21600">
              <v:path/>
              <v:fill on="t" color2="#FFFFFF" opacity="0f" focussize="0,0"/>
              <v:stroke on="f"/>
              <v:imagedata o:title=""/>
              <o:lock v:ext="edit" aspectratio="f"/>
              <v:textbox>
                <w:txbxContent>
                  <w:p>
                    <w:pPr>
                      <w:spacing w:line="240" w:lineRule="auto"/>
                      <w:rPr>
                        <w:szCs w:val="21"/>
                      </w:rPr>
                    </w:pPr>
                    <w:r>
                      <w:rPr>
                        <w:rFonts w:hint="eastAsia" w:ascii="宋体" w:hAnsi="宋体" w:eastAsia="宋体"/>
                        <w:sz w:val="21"/>
                        <w:szCs w:val="21"/>
                      </w:rPr>
                      <w:t>YES</w:t>
                    </w:r>
                  </w:p>
                </w:txbxContent>
              </v:textbox>
            </v:rect>
            <v:rect id="_x0000_s8490" o:spid="_x0000_s8490" o:spt="1" style="position:absolute;left:4082;top:11452;height:468;width:1440;" fillcolor="#FFFFFF" filled="t" stroked="t" coordsize="21600,21600">
              <v:path/>
              <v:fill on="t" color2="#FFFFFF" focussize="0,0"/>
              <v:stroke color="#000000" joinstyle="miter"/>
              <v:imagedata o:title=""/>
              <o:lock v:ext="edit" aspectratio="f"/>
              <v:textbox inset="0mm,1.27mm,0mm,1.27mm">
                <w:txbxContent>
                  <w:p>
                    <w:pPr>
                      <w:spacing w:line="240" w:lineRule="exact"/>
                      <w:jc w:val="center"/>
                      <w:rPr>
                        <w:rFonts w:hint="eastAsia" w:eastAsia="宋体"/>
                        <w:sz w:val="21"/>
                        <w:szCs w:val="21"/>
                      </w:rPr>
                    </w:pPr>
                    <w:r>
                      <w:rPr>
                        <w:rFonts w:hint="eastAsia" w:hAnsi="宋体" w:eastAsia="宋体"/>
                        <w:sz w:val="21"/>
                        <w:szCs w:val="21"/>
                      </w:rPr>
                      <w:t>应急行动</w:t>
                    </w:r>
                  </w:p>
                </w:txbxContent>
              </v:textbox>
            </v:rect>
            <v:line id="_x0000_s8491" o:spid="_x0000_s8491" o:spt="20" style="position:absolute;left:3182;top:11764;height:0;width:900;" filled="f" stroked="t" coordsize="21600,21600">
              <v:path arrowok="t"/>
              <v:fill on="f" focussize="0,0"/>
              <v:stroke color="#000000" endarrow="block"/>
              <v:imagedata o:title=""/>
              <o:lock v:ext="edit" aspectratio="f"/>
            </v:line>
            <v:rect id="_x0000_s8492" o:spid="_x0000_s8492" o:spt="1" style="position:absolute;left:1382;top:11452;height:468;width:1800;" fillcolor="#FFFFFF" filled="t" stroked="t" coordsize="21600,21600">
              <v:path/>
              <v:fill on="t" color2="#FFFFFF" focussize="0,0"/>
              <v:stroke color="#000000" joinstyle="miter"/>
              <v:imagedata o:title=""/>
              <o:lock v:ext="edit" aspectratio="f"/>
              <v:textbox inset="0mm,1.27mm,0mm,1.27mm">
                <w:txbxContent>
                  <w:p>
                    <w:pPr>
                      <w:spacing w:line="240" w:lineRule="exact"/>
                      <w:jc w:val="center"/>
                      <w:rPr>
                        <w:rFonts w:hint="eastAsia" w:eastAsia="宋体"/>
                        <w:sz w:val="21"/>
                        <w:szCs w:val="21"/>
                      </w:rPr>
                    </w:pPr>
                    <w:r>
                      <w:rPr>
                        <w:rFonts w:hint="eastAsia" w:hAnsi="宋体" w:eastAsia="宋体"/>
                        <w:sz w:val="21"/>
                        <w:szCs w:val="21"/>
                      </w:rPr>
                      <w:t>班组应急人员</w:t>
                    </w:r>
                  </w:p>
                </w:txbxContent>
              </v:textbox>
            </v:rect>
            <v:line id="_x0000_s8493" o:spid="_x0000_s8493" o:spt="20" style="position:absolute;left:4622;top:11920;height:624;width:0;" filled="f" stroked="t" coordsize="21600,21600">
              <v:path arrowok="t"/>
              <v:fill on="f" focussize="0,0"/>
              <v:stroke color="#000000" endarrow="block"/>
              <v:imagedata o:title=""/>
              <o:lock v:ext="edit" aspectratio="f"/>
            </v:line>
            <v:rect id="_x0000_s8494" o:spid="_x0000_s8494" o:spt="1" style="position:absolute;left:3902;top:12544;height:468;width:1800;" fillcolor="#FFFFFF" filled="t" stroked="t" coordsize="21600,21600">
              <v:path/>
              <v:fill on="t" color2="#FFFFFF" focussize="0,0"/>
              <v:stroke color="#000000" joinstyle="miter"/>
              <v:imagedata o:title=""/>
              <o:lock v:ext="edit" aspectratio="f"/>
              <v:textbox inset="0mm,1.27mm,0mm,1.27mm">
                <w:txbxContent>
                  <w:p>
                    <w:pPr>
                      <w:spacing w:line="240" w:lineRule="exact"/>
                      <w:jc w:val="center"/>
                      <w:rPr>
                        <w:rFonts w:hint="eastAsia" w:eastAsia="宋体"/>
                        <w:sz w:val="21"/>
                        <w:szCs w:val="21"/>
                      </w:rPr>
                    </w:pPr>
                    <w:r>
                      <w:rPr>
                        <w:rFonts w:hint="eastAsia" w:hAnsi="宋体" w:eastAsia="宋体"/>
                        <w:sz w:val="21"/>
                        <w:szCs w:val="21"/>
                      </w:rPr>
                      <w:t>总结分析与预防</w:t>
                    </w:r>
                  </w:p>
                </w:txbxContent>
              </v:textbox>
            </v:rect>
            <v:line id="_x0000_s8495" o:spid="_x0000_s8495" o:spt="20" style="position:absolute;left:6962;top:9268;height:624;width:1;" filled="f" stroked="t" coordsize="21600,21600">
              <v:path arrowok="t"/>
              <v:fill on="f" focussize="0,0"/>
              <v:stroke color="#000000" endarrow="block"/>
              <v:imagedata o:title=""/>
              <o:lock v:ext="edit" aspectratio="f"/>
            </v:line>
            <v:shape id="_x0000_s8496" o:spid="_x0000_s8496" o:spt="4" type="#_x0000_t4" style="position:absolute;left:6166;top:9925;height:903;width:1696;" fillcolor="#FFFFFF" filled="t" stroked="t" coordsize="21600,21600">
              <v:path/>
              <v:fill on="t" color2="#FFFFFF" focussize="0,0"/>
              <v:stroke color="#000000" joinstyle="miter"/>
              <v:imagedata o:title=""/>
              <o:lock v:ext="edit" aspectratio="f"/>
            </v:shape>
            <v:rect id="_x0000_s8497" o:spid="_x0000_s8497" o:spt="1" style="position:absolute;left:6406;top:10072;height:675;width:1276;" fillcolor="#FFFFFF" filled="t" stroked="f" coordsize="21600,21600">
              <v:path/>
              <v:fill on="t" color2="#FFFFFF" opacity="0f" focussize="0,0"/>
              <v:stroke on="f"/>
              <v:imagedata o:title=""/>
              <o:lock v:ext="edit" aspectratio="f"/>
              <v:textbox>
                <w:txbxContent>
                  <w:p>
                    <w:pPr>
                      <w:spacing w:line="240" w:lineRule="auto"/>
                      <w:rPr>
                        <w:szCs w:val="21"/>
                      </w:rPr>
                    </w:pPr>
                    <w:r>
                      <w:rPr>
                        <w:rFonts w:hint="eastAsia" w:ascii="宋体" w:hAnsi="宋体" w:eastAsia="宋体"/>
                        <w:sz w:val="21"/>
                        <w:szCs w:val="21"/>
                      </w:rPr>
                      <w:t>自主处置</w:t>
                    </w:r>
                  </w:p>
                </w:txbxContent>
              </v:textbox>
            </v:rect>
            <v:line id="_x0000_s8498" o:spid="_x0000_s8498" o:spt="20" style="position:absolute;left:7862;top:10360;height:1;width:360;" filled="f" stroked="t" coordsize="21600,21600">
              <v:path arrowok="t"/>
              <v:fill on="f" focussize="0,0"/>
              <v:stroke color="#000000"/>
              <v:imagedata o:title=""/>
              <o:lock v:ext="edit" aspectratio="f"/>
            </v:line>
            <v:rect id="_x0000_s8499" o:spid="_x0000_s8499" o:spt="1" style="position:absolute;left:7862;top:9892;height:468;width:720;" fillcolor="#FFFFFF" filled="t" stroked="f" coordsize="21600,21600">
              <v:path/>
              <v:fill on="t" color2="#FFFFFF" opacity="0f" focussize="0,0"/>
              <v:stroke on="f"/>
              <v:imagedata o:title=""/>
              <o:lock v:ext="edit" aspectratio="f"/>
              <v:textbox>
                <w:txbxContent>
                  <w:p>
                    <w:pPr>
                      <w:spacing w:line="240" w:lineRule="auto"/>
                      <w:rPr>
                        <w:szCs w:val="21"/>
                      </w:rPr>
                    </w:pPr>
                    <w:r>
                      <w:rPr>
                        <w:rFonts w:hint="eastAsia" w:ascii="宋体" w:hAnsi="宋体" w:eastAsia="宋体"/>
                        <w:sz w:val="21"/>
                        <w:szCs w:val="21"/>
                      </w:rPr>
                      <w:t>NO</w:t>
                    </w:r>
                  </w:p>
                </w:txbxContent>
              </v:textbox>
            </v:rect>
            <v:line id="_x0000_s8500" o:spid="_x0000_s8500" o:spt="20" style="position:absolute;left:6962;top:10828;height:624;width:1;" filled="f" stroked="t" coordsize="21600,21600">
              <v:path arrowok="t"/>
              <v:fill on="f" focussize="0,0"/>
              <v:stroke color="#000000" endarrow="block"/>
              <v:imagedata o:title=""/>
              <o:lock v:ext="edit" aspectratio="f"/>
            </v:line>
            <v:rect id="_x0000_s8501" o:spid="_x0000_s8501" o:spt="1" style="position:absolute;left:6782;top:10828;height:468;width:720;" fillcolor="#FFFFFF" filled="t" stroked="f" coordsize="21600,21600">
              <v:path/>
              <v:fill on="t" color2="#FFFFFF" opacity="0f" focussize="0,0"/>
              <v:stroke on="f"/>
              <v:imagedata o:title=""/>
              <o:lock v:ext="edit" aspectratio="f"/>
              <v:textbox>
                <w:txbxContent>
                  <w:p>
                    <w:pPr>
                      <w:spacing w:line="240" w:lineRule="auto"/>
                      <w:rPr>
                        <w:szCs w:val="21"/>
                      </w:rPr>
                    </w:pPr>
                    <w:r>
                      <w:rPr>
                        <w:rFonts w:hint="eastAsia" w:ascii="宋体" w:hAnsi="宋体" w:eastAsia="宋体"/>
                        <w:sz w:val="21"/>
                        <w:szCs w:val="21"/>
                      </w:rPr>
                      <w:t>YES</w:t>
                    </w:r>
                  </w:p>
                </w:txbxContent>
              </v:textbox>
            </v:rect>
            <v:line id="_x0000_s8502" o:spid="_x0000_s8502" o:spt="20" style="position:absolute;left:8222;top:7864;flip:y;height:2496;width:0;" filled="f" stroked="t" coordsize="21600,21600">
              <v:path arrowok="t"/>
              <v:fill on="f" focussize="0,0"/>
              <v:stroke color="#000000"/>
              <v:imagedata o:title=""/>
              <o:lock v:ext="edit" aspectratio="f"/>
            </v:line>
            <v:line id="_x0000_s8503" o:spid="_x0000_s8503" o:spt="20" style="position:absolute;left:8222;top:7864;height:0;width:180;" filled="f" stroked="t" coordsize="21600,21600">
              <v:path arrowok="t"/>
              <v:fill on="f" focussize="0,0"/>
              <v:stroke color="#000000" endarrow="block"/>
              <v:imagedata o:title=""/>
              <o:lock v:ext="edit" aspectratio="f"/>
            </v:line>
            <v:rect id="_x0000_s8504" o:spid="_x0000_s8504" o:spt="1" style="position:absolute;left:6242;top:11452;height:468;width:1440;" fillcolor="#FFFFFF" filled="t" stroked="t" coordsize="21600,21600">
              <v:path/>
              <v:fill on="t" color2="#FFFFFF" focussize="0,0"/>
              <v:stroke color="#000000" joinstyle="miter"/>
              <v:imagedata o:title=""/>
              <o:lock v:ext="edit" aspectratio="f"/>
              <v:textbox inset="0mm,1.27mm,0mm,1.27mm">
                <w:txbxContent>
                  <w:p>
                    <w:pPr>
                      <w:spacing w:line="240" w:lineRule="exact"/>
                      <w:jc w:val="center"/>
                      <w:rPr>
                        <w:rFonts w:hint="eastAsia" w:eastAsia="宋体"/>
                        <w:sz w:val="21"/>
                        <w:szCs w:val="21"/>
                      </w:rPr>
                    </w:pPr>
                    <w:r>
                      <w:rPr>
                        <w:rFonts w:hint="eastAsia" w:hAnsi="宋体" w:eastAsia="宋体"/>
                        <w:sz w:val="21"/>
                        <w:szCs w:val="21"/>
                      </w:rPr>
                      <w:t>各应急小组</w:t>
                    </w:r>
                  </w:p>
                </w:txbxContent>
              </v:textbox>
            </v:rect>
            <v:line id="_x0000_s8505" o:spid="_x0000_s8505" o:spt="20" style="position:absolute;left:6962;top:11920;height:624;width:0;" filled="f" stroked="t" coordsize="21600,21600">
              <v:path arrowok="t"/>
              <v:fill on="f" focussize="0,0"/>
              <v:stroke color="#000000" endarrow="block"/>
              <v:imagedata o:title=""/>
              <o:lock v:ext="edit" aspectratio="f"/>
            </v:line>
            <v:rect id="_x0000_s8506" o:spid="_x0000_s8506" o:spt="1" style="position:absolute;left:6242;top:12544;height:468;width:1440;" fillcolor="#FFFFFF" filled="t" stroked="t" coordsize="21600,21600">
              <v:path/>
              <v:fill on="t" color2="#FFFFFF" focussize="0,0"/>
              <v:stroke color="#000000" joinstyle="miter"/>
              <v:imagedata o:title=""/>
              <o:lock v:ext="edit" aspectratio="f"/>
              <v:textbox inset="0mm,1.27mm,0mm,1.27mm">
                <w:txbxContent>
                  <w:p>
                    <w:pPr>
                      <w:spacing w:line="240" w:lineRule="exact"/>
                      <w:jc w:val="center"/>
                      <w:rPr>
                        <w:rFonts w:hint="eastAsia" w:eastAsia="宋体"/>
                        <w:sz w:val="21"/>
                        <w:szCs w:val="21"/>
                      </w:rPr>
                    </w:pPr>
                    <w:r>
                      <w:rPr>
                        <w:rFonts w:hint="eastAsia" w:hAnsi="宋体" w:eastAsia="宋体"/>
                        <w:sz w:val="21"/>
                        <w:szCs w:val="21"/>
                      </w:rPr>
                      <w:t>应急行动</w:t>
                    </w:r>
                  </w:p>
                </w:txbxContent>
              </v:textbox>
            </v:rect>
            <v:line id="_x0000_s8507" o:spid="_x0000_s8507" o:spt="20" style="position:absolute;left:6962;top:13012;height:468;width:1;" filled="f" stroked="t" coordsize="21600,21600">
              <v:path arrowok="t"/>
              <v:fill on="f" focussize="0,0"/>
              <v:stroke color="#000000" endarrow="block"/>
              <v:imagedata o:title=""/>
              <o:lock v:ext="edit" aspectratio="f"/>
            </v:line>
            <v:rect id="_x0000_s8508" o:spid="_x0000_s8508" o:spt="1" style="position:absolute;left:6242;top:13480;height:468;width:1440;" fillcolor="#FFFFFF" filled="t" stroked="t" coordsize="21600,21600">
              <v:path/>
              <v:fill on="t" color2="#FFFFFF" focussize="0,0"/>
              <v:stroke color="#000000" joinstyle="miter"/>
              <v:imagedata o:title=""/>
              <o:lock v:ext="edit" aspectratio="f"/>
              <v:textbox inset="0mm,1.27mm,0mm,1.27mm">
                <w:txbxContent>
                  <w:p>
                    <w:pPr>
                      <w:spacing w:line="240" w:lineRule="exact"/>
                      <w:jc w:val="center"/>
                      <w:rPr>
                        <w:rFonts w:hint="eastAsia" w:eastAsia="宋体"/>
                        <w:sz w:val="21"/>
                        <w:szCs w:val="21"/>
                      </w:rPr>
                    </w:pPr>
                    <w:r>
                      <w:rPr>
                        <w:rFonts w:hint="eastAsia" w:hAnsi="宋体" w:eastAsia="宋体"/>
                        <w:sz w:val="21"/>
                        <w:szCs w:val="21"/>
                      </w:rPr>
                      <w:t>应急结束</w:t>
                    </w:r>
                  </w:p>
                </w:txbxContent>
              </v:textbox>
            </v:rect>
            <v:line id="_x0000_s8509" o:spid="_x0000_s8509" o:spt="20" style="position:absolute;left:6962;top:13948;height:468;width:1;" filled="f" stroked="t" coordsize="21600,21600">
              <v:path arrowok="t"/>
              <v:fill on="f" focussize="0,0"/>
              <v:stroke color="#000000" endarrow="block"/>
              <v:imagedata o:title=""/>
              <o:lock v:ext="edit" aspectratio="f"/>
            </v:line>
            <v:rect id="_x0000_s8510" o:spid="_x0000_s8510" o:spt="1" style="position:absolute;left:6242;top:14416;height:468;width:1440;" fillcolor="#FFFFFF" filled="t" stroked="t" coordsize="21600,21600">
              <v:path/>
              <v:fill on="t" color2="#FFFFFF" focussize="0,0"/>
              <v:stroke color="#000000" joinstyle="miter"/>
              <v:imagedata o:title=""/>
              <o:lock v:ext="edit" aspectratio="f"/>
              <v:textbox inset="0mm,1.27mm,0mm,1.27mm">
                <w:txbxContent>
                  <w:p>
                    <w:pPr>
                      <w:spacing w:line="240" w:lineRule="exact"/>
                      <w:jc w:val="center"/>
                      <w:rPr>
                        <w:rFonts w:hint="eastAsia" w:eastAsia="宋体"/>
                        <w:sz w:val="21"/>
                        <w:szCs w:val="21"/>
                      </w:rPr>
                    </w:pPr>
                    <w:r>
                      <w:rPr>
                        <w:rFonts w:hint="eastAsia" w:hAnsi="宋体" w:eastAsia="宋体"/>
                        <w:sz w:val="21"/>
                        <w:szCs w:val="21"/>
                      </w:rPr>
                      <w:t>后期处置</w:t>
                    </w:r>
                  </w:p>
                </w:txbxContent>
              </v:textbox>
            </v:rect>
            <v:line id="_x0000_s8511" o:spid="_x0000_s8511" o:spt="20" style="position:absolute;left:6962;top:14884;height:468;width:1;" filled="f" stroked="t" coordsize="21600,21600">
              <v:path arrowok="t"/>
              <v:fill on="f" focussize="0,0"/>
              <v:stroke color="#000000" endarrow="block"/>
              <v:imagedata o:title=""/>
              <o:lock v:ext="edit" aspectratio="f"/>
            </v:line>
            <v:rect id="_x0000_s8512" o:spid="_x0000_s8512" o:spt="1" style="position:absolute;left:6242;top:15352;height:468;width:1440;" fillcolor="#FFFFFF" filled="t" stroked="t" coordsize="21600,21600">
              <v:path/>
              <v:fill on="t" color2="#FFFFFF" focussize="0,0"/>
              <v:stroke color="#000000" joinstyle="miter"/>
              <v:imagedata o:title=""/>
              <o:lock v:ext="edit" aspectratio="f"/>
              <v:textbox inset="0mm,1.27mm,0mm,1.27mm">
                <w:txbxContent>
                  <w:p>
                    <w:pPr>
                      <w:spacing w:line="240" w:lineRule="exact"/>
                      <w:jc w:val="center"/>
                      <w:rPr>
                        <w:rFonts w:hint="eastAsia" w:eastAsia="宋体"/>
                        <w:sz w:val="21"/>
                        <w:szCs w:val="21"/>
                      </w:rPr>
                    </w:pPr>
                    <w:r>
                      <w:rPr>
                        <w:rFonts w:hint="eastAsia" w:hAnsi="宋体" w:eastAsia="宋体"/>
                        <w:sz w:val="21"/>
                        <w:szCs w:val="21"/>
                      </w:rPr>
                      <w:t>总结评审</w:t>
                    </w:r>
                  </w:p>
                </w:txbxContent>
              </v:textbox>
            </v:rect>
            <v:line id="_x0000_s8513" o:spid="_x0000_s8513" o:spt="20" style="position:absolute;left:5537;top:13771;flip:x;height:0;width:720;" filled="f" stroked="t" coordsize="21600,21600">
              <v:path arrowok="t"/>
              <v:fill on="f" focussize="0,0"/>
              <v:stroke color="#000000" endarrow="block"/>
              <v:imagedata o:title=""/>
              <o:lock v:ext="edit" aspectratio="f"/>
            </v:line>
            <v:rect id="_x0000_s8514" o:spid="_x0000_s8514" o:spt="1" style="position:absolute;left:4022;top:13495;height:468;width:1440;" fillcolor="#FFFFFF" filled="t" stroked="t" coordsize="21600,21600">
              <v:path/>
              <v:fill on="t" color2="#FFFFFF" focussize="0,0"/>
              <v:stroke color="#000000" joinstyle="miter"/>
              <v:imagedata o:title=""/>
              <o:lock v:ext="edit" aspectratio="f"/>
              <v:textbox inset="0mm,1.27mm,0mm,1.27mm">
                <w:txbxContent>
                  <w:p>
                    <w:pPr>
                      <w:spacing w:line="240" w:lineRule="exact"/>
                      <w:jc w:val="center"/>
                      <w:rPr>
                        <w:rFonts w:hint="eastAsia" w:eastAsia="宋体"/>
                        <w:sz w:val="21"/>
                        <w:szCs w:val="21"/>
                      </w:rPr>
                    </w:pPr>
                    <w:r>
                      <w:rPr>
                        <w:rFonts w:hint="eastAsia" w:hAnsi="宋体" w:eastAsia="宋体"/>
                        <w:sz w:val="21"/>
                        <w:szCs w:val="21"/>
                      </w:rPr>
                      <w:t>解除警戒</w:t>
                    </w:r>
                  </w:p>
                </w:txbxContent>
              </v:textbox>
            </v:rect>
            <v:line id="_x0000_s8515" o:spid="_x0000_s8515" o:spt="20" style="position:absolute;left:7682;top:14572;height:1;width:720;" filled="f" stroked="t" coordsize="21600,21600">
              <v:path arrowok="t"/>
              <v:fill on="f" focussize="0,0"/>
              <v:stroke color="#000000" endarrow="block"/>
              <v:imagedata o:title=""/>
              <o:lock v:ext="edit" aspectratio="f"/>
            </v:line>
            <v:rect id="_x0000_s8516" o:spid="_x0000_s8516" o:spt="1" style="position:absolute;left:8402;top:14260;height:624;width:1980;" fillcolor="#FFFFFF" filled="t" stroked="t" coordsize="21600,21600">
              <v:path/>
              <v:fill on="t" color2="#FFFFFF" focussize="0,0"/>
              <v:stroke color="#000000" joinstyle="miter"/>
              <v:imagedata o:title=""/>
              <o:lock v:ext="edit" aspectratio="f"/>
              <v:textbox inset="0mm,1.27mm,0mm,1.27mm">
                <w:txbxContent>
                  <w:p>
                    <w:pPr>
                      <w:spacing w:line="240" w:lineRule="exact"/>
                      <w:jc w:val="center"/>
                      <w:rPr>
                        <w:rFonts w:hint="eastAsia" w:hAnsi="宋体" w:eastAsia="宋体"/>
                        <w:sz w:val="21"/>
                        <w:szCs w:val="21"/>
                      </w:rPr>
                    </w:pPr>
                    <w:r>
                      <w:rPr>
                        <w:rFonts w:hint="eastAsia" w:hAnsi="宋体" w:eastAsia="宋体"/>
                        <w:sz w:val="21"/>
                        <w:szCs w:val="21"/>
                      </w:rPr>
                      <w:t>现场洗消</w:t>
                    </w:r>
                  </w:p>
                  <w:p>
                    <w:pPr>
                      <w:spacing w:line="240" w:lineRule="exact"/>
                      <w:jc w:val="center"/>
                      <w:rPr>
                        <w:rFonts w:hint="eastAsia" w:eastAsia="宋体"/>
                        <w:sz w:val="21"/>
                        <w:szCs w:val="21"/>
                      </w:rPr>
                    </w:pPr>
                    <w:r>
                      <w:rPr>
                        <w:rFonts w:hint="eastAsia" w:hAnsi="宋体" w:eastAsia="宋体"/>
                        <w:sz w:val="21"/>
                        <w:szCs w:val="21"/>
                      </w:rPr>
                      <w:t>善后处理与调查</w:t>
                    </w:r>
                  </w:p>
                </w:txbxContent>
              </v:textbox>
            </v:rect>
            <v:rect id="_x0000_s8517" o:spid="_x0000_s8517" o:spt="1" style="position:absolute;left:8762;top:10204;height:468;width:1606;" fillcolor="#FFFFFF" filled="t" stroked="t" coordsize="21600,21600">
              <v:path/>
              <v:fill on="t" color2="#FFFFFF" focussize="0,0"/>
              <v:stroke color="#000000" joinstyle="miter"/>
              <v:imagedata o:title=""/>
              <o:lock v:ext="edit" aspectratio="f"/>
              <v:textbox inset="0mm,1.27mm,0mm,1.27mm">
                <w:txbxContent>
                  <w:p>
                    <w:pPr>
                      <w:spacing w:line="240" w:lineRule="exact"/>
                      <w:jc w:val="center"/>
                      <w:rPr>
                        <w:rFonts w:hint="eastAsia" w:eastAsia="宋体"/>
                        <w:sz w:val="21"/>
                        <w:szCs w:val="21"/>
                      </w:rPr>
                    </w:pPr>
                    <w:r>
                      <w:rPr>
                        <w:rFonts w:hint="eastAsia" w:hAnsi="宋体"/>
                        <w:sz w:val="21"/>
                        <w:szCs w:val="21"/>
                        <w:lang w:eastAsia="zh-CN"/>
                      </w:rPr>
                      <w:t>应急指挥部</w:t>
                    </w:r>
                  </w:p>
                </w:txbxContent>
              </v:textbox>
            </v:rect>
            <v:rect id="_x0000_s8518" o:spid="_x0000_s8518" o:spt="1" style="position:absolute;left:8762;top:10672;height:468;width:1605;" fillcolor="#FFFFFF" filled="t" stroked="t" coordsize="21600,21600">
              <v:path/>
              <v:fill on="t" color2="#FFFFFF" focussize="0,0"/>
              <v:stroke color="#000000" joinstyle="miter"/>
              <v:imagedata o:title=""/>
              <o:lock v:ext="edit" aspectratio="f"/>
              <v:textbox inset="0mm,1.27mm,0mm,1.27mm">
                <w:txbxContent>
                  <w:p>
                    <w:pPr>
                      <w:spacing w:line="240" w:lineRule="exact"/>
                      <w:jc w:val="center"/>
                      <w:rPr>
                        <w:rFonts w:hint="eastAsia" w:eastAsia="宋体"/>
                        <w:sz w:val="21"/>
                        <w:szCs w:val="21"/>
                      </w:rPr>
                    </w:pPr>
                    <w:r>
                      <w:rPr>
                        <w:rFonts w:hint="eastAsia" w:hAnsi="宋体"/>
                        <w:sz w:val="21"/>
                        <w:szCs w:val="21"/>
                        <w:lang w:eastAsia="zh-CN"/>
                      </w:rPr>
                      <w:t>应急抢险</w:t>
                    </w:r>
                    <w:r>
                      <w:rPr>
                        <w:rFonts w:hint="eastAsia" w:hAnsi="宋体" w:eastAsia="宋体"/>
                        <w:sz w:val="21"/>
                        <w:szCs w:val="21"/>
                      </w:rPr>
                      <w:t>组</w:t>
                    </w:r>
                  </w:p>
                </w:txbxContent>
              </v:textbox>
            </v:rect>
            <v:rect id="_x0000_s8519" o:spid="_x0000_s8519" o:spt="1" style="position:absolute;left:8762;top:11140;height:468;width:1605;" fillcolor="#FFFFFF" filled="t" stroked="t" coordsize="21600,21600">
              <v:path/>
              <v:fill on="t" color2="#FFFFFF" focussize="0,0"/>
              <v:stroke color="#000000" joinstyle="miter"/>
              <v:imagedata o:title=""/>
              <o:lock v:ext="edit" aspectratio="f"/>
              <v:textbox inset="0mm,1.27mm,0mm,1.27mm">
                <w:txbxContent>
                  <w:p>
                    <w:pPr>
                      <w:spacing w:line="240" w:lineRule="exact"/>
                      <w:jc w:val="center"/>
                      <w:rPr>
                        <w:rFonts w:hint="eastAsia" w:eastAsia="宋体"/>
                        <w:sz w:val="21"/>
                        <w:szCs w:val="21"/>
                      </w:rPr>
                    </w:pPr>
                    <w:r>
                      <w:rPr>
                        <w:rFonts w:hint="eastAsia" w:hAnsi="宋体"/>
                        <w:sz w:val="21"/>
                        <w:szCs w:val="21"/>
                        <w:lang w:eastAsia="zh-CN"/>
                      </w:rPr>
                      <w:t>安全后勤</w:t>
                    </w:r>
                    <w:r>
                      <w:rPr>
                        <w:rFonts w:hint="eastAsia" w:hAnsi="宋体" w:eastAsia="宋体"/>
                        <w:sz w:val="21"/>
                        <w:szCs w:val="21"/>
                      </w:rPr>
                      <w:t>组</w:t>
                    </w:r>
                  </w:p>
                </w:txbxContent>
              </v:textbox>
            </v:rect>
            <v:rect id="_x0000_s8520" o:spid="_x0000_s8520" o:spt="1" style="position:absolute;left:8762;top:11608;height:468;width:1605;" fillcolor="#FFFFFF" filled="t" stroked="t" coordsize="21600,21600">
              <v:path/>
              <v:fill on="t" color2="#FFFFFF" focussize="0,0"/>
              <v:stroke color="#000000" joinstyle="miter"/>
              <v:imagedata o:title=""/>
              <o:lock v:ext="edit" aspectratio="f"/>
              <v:textbox inset="0mm,1.27mm,0mm,1.27mm">
                <w:txbxContent>
                  <w:p>
                    <w:pPr>
                      <w:spacing w:line="240" w:lineRule="exact"/>
                      <w:jc w:val="center"/>
                      <w:rPr>
                        <w:rFonts w:hint="eastAsia" w:eastAsia="宋体"/>
                        <w:sz w:val="21"/>
                        <w:szCs w:val="21"/>
                      </w:rPr>
                    </w:pPr>
                    <w:r>
                      <w:rPr>
                        <w:rFonts w:hint="eastAsia" w:hAnsi="宋体"/>
                        <w:sz w:val="21"/>
                        <w:szCs w:val="21"/>
                        <w:lang w:eastAsia="zh-CN"/>
                      </w:rPr>
                      <w:t>应急监测</w:t>
                    </w:r>
                    <w:r>
                      <w:rPr>
                        <w:rFonts w:hint="eastAsia" w:hAnsi="宋体" w:eastAsia="宋体"/>
                        <w:sz w:val="21"/>
                        <w:szCs w:val="21"/>
                      </w:rPr>
                      <w:t>组</w:t>
                    </w:r>
                  </w:p>
                </w:txbxContent>
              </v:textbox>
            </v:rect>
            <v:rect id="_x0000_s8521" o:spid="_x0000_s8521" o:spt="1" style="position:absolute;left:8762;top:12076;height:468;width:1605;" fillcolor="#FFFFFF" filled="t" stroked="t" coordsize="21600,21600">
              <v:path/>
              <v:fill on="t" color2="#FFFFFF" focussize="0,0"/>
              <v:stroke color="#000000" joinstyle="miter"/>
              <v:imagedata o:title=""/>
              <o:lock v:ext="edit" aspectratio="f"/>
              <v:textbox inset="0mm,1.27mm,0mm,1.27mm">
                <w:txbxContent>
                  <w:p>
                    <w:pPr>
                      <w:spacing w:line="240" w:lineRule="exact"/>
                      <w:jc w:val="center"/>
                      <w:rPr>
                        <w:rFonts w:hint="eastAsia" w:eastAsia="宋体"/>
                        <w:sz w:val="21"/>
                        <w:szCs w:val="21"/>
                      </w:rPr>
                    </w:pPr>
                    <w:r>
                      <w:rPr>
                        <w:rFonts w:hint="eastAsia" w:hAnsi="宋体"/>
                        <w:sz w:val="21"/>
                        <w:szCs w:val="21"/>
                        <w:lang w:eastAsia="zh-CN"/>
                      </w:rPr>
                      <w:t>信息传输组</w:t>
                    </w:r>
                  </w:p>
                </w:txbxContent>
              </v:textbox>
            </v:rect>
            <v:line id="_x0000_s8523" o:spid="_x0000_s8523" o:spt="20" style="position:absolute;left:7682;top:11608;flip:x;height:0;width:1080;" filled="f" stroked="t" coordsize="21600,21600">
              <v:path arrowok="t"/>
              <v:fill on="f" focussize="0,0"/>
              <v:stroke color="#000000" endarrow="block"/>
              <v:imagedata o:title=""/>
              <o:lock v:ext="edit" aspectratio="f"/>
            </v:line>
            <w10:wrap type="none"/>
            <w10:anchorlock/>
          </v:group>
        </w:pict>
      </w:r>
    </w:p>
    <w:p>
      <w:pPr>
        <w:pStyle w:val="3"/>
        <w:spacing w:line="480" w:lineRule="exact"/>
        <w:rPr>
          <w:sz w:val="28"/>
        </w:rPr>
        <w:sectPr>
          <w:pgSz w:w="11906" w:h="16838"/>
          <w:pgMar w:top="1418" w:right="1418" w:bottom="1418" w:left="1418" w:header="851" w:footer="959" w:gutter="0"/>
          <w:pgBorders>
            <w:top w:val="none" w:sz="0" w:space="0"/>
            <w:left w:val="none" w:sz="0" w:space="0"/>
            <w:bottom w:val="none" w:sz="0" w:space="0"/>
            <w:right w:val="none" w:sz="0" w:space="0"/>
          </w:pgBorders>
          <w:pgNumType w:fmt="decimal"/>
          <w:cols w:space="720" w:num="1"/>
          <w:docGrid w:linePitch="312" w:charSpace="0"/>
        </w:sectPr>
      </w:pPr>
      <w:bookmarkStart w:id="429" w:name="_Toc365013652"/>
    </w:p>
    <w:p>
      <w:pPr>
        <w:pStyle w:val="3"/>
        <w:spacing w:line="480" w:lineRule="exact"/>
        <w:rPr>
          <w:sz w:val="28"/>
        </w:rPr>
      </w:pPr>
      <w:bookmarkStart w:id="430" w:name="_Toc6253"/>
      <w:bookmarkStart w:id="431" w:name="_Toc19396"/>
      <w:bookmarkStart w:id="432" w:name="_Toc18324"/>
      <w:bookmarkStart w:id="433" w:name="_Toc21674"/>
      <w:r>
        <w:rPr>
          <w:sz w:val="28"/>
        </w:rPr>
        <w:t>附件2应急信息接收、处理、上报记录表</w:t>
      </w:r>
      <w:bookmarkEnd w:id="429"/>
      <w:bookmarkEnd w:id="430"/>
      <w:bookmarkEnd w:id="431"/>
      <w:bookmarkEnd w:id="432"/>
      <w:bookmarkEnd w:id="433"/>
    </w:p>
    <w:tbl>
      <w:tblPr>
        <w:tblStyle w:val="42"/>
        <w:tblW w:w="9468"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548"/>
        <w:gridCol w:w="2160"/>
        <w:gridCol w:w="1080"/>
        <w:gridCol w:w="180"/>
        <w:gridCol w:w="1080"/>
        <w:gridCol w:w="342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63" w:hRule="atLeast"/>
          <w:jc w:val="center"/>
        </w:trPr>
        <w:tc>
          <w:tcPr>
            <w:tcW w:w="9468" w:type="dxa"/>
            <w:gridSpan w:val="6"/>
            <w:tcBorders>
              <w:top w:val="nil"/>
              <w:left w:val="nil"/>
              <w:bottom w:val="single" w:color="auto" w:sz="12" w:space="0"/>
              <w:right w:val="nil"/>
            </w:tcBorders>
            <w:vAlign w:val="center"/>
          </w:tcPr>
          <w:p>
            <w:pPr>
              <w:spacing w:line="240" w:lineRule="auto"/>
              <w:jc w:val="center"/>
              <w:rPr>
                <w:b/>
                <w:szCs w:val="28"/>
              </w:rPr>
            </w:pPr>
            <w:r>
              <w:rPr>
                <w:b/>
                <w:szCs w:val="28"/>
              </w:rPr>
              <w:t>应急信息接收、处理、上报记录表</w:t>
            </w:r>
          </w:p>
          <w:p>
            <w:pPr>
              <w:spacing w:line="240" w:lineRule="auto"/>
              <w:jc w:val="center"/>
              <w:rPr>
                <w:b/>
                <w:szCs w:val="28"/>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63" w:hRule="atLeast"/>
          <w:jc w:val="center"/>
        </w:trPr>
        <w:tc>
          <w:tcPr>
            <w:tcW w:w="1548" w:type="dxa"/>
            <w:tcBorders>
              <w:top w:val="single" w:color="auto" w:sz="12" w:space="0"/>
            </w:tcBorders>
            <w:vAlign w:val="center"/>
          </w:tcPr>
          <w:p>
            <w:pPr>
              <w:spacing w:line="240" w:lineRule="auto"/>
              <w:jc w:val="center"/>
              <w:rPr>
                <w:bCs/>
                <w:sz w:val="24"/>
              </w:rPr>
            </w:pPr>
            <w:r>
              <w:rPr>
                <w:bCs/>
                <w:sz w:val="24"/>
              </w:rPr>
              <w:t>事故名称</w:t>
            </w:r>
          </w:p>
        </w:tc>
        <w:tc>
          <w:tcPr>
            <w:tcW w:w="3420" w:type="dxa"/>
            <w:gridSpan w:val="3"/>
            <w:tcBorders>
              <w:top w:val="single" w:color="auto" w:sz="12" w:space="0"/>
            </w:tcBorders>
          </w:tcPr>
          <w:p>
            <w:pPr>
              <w:spacing w:line="240" w:lineRule="auto"/>
              <w:jc w:val="center"/>
              <w:rPr>
                <w:bCs/>
                <w:sz w:val="24"/>
              </w:rPr>
            </w:pPr>
          </w:p>
        </w:tc>
        <w:tc>
          <w:tcPr>
            <w:tcW w:w="1080" w:type="dxa"/>
            <w:tcBorders>
              <w:top w:val="single" w:color="auto" w:sz="12" w:space="0"/>
            </w:tcBorders>
            <w:vAlign w:val="center"/>
          </w:tcPr>
          <w:p>
            <w:pPr>
              <w:spacing w:line="240" w:lineRule="auto"/>
              <w:jc w:val="center"/>
              <w:rPr>
                <w:bCs/>
                <w:sz w:val="24"/>
              </w:rPr>
            </w:pPr>
            <w:r>
              <w:rPr>
                <w:bCs/>
                <w:sz w:val="24"/>
              </w:rPr>
              <w:t>报告人</w:t>
            </w:r>
          </w:p>
        </w:tc>
        <w:tc>
          <w:tcPr>
            <w:tcW w:w="3420" w:type="dxa"/>
            <w:tcBorders>
              <w:top w:val="single" w:color="auto" w:sz="12" w:space="0"/>
            </w:tcBorders>
            <w:vAlign w:val="center"/>
          </w:tcPr>
          <w:p>
            <w:pPr>
              <w:spacing w:line="240" w:lineRule="auto"/>
              <w:jc w:val="center"/>
              <w:rPr>
                <w:bCs/>
                <w:sz w:val="24"/>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63" w:hRule="atLeast"/>
          <w:jc w:val="center"/>
        </w:trPr>
        <w:tc>
          <w:tcPr>
            <w:tcW w:w="1548" w:type="dxa"/>
            <w:vAlign w:val="center"/>
          </w:tcPr>
          <w:p>
            <w:pPr>
              <w:spacing w:line="240" w:lineRule="auto"/>
              <w:jc w:val="center"/>
              <w:rPr>
                <w:bCs/>
                <w:sz w:val="24"/>
              </w:rPr>
            </w:pPr>
            <w:r>
              <w:rPr>
                <w:bCs/>
                <w:sz w:val="24"/>
              </w:rPr>
              <w:t>时间</w:t>
            </w:r>
          </w:p>
        </w:tc>
        <w:tc>
          <w:tcPr>
            <w:tcW w:w="3420" w:type="dxa"/>
            <w:gridSpan w:val="3"/>
            <w:vAlign w:val="center"/>
          </w:tcPr>
          <w:p>
            <w:pPr>
              <w:spacing w:line="240" w:lineRule="auto"/>
              <w:jc w:val="right"/>
              <w:rPr>
                <w:bCs/>
                <w:sz w:val="24"/>
              </w:rPr>
            </w:pPr>
            <w:r>
              <w:rPr>
                <w:bCs/>
                <w:sz w:val="24"/>
              </w:rPr>
              <w:t>年  月  日   时   分</w:t>
            </w:r>
          </w:p>
        </w:tc>
        <w:tc>
          <w:tcPr>
            <w:tcW w:w="1080" w:type="dxa"/>
            <w:vAlign w:val="center"/>
          </w:tcPr>
          <w:p>
            <w:pPr>
              <w:spacing w:line="240" w:lineRule="auto"/>
              <w:jc w:val="center"/>
              <w:rPr>
                <w:bCs/>
                <w:sz w:val="24"/>
              </w:rPr>
            </w:pPr>
            <w:r>
              <w:rPr>
                <w:bCs/>
                <w:sz w:val="24"/>
              </w:rPr>
              <w:t>地点</w:t>
            </w:r>
          </w:p>
        </w:tc>
        <w:tc>
          <w:tcPr>
            <w:tcW w:w="3420" w:type="dxa"/>
            <w:vAlign w:val="center"/>
          </w:tcPr>
          <w:p>
            <w:pPr>
              <w:spacing w:line="240" w:lineRule="auto"/>
              <w:jc w:val="center"/>
              <w:rPr>
                <w:bCs/>
                <w:sz w:val="24"/>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63" w:hRule="atLeast"/>
          <w:jc w:val="center"/>
        </w:trPr>
        <w:tc>
          <w:tcPr>
            <w:tcW w:w="1548" w:type="dxa"/>
            <w:vAlign w:val="center"/>
          </w:tcPr>
          <w:p>
            <w:pPr>
              <w:spacing w:line="240" w:lineRule="auto"/>
              <w:jc w:val="center"/>
              <w:rPr>
                <w:bCs/>
                <w:sz w:val="24"/>
              </w:rPr>
            </w:pPr>
            <w:r>
              <w:rPr>
                <w:bCs/>
                <w:sz w:val="24"/>
              </w:rPr>
              <w:t>事故类型</w:t>
            </w:r>
          </w:p>
        </w:tc>
        <w:tc>
          <w:tcPr>
            <w:tcW w:w="7920" w:type="dxa"/>
            <w:gridSpan w:val="5"/>
            <w:vAlign w:val="center"/>
          </w:tcPr>
          <w:p>
            <w:pPr>
              <w:spacing w:line="240" w:lineRule="auto"/>
              <w:rPr>
                <w:bCs/>
                <w:sz w:val="24"/>
              </w:rPr>
            </w:pPr>
            <w:r>
              <w:rPr>
                <w:bCs/>
                <w:sz w:val="24"/>
              </w:rPr>
              <w:t>化学品泄露（ ）、生产废水事故排放（ ）、生产废气事故排放（ ）、消防废水外泄（   ）、危险废物泄露（  ）、其它（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63" w:hRule="atLeast"/>
          <w:jc w:val="center"/>
        </w:trPr>
        <w:tc>
          <w:tcPr>
            <w:tcW w:w="1548" w:type="dxa"/>
            <w:vAlign w:val="center"/>
          </w:tcPr>
          <w:p>
            <w:pPr>
              <w:spacing w:line="240" w:lineRule="auto"/>
              <w:jc w:val="center"/>
              <w:rPr>
                <w:bCs/>
                <w:sz w:val="24"/>
              </w:rPr>
            </w:pPr>
            <w:r>
              <w:rPr>
                <w:bCs/>
                <w:sz w:val="24"/>
              </w:rPr>
              <w:t>伤亡情况</w:t>
            </w:r>
          </w:p>
        </w:tc>
        <w:tc>
          <w:tcPr>
            <w:tcW w:w="7920" w:type="dxa"/>
            <w:gridSpan w:val="5"/>
            <w:vAlign w:val="center"/>
          </w:tcPr>
          <w:p>
            <w:pPr>
              <w:spacing w:line="240" w:lineRule="auto"/>
              <w:rPr>
                <w:bCs/>
                <w:sz w:val="24"/>
              </w:rPr>
            </w:pPr>
            <w:r>
              <w:rPr>
                <w:bCs/>
                <w:sz w:val="24"/>
              </w:rPr>
              <w:t>轻伤</w:t>
            </w:r>
            <w:r>
              <w:rPr>
                <w:bCs/>
                <w:sz w:val="24"/>
                <w:u w:val="single"/>
              </w:rPr>
              <w:t xml:space="preserve">   </w:t>
            </w:r>
            <w:r>
              <w:rPr>
                <w:bCs/>
                <w:sz w:val="24"/>
              </w:rPr>
              <w:t>人、重伤</w:t>
            </w:r>
            <w:r>
              <w:rPr>
                <w:bCs/>
                <w:sz w:val="24"/>
                <w:u w:val="single"/>
              </w:rPr>
              <w:t xml:space="preserve">   </w:t>
            </w:r>
            <w:r>
              <w:rPr>
                <w:bCs/>
                <w:sz w:val="24"/>
              </w:rPr>
              <w:t>人、中毒</w:t>
            </w:r>
            <w:r>
              <w:rPr>
                <w:bCs/>
                <w:sz w:val="24"/>
                <w:u w:val="single"/>
              </w:rPr>
              <w:t xml:space="preserve">   </w:t>
            </w:r>
            <w:r>
              <w:rPr>
                <w:bCs/>
                <w:sz w:val="24"/>
              </w:rPr>
              <w:t>人、死亡</w:t>
            </w:r>
            <w:r>
              <w:rPr>
                <w:bCs/>
                <w:sz w:val="24"/>
                <w:u w:val="single"/>
              </w:rPr>
              <w:t xml:space="preserve">   </w:t>
            </w:r>
            <w:r>
              <w:rPr>
                <w:bCs/>
                <w:sz w:val="24"/>
              </w:rPr>
              <w:t>人、其它</w:t>
            </w:r>
            <w:r>
              <w:rPr>
                <w:bCs/>
                <w:sz w:val="24"/>
                <w:u w:val="single"/>
              </w:rPr>
              <w:t xml:space="preserve">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63" w:hRule="atLeast"/>
          <w:jc w:val="center"/>
        </w:trPr>
        <w:tc>
          <w:tcPr>
            <w:tcW w:w="1548" w:type="dxa"/>
            <w:vAlign w:val="center"/>
          </w:tcPr>
          <w:p>
            <w:pPr>
              <w:spacing w:line="240" w:lineRule="auto"/>
              <w:jc w:val="center"/>
              <w:rPr>
                <w:bCs/>
                <w:sz w:val="24"/>
              </w:rPr>
            </w:pPr>
            <w:r>
              <w:rPr>
                <w:bCs/>
                <w:sz w:val="24"/>
              </w:rPr>
              <w:t>事故描述</w:t>
            </w:r>
          </w:p>
        </w:tc>
        <w:tc>
          <w:tcPr>
            <w:tcW w:w="7920" w:type="dxa"/>
            <w:gridSpan w:val="5"/>
            <w:vAlign w:val="center"/>
          </w:tcPr>
          <w:p>
            <w:pPr>
              <w:spacing w:line="240" w:lineRule="auto"/>
              <w:rPr>
                <w:bCs/>
                <w:sz w:val="24"/>
              </w:rPr>
            </w:pPr>
          </w:p>
          <w:p>
            <w:pPr>
              <w:spacing w:line="240" w:lineRule="auto"/>
              <w:rPr>
                <w:bCs/>
                <w:sz w:val="24"/>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63" w:hRule="atLeast"/>
          <w:jc w:val="center"/>
        </w:trPr>
        <w:tc>
          <w:tcPr>
            <w:tcW w:w="1548" w:type="dxa"/>
            <w:vAlign w:val="center"/>
          </w:tcPr>
          <w:p>
            <w:pPr>
              <w:spacing w:line="240" w:lineRule="auto"/>
              <w:jc w:val="center"/>
              <w:rPr>
                <w:bCs/>
                <w:sz w:val="24"/>
              </w:rPr>
            </w:pPr>
            <w:r>
              <w:rPr>
                <w:bCs/>
                <w:sz w:val="24"/>
              </w:rPr>
              <w:t>事故等级初步判定</w:t>
            </w:r>
          </w:p>
        </w:tc>
        <w:tc>
          <w:tcPr>
            <w:tcW w:w="7920" w:type="dxa"/>
            <w:gridSpan w:val="5"/>
            <w:vAlign w:val="center"/>
          </w:tcPr>
          <w:p>
            <w:pPr>
              <w:spacing w:line="240" w:lineRule="auto"/>
              <w:rPr>
                <w:bCs/>
                <w:sz w:val="24"/>
              </w:rPr>
            </w:pPr>
            <w:r>
              <w:rPr>
                <w:bCs/>
                <w:sz w:val="24"/>
              </w:rPr>
              <w:t>三类事故（ ）、二类事故（ ）、一类事故（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63" w:hRule="atLeast"/>
          <w:jc w:val="center"/>
        </w:trPr>
        <w:tc>
          <w:tcPr>
            <w:tcW w:w="1548" w:type="dxa"/>
          </w:tcPr>
          <w:p>
            <w:pPr>
              <w:spacing w:line="240" w:lineRule="auto"/>
              <w:jc w:val="center"/>
              <w:rPr>
                <w:bCs/>
                <w:sz w:val="24"/>
              </w:rPr>
            </w:pPr>
            <w:r>
              <w:rPr>
                <w:bCs/>
                <w:sz w:val="24"/>
              </w:rPr>
              <w:t>报告指挥人员、电话</w:t>
            </w:r>
          </w:p>
        </w:tc>
        <w:tc>
          <w:tcPr>
            <w:tcW w:w="7920" w:type="dxa"/>
            <w:gridSpan w:val="5"/>
          </w:tcPr>
          <w:p>
            <w:pPr>
              <w:spacing w:line="240" w:lineRule="auto"/>
              <w:rPr>
                <w:bCs/>
                <w:sz w:val="24"/>
              </w:rPr>
            </w:pPr>
            <w:r>
              <w:rPr>
                <w:bCs/>
                <w:sz w:val="24"/>
              </w:rPr>
              <w:t>姓名：</w:t>
            </w:r>
            <w:r>
              <w:rPr>
                <w:bCs/>
                <w:sz w:val="24"/>
                <w:u w:val="single"/>
              </w:rPr>
              <w:t xml:space="preserve">           </w:t>
            </w:r>
            <w:r>
              <w:rPr>
                <w:bCs/>
                <w:sz w:val="24"/>
              </w:rPr>
              <w:t>；   姓名：</w:t>
            </w:r>
            <w:r>
              <w:rPr>
                <w:bCs/>
                <w:sz w:val="24"/>
                <w:u w:val="single"/>
              </w:rPr>
              <w:t xml:space="preserve">           </w:t>
            </w:r>
            <w:r>
              <w:rPr>
                <w:bCs/>
                <w:sz w:val="24"/>
              </w:rPr>
              <w:t>；   姓名：</w:t>
            </w:r>
            <w:r>
              <w:rPr>
                <w:bCs/>
                <w:sz w:val="24"/>
                <w:u w:val="single"/>
              </w:rPr>
              <w:t xml:space="preserve">           </w:t>
            </w:r>
          </w:p>
          <w:p>
            <w:pPr>
              <w:spacing w:line="240" w:lineRule="auto"/>
              <w:rPr>
                <w:bCs/>
                <w:sz w:val="24"/>
              </w:rPr>
            </w:pPr>
            <w:r>
              <w:rPr>
                <w:bCs/>
                <w:sz w:val="24"/>
              </w:rPr>
              <w:t>电话：</w:t>
            </w:r>
            <w:r>
              <w:rPr>
                <w:bCs/>
                <w:sz w:val="24"/>
                <w:u w:val="single"/>
              </w:rPr>
              <w:t xml:space="preserve">              </w:t>
            </w:r>
            <w:r>
              <w:rPr>
                <w:bCs/>
                <w:sz w:val="24"/>
              </w:rPr>
              <w:t>；电话：</w:t>
            </w:r>
            <w:r>
              <w:rPr>
                <w:bCs/>
                <w:sz w:val="24"/>
                <w:u w:val="single"/>
              </w:rPr>
              <w:t xml:space="preserve">              </w:t>
            </w:r>
            <w:r>
              <w:rPr>
                <w:bCs/>
                <w:sz w:val="24"/>
              </w:rPr>
              <w:t>；电话：</w:t>
            </w:r>
            <w:r>
              <w:rPr>
                <w:bCs/>
                <w:sz w:val="24"/>
                <w:u w:val="single"/>
              </w:rPr>
              <w:t xml:space="preserve">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63" w:hRule="atLeast"/>
          <w:jc w:val="center"/>
        </w:trPr>
        <w:tc>
          <w:tcPr>
            <w:tcW w:w="1548" w:type="dxa"/>
            <w:vAlign w:val="center"/>
          </w:tcPr>
          <w:p>
            <w:pPr>
              <w:spacing w:line="240" w:lineRule="auto"/>
              <w:jc w:val="center"/>
              <w:rPr>
                <w:bCs/>
                <w:sz w:val="24"/>
              </w:rPr>
            </w:pPr>
            <w:r>
              <w:rPr>
                <w:bCs/>
                <w:sz w:val="24"/>
              </w:rPr>
              <w:t>报告时间</w:t>
            </w:r>
          </w:p>
        </w:tc>
        <w:tc>
          <w:tcPr>
            <w:tcW w:w="2160" w:type="dxa"/>
            <w:vAlign w:val="center"/>
          </w:tcPr>
          <w:p>
            <w:pPr>
              <w:spacing w:line="240" w:lineRule="auto"/>
              <w:jc w:val="right"/>
              <w:rPr>
                <w:bCs/>
                <w:sz w:val="24"/>
              </w:rPr>
            </w:pPr>
            <w:r>
              <w:rPr>
                <w:bCs/>
                <w:sz w:val="24"/>
              </w:rPr>
              <w:t>时   分</w:t>
            </w:r>
          </w:p>
        </w:tc>
        <w:tc>
          <w:tcPr>
            <w:tcW w:w="1080" w:type="dxa"/>
          </w:tcPr>
          <w:p>
            <w:pPr>
              <w:spacing w:line="240" w:lineRule="auto"/>
              <w:jc w:val="center"/>
              <w:rPr>
                <w:bCs/>
                <w:sz w:val="24"/>
              </w:rPr>
            </w:pPr>
            <w:r>
              <w:rPr>
                <w:bCs/>
                <w:sz w:val="24"/>
              </w:rPr>
              <w:t>响警铃</w:t>
            </w:r>
          </w:p>
        </w:tc>
        <w:tc>
          <w:tcPr>
            <w:tcW w:w="4680" w:type="dxa"/>
            <w:gridSpan w:val="3"/>
          </w:tcPr>
          <w:p>
            <w:pPr>
              <w:spacing w:line="240" w:lineRule="auto"/>
              <w:rPr>
                <w:bCs/>
                <w:sz w:val="24"/>
              </w:rPr>
            </w:pPr>
            <w:r>
              <w:rPr>
                <w:bCs/>
                <w:sz w:val="24"/>
              </w:rPr>
              <w:t>是（  ）；否（  ）；时间：     时    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63" w:hRule="atLeast"/>
          <w:jc w:val="center"/>
        </w:trPr>
        <w:tc>
          <w:tcPr>
            <w:tcW w:w="1548" w:type="dxa"/>
            <w:vAlign w:val="center"/>
          </w:tcPr>
          <w:p>
            <w:pPr>
              <w:spacing w:line="240" w:lineRule="auto"/>
              <w:ind w:left="-235" w:leftChars="-85"/>
              <w:jc w:val="right"/>
              <w:rPr>
                <w:bCs/>
                <w:sz w:val="24"/>
              </w:rPr>
            </w:pPr>
            <w:r>
              <w:rPr>
                <w:bCs/>
                <w:sz w:val="24"/>
              </w:rPr>
              <w:t>启动响应等级</w:t>
            </w:r>
          </w:p>
        </w:tc>
        <w:tc>
          <w:tcPr>
            <w:tcW w:w="7920" w:type="dxa"/>
            <w:gridSpan w:val="5"/>
            <w:vAlign w:val="center"/>
          </w:tcPr>
          <w:p>
            <w:pPr>
              <w:spacing w:line="240" w:lineRule="auto"/>
              <w:rPr>
                <w:bCs/>
                <w:sz w:val="24"/>
              </w:rPr>
            </w:pPr>
            <w:r>
              <w:rPr>
                <w:bCs/>
                <w:sz w:val="24"/>
              </w:rPr>
              <w:t>三级响应（ ）、二级响应（ ）、一级响应（ ）、不启动应急响应（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63" w:hRule="atLeast"/>
          <w:jc w:val="center"/>
        </w:trPr>
        <w:tc>
          <w:tcPr>
            <w:tcW w:w="1548" w:type="dxa"/>
            <w:vAlign w:val="center"/>
          </w:tcPr>
          <w:p>
            <w:pPr>
              <w:spacing w:line="240" w:lineRule="auto"/>
              <w:jc w:val="center"/>
              <w:rPr>
                <w:bCs/>
                <w:sz w:val="24"/>
              </w:rPr>
            </w:pPr>
            <w:r>
              <w:rPr>
                <w:bCs/>
                <w:sz w:val="24"/>
              </w:rPr>
              <w:t>通知应急</w:t>
            </w:r>
          </w:p>
          <w:p>
            <w:pPr>
              <w:spacing w:line="240" w:lineRule="auto"/>
              <w:jc w:val="center"/>
              <w:rPr>
                <w:bCs/>
                <w:sz w:val="24"/>
              </w:rPr>
            </w:pPr>
            <w:r>
              <w:rPr>
                <w:bCs/>
                <w:sz w:val="24"/>
              </w:rPr>
              <w:t>小组</w:t>
            </w:r>
          </w:p>
        </w:tc>
        <w:tc>
          <w:tcPr>
            <w:tcW w:w="7920" w:type="dxa"/>
            <w:gridSpan w:val="5"/>
          </w:tcPr>
          <w:p>
            <w:pPr>
              <w:spacing w:line="240" w:lineRule="auto"/>
              <w:rPr>
                <w:rFonts w:hint="eastAsia"/>
                <w:sz w:val="24"/>
                <w:lang w:eastAsia="zh-CN"/>
              </w:rPr>
            </w:pPr>
            <w:r>
              <w:rPr>
                <w:rFonts w:hint="eastAsia"/>
                <w:sz w:val="24"/>
                <w:lang w:eastAsia="zh-CN"/>
              </w:rPr>
              <w:t>应急指挥部：</w:t>
            </w:r>
          </w:p>
          <w:p>
            <w:pPr>
              <w:spacing w:line="240" w:lineRule="auto"/>
              <w:rPr>
                <w:rFonts w:hint="eastAsia"/>
                <w:sz w:val="24"/>
                <w:lang w:eastAsia="zh-CN"/>
              </w:rPr>
            </w:pPr>
            <w:r>
              <w:rPr>
                <w:rFonts w:hint="eastAsia"/>
                <w:sz w:val="24"/>
                <w:lang w:eastAsia="zh-CN"/>
              </w:rPr>
              <w:t>应急抢修组：</w:t>
            </w:r>
          </w:p>
          <w:p>
            <w:pPr>
              <w:spacing w:line="240" w:lineRule="auto"/>
              <w:rPr>
                <w:rFonts w:hint="eastAsia"/>
                <w:sz w:val="24"/>
                <w:lang w:eastAsia="zh-CN"/>
              </w:rPr>
            </w:pPr>
            <w:r>
              <w:rPr>
                <w:rFonts w:hint="eastAsia"/>
                <w:sz w:val="24"/>
                <w:lang w:eastAsia="zh-CN"/>
              </w:rPr>
              <w:t>安全后勤组：</w:t>
            </w:r>
          </w:p>
          <w:p>
            <w:pPr>
              <w:spacing w:line="240" w:lineRule="auto"/>
              <w:rPr>
                <w:rFonts w:hint="eastAsia"/>
                <w:sz w:val="24"/>
                <w:lang w:eastAsia="zh-CN"/>
              </w:rPr>
            </w:pPr>
            <w:r>
              <w:rPr>
                <w:rFonts w:hint="eastAsia"/>
                <w:sz w:val="24"/>
                <w:lang w:eastAsia="zh-CN"/>
              </w:rPr>
              <w:t>疏散警戒组：</w:t>
            </w:r>
          </w:p>
          <w:p>
            <w:pPr>
              <w:spacing w:line="240" w:lineRule="auto"/>
              <w:rPr>
                <w:rFonts w:hint="eastAsia"/>
                <w:sz w:val="24"/>
                <w:lang w:eastAsia="zh-CN"/>
              </w:rPr>
            </w:pPr>
            <w:r>
              <w:rPr>
                <w:rFonts w:hint="eastAsia"/>
                <w:sz w:val="24"/>
                <w:lang w:eastAsia="zh-CN"/>
              </w:rPr>
              <w:t>医疗救助组：</w:t>
            </w:r>
          </w:p>
          <w:p>
            <w:pPr>
              <w:spacing w:line="240" w:lineRule="auto"/>
              <w:rPr>
                <w:rFonts w:hint="eastAsia"/>
                <w:sz w:val="24"/>
                <w:lang w:eastAsia="zh-CN"/>
              </w:rPr>
            </w:pPr>
            <w:r>
              <w:rPr>
                <w:rFonts w:hint="eastAsia"/>
                <w:sz w:val="24"/>
                <w:lang w:eastAsia="zh-CN"/>
              </w:rPr>
              <w:t>后勤保障组：</w:t>
            </w:r>
          </w:p>
          <w:p>
            <w:pPr>
              <w:spacing w:line="240" w:lineRule="auto"/>
              <w:rPr>
                <w:rFonts w:hint="eastAsia"/>
                <w:sz w:val="24"/>
                <w:lang w:eastAsia="zh-CN"/>
              </w:rPr>
            </w:pPr>
            <w:r>
              <w:rPr>
                <w:rFonts w:hint="eastAsia"/>
                <w:sz w:val="24"/>
                <w:lang w:eastAsia="zh-CN"/>
              </w:rPr>
              <w:t>应急监测组：</w:t>
            </w:r>
          </w:p>
          <w:p>
            <w:pPr>
              <w:spacing w:line="240" w:lineRule="auto"/>
              <w:rPr>
                <w:rFonts w:hint="eastAsia" w:eastAsia="宋体"/>
                <w:sz w:val="24"/>
                <w:lang w:eastAsia="zh-CN"/>
              </w:rPr>
            </w:pPr>
            <w:r>
              <w:rPr>
                <w:rFonts w:hint="eastAsia"/>
                <w:sz w:val="24"/>
                <w:lang w:eastAsia="zh-CN"/>
              </w:rPr>
              <w:t>信息传输组；</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63" w:hRule="atLeast"/>
          <w:jc w:val="center"/>
        </w:trPr>
        <w:tc>
          <w:tcPr>
            <w:tcW w:w="1548" w:type="dxa"/>
            <w:vAlign w:val="center"/>
          </w:tcPr>
          <w:p>
            <w:pPr>
              <w:spacing w:line="240" w:lineRule="auto"/>
              <w:jc w:val="center"/>
              <w:rPr>
                <w:bCs/>
                <w:sz w:val="24"/>
              </w:rPr>
            </w:pPr>
            <w:r>
              <w:rPr>
                <w:bCs/>
                <w:sz w:val="24"/>
              </w:rPr>
              <w:t>集中地点</w:t>
            </w:r>
          </w:p>
        </w:tc>
        <w:tc>
          <w:tcPr>
            <w:tcW w:w="3240" w:type="dxa"/>
            <w:gridSpan w:val="2"/>
            <w:vAlign w:val="center"/>
          </w:tcPr>
          <w:p>
            <w:pPr>
              <w:spacing w:line="240" w:lineRule="auto"/>
              <w:jc w:val="center"/>
              <w:rPr>
                <w:bCs/>
                <w:sz w:val="24"/>
              </w:rPr>
            </w:pPr>
          </w:p>
        </w:tc>
        <w:tc>
          <w:tcPr>
            <w:tcW w:w="1260" w:type="dxa"/>
            <w:gridSpan w:val="2"/>
            <w:vAlign w:val="center"/>
          </w:tcPr>
          <w:p>
            <w:pPr>
              <w:spacing w:line="240" w:lineRule="auto"/>
              <w:jc w:val="center"/>
              <w:rPr>
                <w:bCs/>
                <w:sz w:val="24"/>
              </w:rPr>
            </w:pPr>
            <w:r>
              <w:rPr>
                <w:bCs/>
                <w:sz w:val="24"/>
              </w:rPr>
              <w:t>集中时间</w:t>
            </w:r>
          </w:p>
        </w:tc>
        <w:tc>
          <w:tcPr>
            <w:tcW w:w="3420" w:type="dxa"/>
            <w:vAlign w:val="center"/>
          </w:tcPr>
          <w:p>
            <w:pPr>
              <w:spacing w:line="240" w:lineRule="auto"/>
              <w:jc w:val="center"/>
              <w:rPr>
                <w:bCs/>
                <w:sz w:val="24"/>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63" w:hRule="atLeast"/>
          <w:jc w:val="center"/>
        </w:trPr>
        <w:tc>
          <w:tcPr>
            <w:tcW w:w="1548" w:type="dxa"/>
            <w:vAlign w:val="center"/>
          </w:tcPr>
          <w:p>
            <w:pPr>
              <w:spacing w:line="240" w:lineRule="auto"/>
              <w:jc w:val="center"/>
              <w:rPr>
                <w:bCs/>
                <w:sz w:val="24"/>
              </w:rPr>
            </w:pPr>
            <w:r>
              <w:rPr>
                <w:bCs/>
                <w:sz w:val="24"/>
              </w:rPr>
              <w:t>上报安监</w:t>
            </w:r>
          </w:p>
        </w:tc>
        <w:tc>
          <w:tcPr>
            <w:tcW w:w="7920" w:type="dxa"/>
            <w:gridSpan w:val="5"/>
            <w:vAlign w:val="center"/>
          </w:tcPr>
          <w:p>
            <w:pPr>
              <w:spacing w:line="240" w:lineRule="auto"/>
              <w:rPr>
                <w:bCs/>
                <w:sz w:val="24"/>
              </w:rPr>
            </w:pPr>
            <w:r>
              <w:rPr>
                <w:bCs/>
                <w:sz w:val="24"/>
              </w:rPr>
              <w:t>是（  ）；否（   ）；上报时间：    时    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63" w:hRule="atLeast"/>
          <w:jc w:val="center"/>
        </w:trPr>
        <w:tc>
          <w:tcPr>
            <w:tcW w:w="1548" w:type="dxa"/>
            <w:vAlign w:val="center"/>
          </w:tcPr>
          <w:p>
            <w:pPr>
              <w:spacing w:line="240" w:lineRule="auto"/>
              <w:jc w:val="center"/>
              <w:rPr>
                <w:bCs/>
                <w:sz w:val="24"/>
              </w:rPr>
            </w:pPr>
            <w:r>
              <w:rPr>
                <w:bCs/>
                <w:sz w:val="24"/>
              </w:rPr>
              <w:t>报消防</w:t>
            </w:r>
          </w:p>
        </w:tc>
        <w:tc>
          <w:tcPr>
            <w:tcW w:w="7920" w:type="dxa"/>
            <w:gridSpan w:val="5"/>
            <w:vAlign w:val="center"/>
          </w:tcPr>
          <w:p>
            <w:pPr>
              <w:spacing w:line="240" w:lineRule="auto"/>
              <w:rPr>
                <w:bCs/>
                <w:sz w:val="24"/>
              </w:rPr>
            </w:pPr>
            <w:r>
              <w:rPr>
                <w:bCs/>
                <w:sz w:val="24"/>
              </w:rPr>
              <w:t>是（  ）；否（   ）；上报时间：    时    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63" w:hRule="atLeast"/>
          <w:jc w:val="center"/>
        </w:trPr>
        <w:tc>
          <w:tcPr>
            <w:tcW w:w="1548" w:type="dxa"/>
            <w:vAlign w:val="center"/>
          </w:tcPr>
          <w:p>
            <w:pPr>
              <w:spacing w:line="240" w:lineRule="auto"/>
              <w:jc w:val="center"/>
              <w:rPr>
                <w:bCs/>
                <w:sz w:val="24"/>
              </w:rPr>
            </w:pPr>
            <w:r>
              <w:rPr>
                <w:bCs/>
                <w:sz w:val="24"/>
              </w:rPr>
              <w:t>报急救中心</w:t>
            </w:r>
          </w:p>
        </w:tc>
        <w:tc>
          <w:tcPr>
            <w:tcW w:w="7920" w:type="dxa"/>
            <w:gridSpan w:val="5"/>
            <w:vAlign w:val="center"/>
          </w:tcPr>
          <w:p>
            <w:pPr>
              <w:spacing w:line="240" w:lineRule="auto"/>
              <w:rPr>
                <w:bCs/>
                <w:sz w:val="24"/>
              </w:rPr>
            </w:pPr>
            <w:r>
              <w:rPr>
                <w:bCs/>
                <w:sz w:val="24"/>
              </w:rPr>
              <w:t>是（  ）；否（   ）；上报时间：    时    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63" w:hRule="atLeast"/>
          <w:jc w:val="center"/>
        </w:trPr>
        <w:tc>
          <w:tcPr>
            <w:tcW w:w="1548" w:type="dxa"/>
            <w:vAlign w:val="center"/>
          </w:tcPr>
          <w:p>
            <w:pPr>
              <w:spacing w:line="240" w:lineRule="auto"/>
              <w:jc w:val="center"/>
              <w:rPr>
                <w:bCs/>
                <w:sz w:val="24"/>
              </w:rPr>
            </w:pPr>
            <w:r>
              <w:rPr>
                <w:bCs/>
                <w:sz w:val="24"/>
              </w:rPr>
              <w:t>报环保部门</w:t>
            </w:r>
          </w:p>
        </w:tc>
        <w:tc>
          <w:tcPr>
            <w:tcW w:w="7920" w:type="dxa"/>
            <w:gridSpan w:val="5"/>
            <w:vAlign w:val="center"/>
          </w:tcPr>
          <w:p>
            <w:pPr>
              <w:spacing w:line="240" w:lineRule="auto"/>
              <w:rPr>
                <w:bCs/>
                <w:sz w:val="24"/>
              </w:rPr>
            </w:pPr>
            <w:r>
              <w:rPr>
                <w:bCs/>
                <w:sz w:val="24"/>
              </w:rPr>
              <w:t>是（  ）；否（   ）；上报时间：    时    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63" w:hRule="atLeast"/>
          <w:jc w:val="center"/>
        </w:trPr>
        <w:tc>
          <w:tcPr>
            <w:tcW w:w="1548" w:type="dxa"/>
            <w:vAlign w:val="center"/>
          </w:tcPr>
          <w:p>
            <w:pPr>
              <w:spacing w:line="240" w:lineRule="auto"/>
              <w:jc w:val="center"/>
              <w:rPr>
                <w:bCs/>
                <w:sz w:val="24"/>
              </w:rPr>
            </w:pPr>
            <w:r>
              <w:rPr>
                <w:bCs/>
                <w:sz w:val="24"/>
              </w:rPr>
              <w:t>报管委会</w:t>
            </w:r>
          </w:p>
        </w:tc>
        <w:tc>
          <w:tcPr>
            <w:tcW w:w="7920" w:type="dxa"/>
            <w:gridSpan w:val="5"/>
            <w:vAlign w:val="center"/>
          </w:tcPr>
          <w:p>
            <w:pPr>
              <w:spacing w:line="240" w:lineRule="auto"/>
              <w:rPr>
                <w:bCs/>
                <w:sz w:val="24"/>
              </w:rPr>
            </w:pPr>
            <w:r>
              <w:rPr>
                <w:bCs/>
                <w:sz w:val="24"/>
              </w:rPr>
              <w:t>是（  ）；否（   ）；上报时间：    时    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63" w:hRule="atLeast"/>
          <w:jc w:val="center"/>
        </w:trPr>
        <w:tc>
          <w:tcPr>
            <w:tcW w:w="1548" w:type="dxa"/>
            <w:vAlign w:val="center"/>
          </w:tcPr>
          <w:p>
            <w:pPr>
              <w:spacing w:line="240" w:lineRule="auto"/>
              <w:jc w:val="center"/>
              <w:rPr>
                <w:bCs/>
                <w:sz w:val="24"/>
              </w:rPr>
            </w:pPr>
            <w:r>
              <w:rPr>
                <w:bCs/>
                <w:sz w:val="24"/>
              </w:rPr>
              <w:t>报其它部门（部门名称、时间）</w:t>
            </w:r>
          </w:p>
        </w:tc>
        <w:tc>
          <w:tcPr>
            <w:tcW w:w="7920" w:type="dxa"/>
            <w:gridSpan w:val="5"/>
          </w:tcPr>
          <w:p>
            <w:pPr>
              <w:spacing w:line="240" w:lineRule="auto"/>
              <w:rPr>
                <w:bCs/>
                <w:sz w:val="24"/>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63" w:hRule="atLeast"/>
          <w:jc w:val="center"/>
        </w:trPr>
        <w:tc>
          <w:tcPr>
            <w:tcW w:w="1548" w:type="dxa"/>
            <w:vAlign w:val="center"/>
          </w:tcPr>
          <w:p>
            <w:pPr>
              <w:spacing w:line="240" w:lineRule="auto"/>
              <w:jc w:val="center"/>
              <w:rPr>
                <w:bCs/>
                <w:sz w:val="24"/>
              </w:rPr>
            </w:pPr>
            <w:r>
              <w:rPr>
                <w:bCs/>
                <w:sz w:val="24"/>
              </w:rPr>
              <w:t>备注</w:t>
            </w:r>
          </w:p>
        </w:tc>
        <w:tc>
          <w:tcPr>
            <w:tcW w:w="7920" w:type="dxa"/>
            <w:gridSpan w:val="5"/>
          </w:tcPr>
          <w:p>
            <w:pPr>
              <w:spacing w:line="240" w:lineRule="auto"/>
              <w:rPr>
                <w:bCs/>
                <w:sz w:val="24"/>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63" w:hRule="atLeast"/>
          <w:jc w:val="center"/>
        </w:trPr>
        <w:tc>
          <w:tcPr>
            <w:tcW w:w="1548" w:type="dxa"/>
            <w:vAlign w:val="center"/>
          </w:tcPr>
          <w:p>
            <w:pPr>
              <w:spacing w:line="240" w:lineRule="auto"/>
              <w:jc w:val="center"/>
              <w:rPr>
                <w:bCs/>
                <w:sz w:val="24"/>
              </w:rPr>
            </w:pPr>
            <w:r>
              <w:rPr>
                <w:bCs/>
                <w:sz w:val="24"/>
              </w:rPr>
              <w:t>记录人</w:t>
            </w:r>
          </w:p>
        </w:tc>
        <w:tc>
          <w:tcPr>
            <w:tcW w:w="3420" w:type="dxa"/>
            <w:gridSpan w:val="3"/>
            <w:vAlign w:val="center"/>
          </w:tcPr>
          <w:p>
            <w:pPr>
              <w:spacing w:line="240" w:lineRule="auto"/>
              <w:jc w:val="center"/>
              <w:rPr>
                <w:bCs/>
                <w:sz w:val="24"/>
              </w:rPr>
            </w:pPr>
          </w:p>
        </w:tc>
        <w:tc>
          <w:tcPr>
            <w:tcW w:w="1080" w:type="dxa"/>
            <w:vAlign w:val="center"/>
          </w:tcPr>
          <w:p>
            <w:pPr>
              <w:spacing w:line="240" w:lineRule="auto"/>
              <w:jc w:val="center"/>
              <w:rPr>
                <w:bCs/>
                <w:sz w:val="24"/>
              </w:rPr>
            </w:pPr>
            <w:r>
              <w:rPr>
                <w:bCs/>
                <w:sz w:val="24"/>
              </w:rPr>
              <w:t>日期</w:t>
            </w:r>
          </w:p>
        </w:tc>
        <w:tc>
          <w:tcPr>
            <w:tcW w:w="3420" w:type="dxa"/>
            <w:vAlign w:val="center"/>
          </w:tcPr>
          <w:p>
            <w:pPr>
              <w:spacing w:line="240" w:lineRule="auto"/>
              <w:jc w:val="center"/>
              <w:rPr>
                <w:bCs/>
                <w:sz w:val="24"/>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63" w:hRule="atLeast"/>
          <w:jc w:val="center"/>
        </w:trPr>
        <w:tc>
          <w:tcPr>
            <w:tcW w:w="1548" w:type="dxa"/>
            <w:vAlign w:val="center"/>
          </w:tcPr>
          <w:p>
            <w:pPr>
              <w:spacing w:line="240" w:lineRule="auto"/>
              <w:jc w:val="center"/>
              <w:rPr>
                <w:bCs/>
                <w:sz w:val="24"/>
              </w:rPr>
            </w:pPr>
            <w:r>
              <w:rPr>
                <w:bCs/>
                <w:sz w:val="24"/>
              </w:rPr>
              <w:t>审批人</w:t>
            </w:r>
          </w:p>
        </w:tc>
        <w:tc>
          <w:tcPr>
            <w:tcW w:w="3420" w:type="dxa"/>
            <w:gridSpan w:val="3"/>
            <w:vAlign w:val="center"/>
          </w:tcPr>
          <w:p>
            <w:pPr>
              <w:spacing w:line="240" w:lineRule="auto"/>
              <w:jc w:val="center"/>
              <w:rPr>
                <w:bCs/>
                <w:sz w:val="24"/>
              </w:rPr>
            </w:pPr>
          </w:p>
        </w:tc>
        <w:tc>
          <w:tcPr>
            <w:tcW w:w="1080" w:type="dxa"/>
            <w:vAlign w:val="center"/>
          </w:tcPr>
          <w:p>
            <w:pPr>
              <w:spacing w:line="240" w:lineRule="auto"/>
              <w:jc w:val="center"/>
              <w:rPr>
                <w:bCs/>
                <w:sz w:val="24"/>
              </w:rPr>
            </w:pPr>
            <w:r>
              <w:rPr>
                <w:bCs/>
                <w:sz w:val="24"/>
              </w:rPr>
              <w:t>日期</w:t>
            </w:r>
          </w:p>
        </w:tc>
        <w:tc>
          <w:tcPr>
            <w:tcW w:w="3420" w:type="dxa"/>
            <w:vAlign w:val="center"/>
          </w:tcPr>
          <w:p>
            <w:pPr>
              <w:spacing w:line="240" w:lineRule="auto"/>
              <w:jc w:val="center"/>
              <w:rPr>
                <w:bCs/>
                <w:sz w:val="24"/>
              </w:rPr>
            </w:pPr>
          </w:p>
        </w:tc>
      </w:tr>
    </w:tbl>
    <w:p>
      <w:pPr>
        <w:pStyle w:val="3"/>
        <w:spacing w:line="480" w:lineRule="exact"/>
        <w:rPr>
          <w:sz w:val="28"/>
        </w:rPr>
      </w:pPr>
      <w:bookmarkStart w:id="434" w:name="_Toc26540"/>
      <w:bookmarkStart w:id="435" w:name="_Toc7716"/>
      <w:bookmarkStart w:id="436" w:name="_Toc20726"/>
      <w:bookmarkStart w:id="437" w:name="_Toc365013653"/>
    </w:p>
    <w:p>
      <w:pPr>
        <w:pStyle w:val="3"/>
        <w:spacing w:line="480" w:lineRule="exact"/>
        <w:rPr>
          <w:sz w:val="28"/>
        </w:rPr>
      </w:pPr>
      <w:bookmarkStart w:id="438" w:name="_Toc25701"/>
      <w:r>
        <w:rPr>
          <w:sz w:val="28"/>
        </w:rPr>
        <w:t>附件3应急事故通报表</w:t>
      </w:r>
      <w:bookmarkEnd w:id="434"/>
      <w:bookmarkEnd w:id="435"/>
      <w:bookmarkEnd w:id="436"/>
      <w:bookmarkEnd w:id="437"/>
      <w:bookmarkEnd w:id="438"/>
    </w:p>
    <w:tbl>
      <w:tblPr>
        <w:tblStyle w:val="42"/>
        <w:tblW w:w="8388"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27"/>
        <w:gridCol w:w="1261"/>
        <w:gridCol w:w="898"/>
        <w:gridCol w:w="658"/>
        <w:gridCol w:w="1620"/>
        <w:gridCol w:w="1260"/>
        <w:gridCol w:w="166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388" w:type="dxa"/>
            <w:gridSpan w:val="7"/>
            <w:tcBorders>
              <w:top w:val="nil"/>
              <w:left w:val="nil"/>
              <w:bottom w:val="nil"/>
              <w:right w:val="nil"/>
            </w:tcBorders>
            <w:vAlign w:val="center"/>
          </w:tcPr>
          <w:p>
            <w:pPr>
              <w:spacing w:line="400" w:lineRule="exact"/>
              <w:jc w:val="center"/>
              <w:rPr>
                <w:bCs/>
                <w:sz w:val="21"/>
                <w:szCs w:val="21"/>
              </w:rPr>
            </w:pPr>
            <w:r>
              <w:rPr>
                <w:b/>
                <w:bCs/>
                <w:sz w:val="21"/>
                <w:szCs w:val="21"/>
              </w:rPr>
              <w:t>应急事故通报表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388" w:type="dxa"/>
            <w:gridSpan w:val="7"/>
            <w:tcBorders>
              <w:top w:val="nil"/>
              <w:left w:val="nil"/>
              <w:bottom w:val="single" w:color="auto" w:sz="12" w:space="0"/>
              <w:right w:val="nil"/>
            </w:tcBorders>
            <w:vAlign w:val="center"/>
          </w:tcPr>
          <w:p>
            <w:pPr>
              <w:wordWrap w:val="0"/>
              <w:spacing w:line="320" w:lineRule="exact"/>
              <w:jc w:val="right"/>
              <w:rPr>
                <w:bCs/>
                <w:sz w:val="21"/>
                <w:szCs w:val="21"/>
              </w:rPr>
            </w:pPr>
            <w:r>
              <w:rPr>
                <w:sz w:val="21"/>
                <w:szCs w:val="21"/>
              </w:rPr>
              <w:t xml:space="preserve">编号：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027" w:type="dxa"/>
            <w:tcBorders>
              <w:top w:val="single" w:color="auto" w:sz="12" w:space="0"/>
              <w:left w:val="single" w:color="auto" w:sz="12" w:space="0"/>
            </w:tcBorders>
            <w:vAlign w:val="center"/>
          </w:tcPr>
          <w:p>
            <w:pPr>
              <w:spacing w:line="320" w:lineRule="exact"/>
              <w:jc w:val="center"/>
              <w:rPr>
                <w:bCs/>
                <w:sz w:val="21"/>
                <w:szCs w:val="21"/>
              </w:rPr>
            </w:pPr>
            <w:r>
              <w:rPr>
                <w:bCs/>
                <w:sz w:val="21"/>
                <w:szCs w:val="21"/>
              </w:rPr>
              <w:t>报告人</w:t>
            </w:r>
          </w:p>
        </w:tc>
        <w:tc>
          <w:tcPr>
            <w:tcW w:w="1261" w:type="dxa"/>
            <w:tcBorders>
              <w:top w:val="single" w:color="auto" w:sz="12" w:space="0"/>
            </w:tcBorders>
            <w:vAlign w:val="center"/>
          </w:tcPr>
          <w:p>
            <w:pPr>
              <w:spacing w:line="320" w:lineRule="exact"/>
              <w:jc w:val="center"/>
              <w:rPr>
                <w:bCs/>
                <w:sz w:val="21"/>
                <w:szCs w:val="21"/>
              </w:rPr>
            </w:pPr>
          </w:p>
        </w:tc>
        <w:tc>
          <w:tcPr>
            <w:tcW w:w="898" w:type="dxa"/>
            <w:tcBorders>
              <w:top w:val="single" w:color="auto" w:sz="12" w:space="0"/>
            </w:tcBorders>
            <w:vAlign w:val="center"/>
          </w:tcPr>
          <w:p>
            <w:pPr>
              <w:spacing w:line="320" w:lineRule="exact"/>
              <w:jc w:val="center"/>
              <w:rPr>
                <w:bCs/>
                <w:sz w:val="21"/>
                <w:szCs w:val="21"/>
              </w:rPr>
            </w:pPr>
            <w:r>
              <w:rPr>
                <w:bCs/>
                <w:sz w:val="21"/>
                <w:szCs w:val="21"/>
              </w:rPr>
              <w:t>单位</w:t>
            </w:r>
          </w:p>
        </w:tc>
        <w:tc>
          <w:tcPr>
            <w:tcW w:w="2278" w:type="dxa"/>
            <w:gridSpan w:val="2"/>
            <w:tcBorders>
              <w:top w:val="single" w:color="auto" w:sz="12" w:space="0"/>
            </w:tcBorders>
            <w:vAlign w:val="center"/>
          </w:tcPr>
          <w:p>
            <w:pPr>
              <w:spacing w:line="320" w:lineRule="exact"/>
              <w:rPr>
                <w:bCs/>
                <w:sz w:val="21"/>
                <w:szCs w:val="21"/>
              </w:rPr>
            </w:pPr>
          </w:p>
        </w:tc>
        <w:tc>
          <w:tcPr>
            <w:tcW w:w="1260" w:type="dxa"/>
            <w:tcBorders>
              <w:top w:val="single" w:color="auto" w:sz="12" w:space="0"/>
            </w:tcBorders>
            <w:vAlign w:val="center"/>
          </w:tcPr>
          <w:p>
            <w:pPr>
              <w:spacing w:line="320" w:lineRule="exact"/>
              <w:jc w:val="center"/>
              <w:rPr>
                <w:bCs/>
                <w:sz w:val="21"/>
                <w:szCs w:val="21"/>
              </w:rPr>
            </w:pPr>
            <w:r>
              <w:rPr>
                <w:bCs/>
                <w:sz w:val="21"/>
                <w:szCs w:val="21"/>
              </w:rPr>
              <w:t>报告时间</w:t>
            </w:r>
          </w:p>
        </w:tc>
        <w:tc>
          <w:tcPr>
            <w:tcW w:w="1664" w:type="dxa"/>
            <w:tcBorders>
              <w:top w:val="single" w:color="auto" w:sz="12" w:space="0"/>
              <w:right w:val="single" w:color="auto" w:sz="12" w:space="0"/>
            </w:tcBorders>
            <w:vAlign w:val="center"/>
          </w:tcPr>
          <w:p>
            <w:pPr>
              <w:spacing w:line="320" w:lineRule="exact"/>
              <w:jc w:val="center"/>
              <w:rPr>
                <w:bCs/>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388" w:type="dxa"/>
            <w:gridSpan w:val="7"/>
            <w:tcBorders>
              <w:left w:val="single" w:color="auto" w:sz="12" w:space="0"/>
              <w:right w:val="single" w:color="auto" w:sz="12" w:space="0"/>
            </w:tcBorders>
            <w:vAlign w:val="center"/>
          </w:tcPr>
          <w:p>
            <w:pPr>
              <w:spacing w:line="320" w:lineRule="exact"/>
              <w:rPr>
                <w:bCs/>
                <w:sz w:val="21"/>
                <w:szCs w:val="21"/>
              </w:rPr>
            </w:pPr>
            <w:r>
              <w:rPr>
                <w:bCs/>
                <w:sz w:val="21"/>
                <w:szCs w:val="21"/>
              </w:rPr>
              <w:t>一、应急事故发生时间：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388" w:type="dxa"/>
            <w:gridSpan w:val="7"/>
            <w:tcBorders>
              <w:left w:val="single" w:color="auto" w:sz="12" w:space="0"/>
              <w:right w:val="single" w:color="auto" w:sz="12" w:space="0"/>
            </w:tcBorders>
            <w:vAlign w:val="center"/>
          </w:tcPr>
          <w:p>
            <w:pPr>
              <w:spacing w:line="320" w:lineRule="exact"/>
              <w:rPr>
                <w:bCs/>
                <w:sz w:val="21"/>
                <w:szCs w:val="21"/>
              </w:rPr>
            </w:pPr>
            <w:r>
              <w:rPr>
                <w:bCs/>
                <w:sz w:val="21"/>
                <w:szCs w:val="21"/>
              </w:rPr>
              <w:t>二、应急事故发生地点：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388" w:type="dxa"/>
            <w:gridSpan w:val="7"/>
            <w:tcBorders>
              <w:left w:val="single" w:color="auto" w:sz="12" w:space="0"/>
              <w:right w:val="single" w:color="auto" w:sz="12" w:space="0"/>
            </w:tcBorders>
            <w:vAlign w:val="center"/>
          </w:tcPr>
          <w:p>
            <w:pPr>
              <w:spacing w:line="320" w:lineRule="exact"/>
              <w:rPr>
                <w:bCs/>
                <w:sz w:val="21"/>
                <w:szCs w:val="21"/>
              </w:rPr>
            </w:pPr>
            <w:r>
              <w:rPr>
                <w:bCs/>
                <w:sz w:val="21"/>
                <w:szCs w:val="21"/>
              </w:rPr>
              <w:t>三、伤亡及损失情况：死亡</w:t>
            </w:r>
            <w:r>
              <w:rPr>
                <w:bCs/>
                <w:sz w:val="21"/>
                <w:szCs w:val="21"/>
                <w:u w:val="single"/>
              </w:rPr>
              <w:t xml:space="preserve">   </w:t>
            </w:r>
            <w:r>
              <w:rPr>
                <w:bCs/>
                <w:sz w:val="21"/>
                <w:szCs w:val="21"/>
              </w:rPr>
              <w:t>人，重伤</w:t>
            </w:r>
            <w:r>
              <w:rPr>
                <w:bCs/>
                <w:sz w:val="21"/>
                <w:szCs w:val="21"/>
                <w:u w:val="single"/>
              </w:rPr>
              <w:t xml:space="preserve">   </w:t>
            </w:r>
            <w:r>
              <w:rPr>
                <w:bCs/>
                <w:sz w:val="21"/>
                <w:szCs w:val="21"/>
              </w:rPr>
              <w:t>人，轻伤</w:t>
            </w:r>
            <w:r>
              <w:rPr>
                <w:bCs/>
                <w:sz w:val="21"/>
                <w:szCs w:val="21"/>
                <w:u w:val="single"/>
              </w:rPr>
              <w:t xml:space="preserve">    </w:t>
            </w:r>
            <w:r>
              <w:rPr>
                <w:bCs/>
                <w:sz w:val="21"/>
                <w:szCs w:val="21"/>
              </w:rPr>
              <w:t>人，损失</w:t>
            </w:r>
            <w:r>
              <w:rPr>
                <w:bCs/>
                <w:sz w:val="21"/>
                <w:szCs w:val="21"/>
                <w:u w:val="single"/>
              </w:rPr>
              <w:t xml:space="preserve">    </w:t>
            </w:r>
            <w:r>
              <w:rPr>
                <w:bCs/>
                <w:sz w:val="21"/>
                <w:szCs w:val="21"/>
              </w:rPr>
              <w:t>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388" w:type="dxa"/>
            <w:gridSpan w:val="7"/>
            <w:tcBorders>
              <w:left w:val="single" w:color="auto" w:sz="12" w:space="0"/>
              <w:right w:val="single" w:color="auto" w:sz="12" w:space="0"/>
            </w:tcBorders>
          </w:tcPr>
          <w:p>
            <w:pPr>
              <w:spacing w:line="320" w:lineRule="exact"/>
              <w:rPr>
                <w:bCs/>
                <w:sz w:val="21"/>
                <w:szCs w:val="21"/>
              </w:rPr>
            </w:pPr>
            <w:r>
              <w:rPr>
                <w:bCs/>
                <w:sz w:val="21"/>
                <w:szCs w:val="21"/>
              </w:rPr>
              <w:t>四、人员伤情：</w:t>
            </w:r>
          </w:p>
          <w:p>
            <w:pPr>
              <w:spacing w:line="320" w:lineRule="exact"/>
              <w:rPr>
                <w:bCs/>
                <w:sz w:val="21"/>
                <w:szCs w:val="21"/>
              </w:rPr>
            </w:pPr>
          </w:p>
          <w:p>
            <w:pPr>
              <w:spacing w:line="320" w:lineRule="exact"/>
              <w:rPr>
                <w:bCs/>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388" w:type="dxa"/>
            <w:gridSpan w:val="7"/>
            <w:tcBorders>
              <w:left w:val="single" w:color="auto" w:sz="12" w:space="0"/>
              <w:right w:val="single" w:color="auto" w:sz="12" w:space="0"/>
            </w:tcBorders>
          </w:tcPr>
          <w:p>
            <w:pPr>
              <w:spacing w:line="320" w:lineRule="exact"/>
              <w:rPr>
                <w:bCs/>
                <w:sz w:val="21"/>
                <w:szCs w:val="21"/>
              </w:rPr>
            </w:pPr>
            <w:r>
              <w:rPr>
                <w:bCs/>
                <w:sz w:val="21"/>
                <w:szCs w:val="21"/>
              </w:rPr>
              <w:t>五、应急方法：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388" w:type="dxa"/>
            <w:gridSpan w:val="7"/>
            <w:tcBorders>
              <w:left w:val="single" w:color="auto" w:sz="12" w:space="0"/>
              <w:right w:val="single" w:color="auto" w:sz="12" w:space="0"/>
            </w:tcBorders>
          </w:tcPr>
          <w:p>
            <w:pPr>
              <w:spacing w:line="320" w:lineRule="exact"/>
              <w:rPr>
                <w:bCs/>
                <w:sz w:val="21"/>
                <w:szCs w:val="21"/>
              </w:rPr>
            </w:pPr>
            <w:r>
              <w:rPr>
                <w:bCs/>
                <w:sz w:val="21"/>
                <w:szCs w:val="21"/>
              </w:rPr>
              <w:t>六、应急经过：</w:t>
            </w:r>
          </w:p>
          <w:p>
            <w:pPr>
              <w:spacing w:line="320" w:lineRule="exact"/>
              <w:rPr>
                <w:bCs/>
                <w:sz w:val="21"/>
                <w:szCs w:val="21"/>
              </w:rPr>
            </w:pPr>
          </w:p>
          <w:p>
            <w:pPr>
              <w:spacing w:line="320" w:lineRule="exact"/>
              <w:rPr>
                <w:bCs/>
                <w:sz w:val="21"/>
                <w:szCs w:val="21"/>
              </w:rPr>
            </w:pPr>
          </w:p>
          <w:p>
            <w:pPr>
              <w:spacing w:line="320" w:lineRule="exact"/>
              <w:rPr>
                <w:bCs/>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5" w:hRule="atLeast"/>
          <w:jc w:val="center"/>
        </w:trPr>
        <w:tc>
          <w:tcPr>
            <w:tcW w:w="8388" w:type="dxa"/>
            <w:gridSpan w:val="7"/>
            <w:tcBorders>
              <w:left w:val="single" w:color="auto" w:sz="12" w:space="0"/>
              <w:right w:val="single" w:color="auto" w:sz="12" w:space="0"/>
            </w:tcBorders>
          </w:tcPr>
          <w:p>
            <w:pPr>
              <w:spacing w:line="320" w:lineRule="exact"/>
              <w:rPr>
                <w:bCs/>
                <w:sz w:val="21"/>
                <w:szCs w:val="21"/>
              </w:rPr>
            </w:pPr>
            <w:r>
              <w:rPr>
                <w:bCs/>
                <w:sz w:val="21"/>
                <w:szCs w:val="21"/>
              </w:rPr>
              <w:t>七、事故初步原因分析：</w:t>
            </w:r>
          </w:p>
          <w:p>
            <w:pPr>
              <w:spacing w:line="320" w:lineRule="exact"/>
              <w:rPr>
                <w:bCs/>
                <w:sz w:val="21"/>
                <w:szCs w:val="21"/>
              </w:rPr>
            </w:pPr>
          </w:p>
          <w:p>
            <w:pPr>
              <w:spacing w:line="320" w:lineRule="exact"/>
              <w:rPr>
                <w:bCs/>
                <w:sz w:val="21"/>
                <w:szCs w:val="21"/>
              </w:rPr>
            </w:pPr>
          </w:p>
          <w:p>
            <w:pPr>
              <w:spacing w:line="320" w:lineRule="exact"/>
              <w:rPr>
                <w:bCs/>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jc w:val="center"/>
        </w:trPr>
        <w:tc>
          <w:tcPr>
            <w:tcW w:w="8388" w:type="dxa"/>
            <w:gridSpan w:val="7"/>
            <w:tcBorders>
              <w:left w:val="single" w:color="auto" w:sz="12" w:space="0"/>
              <w:right w:val="single" w:color="auto" w:sz="12" w:space="0"/>
            </w:tcBorders>
          </w:tcPr>
          <w:p>
            <w:pPr>
              <w:spacing w:line="320" w:lineRule="exact"/>
              <w:rPr>
                <w:bCs/>
                <w:sz w:val="21"/>
                <w:szCs w:val="21"/>
              </w:rPr>
            </w:pPr>
            <w:r>
              <w:rPr>
                <w:bCs/>
                <w:sz w:val="21"/>
                <w:szCs w:val="21"/>
              </w:rPr>
              <w:t>八、应急总结：</w:t>
            </w:r>
          </w:p>
          <w:p>
            <w:pPr>
              <w:spacing w:line="320" w:lineRule="exact"/>
              <w:rPr>
                <w:bCs/>
                <w:sz w:val="21"/>
                <w:szCs w:val="21"/>
              </w:rPr>
            </w:pPr>
          </w:p>
          <w:p>
            <w:pPr>
              <w:spacing w:line="320" w:lineRule="exact"/>
              <w:rPr>
                <w:bCs/>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jc w:val="center"/>
        </w:trPr>
        <w:tc>
          <w:tcPr>
            <w:tcW w:w="8388" w:type="dxa"/>
            <w:gridSpan w:val="7"/>
            <w:tcBorders>
              <w:left w:val="single" w:color="auto" w:sz="12" w:space="0"/>
              <w:right w:val="single" w:color="auto" w:sz="12" w:space="0"/>
            </w:tcBorders>
          </w:tcPr>
          <w:p>
            <w:pPr>
              <w:spacing w:line="320" w:lineRule="exact"/>
              <w:rPr>
                <w:bCs/>
                <w:sz w:val="21"/>
                <w:szCs w:val="21"/>
              </w:rPr>
            </w:pPr>
            <w:r>
              <w:rPr>
                <w:bCs/>
                <w:sz w:val="21"/>
                <w:szCs w:val="21"/>
              </w:rPr>
              <w:t>九、应急表彰与处罚：</w:t>
            </w:r>
          </w:p>
          <w:p>
            <w:pPr>
              <w:spacing w:line="320" w:lineRule="exact"/>
              <w:rPr>
                <w:bCs/>
                <w:sz w:val="21"/>
                <w:szCs w:val="21"/>
              </w:rPr>
            </w:pPr>
          </w:p>
          <w:p>
            <w:pPr>
              <w:spacing w:line="320" w:lineRule="exact"/>
              <w:rPr>
                <w:bCs/>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83" w:hRule="atLeast"/>
          <w:jc w:val="center"/>
        </w:trPr>
        <w:tc>
          <w:tcPr>
            <w:tcW w:w="3844" w:type="dxa"/>
            <w:gridSpan w:val="4"/>
            <w:tcBorders>
              <w:left w:val="single" w:color="auto" w:sz="12" w:space="0"/>
            </w:tcBorders>
            <w:vAlign w:val="center"/>
          </w:tcPr>
          <w:p>
            <w:pPr>
              <w:spacing w:line="320" w:lineRule="exact"/>
              <w:rPr>
                <w:bCs/>
                <w:sz w:val="21"/>
                <w:szCs w:val="21"/>
              </w:rPr>
            </w:pPr>
            <w:r>
              <w:rPr>
                <w:bCs/>
                <w:sz w:val="21"/>
                <w:szCs w:val="21"/>
              </w:rPr>
              <w:t>记录人：</w:t>
            </w:r>
          </w:p>
        </w:tc>
        <w:tc>
          <w:tcPr>
            <w:tcW w:w="4544" w:type="dxa"/>
            <w:gridSpan w:val="3"/>
            <w:tcBorders>
              <w:right w:val="single" w:color="auto" w:sz="12" w:space="0"/>
            </w:tcBorders>
            <w:vAlign w:val="center"/>
          </w:tcPr>
          <w:p>
            <w:pPr>
              <w:spacing w:line="320" w:lineRule="exact"/>
              <w:rPr>
                <w:bCs/>
                <w:sz w:val="21"/>
                <w:szCs w:val="21"/>
              </w:rPr>
            </w:pPr>
            <w:r>
              <w:rPr>
                <w:bCs/>
                <w:sz w:val="21"/>
                <w:szCs w:val="21"/>
              </w:rPr>
              <w:t>应急指挥小组确认：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8" w:hRule="atLeast"/>
          <w:jc w:val="center"/>
        </w:trPr>
        <w:tc>
          <w:tcPr>
            <w:tcW w:w="8388" w:type="dxa"/>
            <w:gridSpan w:val="7"/>
            <w:tcBorders>
              <w:left w:val="single" w:color="auto" w:sz="12" w:space="0"/>
              <w:bottom w:val="single" w:color="auto" w:sz="12" w:space="0"/>
              <w:right w:val="single" w:color="auto" w:sz="12" w:space="0"/>
            </w:tcBorders>
            <w:vAlign w:val="center"/>
          </w:tcPr>
          <w:p>
            <w:pPr>
              <w:spacing w:line="320" w:lineRule="exact"/>
              <w:rPr>
                <w:bCs/>
                <w:sz w:val="21"/>
                <w:szCs w:val="21"/>
              </w:rPr>
            </w:pPr>
            <w:r>
              <w:rPr>
                <w:rFonts w:hint="eastAsia"/>
                <w:bCs/>
                <w:sz w:val="21"/>
                <w:szCs w:val="21"/>
                <w:lang w:eastAsia="zh-CN"/>
              </w:rPr>
              <w:t>总经理</w:t>
            </w:r>
            <w:r>
              <w:rPr>
                <w:bCs/>
                <w:sz w:val="21"/>
                <w:szCs w:val="21"/>
              </w:rPr>
              <w:t>确认：</w:t>
            </w:r>
          </w:p>
        </w:tc>
      </w:tr>
    </w:tbl>
    <w:p>
      <w:pPr>
        <w:pStyle w:val="3"/>
        <w:spacing w:line="480" w:lineRule="exact"/>
        <w:rPr>
          <w:sz w:val="28"/>
        </w:rPr>
      </w:pPr>
    </w:p>
    <w:p/>
    <w:p/>
    <w:p/>
    <w:p/>
    <w:p/>
    <w:p>
      <w:pPr>
        <w:sectPr>
          <w:pgSz w:w="11906" w:h="16838"/>
          <w:pgMar w:top="1418" w:right="1418" w:bottom="1418" w:left="1418" w:header="851" w:footer="959" w:gutter="0"/>
          <w:pgBorders>
            <w:top w:val="none" w:sz="0" w:space="0"/>
            <w:left w:val="none" w:sz="0" w:space="0"/>
            <w:bottom w:val="none" w:sz="0" w:space="0"/>
            <w:right w:val="none" w:sz="0" w:space="0"/>
          </w:pgBorders>
          <w:pgNumType w:fmt="decimal"/>
          <w:cols w:space="720" w:num="1"/>
          <w:docGrid w:linePitch="312" w:charSpace="0"/>
        </w:sectPr>
      </w:pPr>
    </w:p>
    <w:p>
      <w:pPr>
        <w:pStyle w:val="3"/>
        <w:spacing w:line="480" w:lineRule="exact"/>
        <w:rPr>
          <w:sz w:val="28"/>
        </w:rPr>
      </w:pPr>
      <w:bookmarkStart w:id="439" w:name="_Toc3349"/>
      <w:bookmarkStart w:id="440" w:name="_Toc15608"/>
      <w:bookmarkStart w:id="441" w:name="_Toc30904"/>
      <w:bookmarkStart w:id="442" w:name="_Toc30578"/>
      <w:r>
        <w:rPr>
          <w:sz w:val="28"/>
        </w:rPr>
        <w:t>附件4四周环境示意图</w:t>
      </w:r>
      <w:bookmarkEnd w:id="439"/>
      <w:bookmarkEnd w:id="440"/>
      <w:bookmarkEnd w:id="441"/>
      <w:bookmarkEnd w:id="442"/>
    </w:p>
    <w:p>
      <w:pPr>
        <w:pStyle w:val="17"/>
        <w:ind w:firstLine="0" w:firstLineChars="0"/>
        <w:jc w:val="center"/>
        <w:rPr>
          <w:rFonts w:ascii="Times New Roman" w:hAnsi="Times New Roman"/>
        </w:rPr>
        <w:sectPr>
          <w:pgSz w:w="16838" w:h="11906" w:orient="landscape"/>
          <w:pgMar w:top="1418" w:right="1418" w:bottom="1418" w:left="1418" w:header="851" w:footer="958" w:gutter="0"/>
          <w:pgBorders>
            <w:top w:val="none" w:sz="0" w:space="0"/>
            <w:left w:val="none" w:sz="0" w:space="0"/>
            <w:bottom w:val="none" w:sz="0" w:space="0"/>
            <w:right w:val="none" w:sz="0" w:space="0"/>
          </w:pgBorders>
          <w:pgNumType w:fmt="decimal"/>
          <w:cols w:space="720" w:num="1"/>
          <w:docGrid w:linePitch="381" w:charSpace="0"/>
        </w:sectPr>
      </w:pPr>
      <w:r>
        <w:rPr>
          <w:rFonts w:ascii="宋体" w:hAnsi="宋体" w:eastAsia="宋体" w:cs="宋体"/>
          <w:position w:val="-179"/>
          <w:sz w:val="20"/>
          <w:szCs w:val="20"/>
        </w:rPr>
        <w:pict>
          <v:group id="_x0000_s8562" o:spid="_x0000_s8562" o:spt="203" style="height:391.95pt;width:590.85pt;" coordsize="13421,8978">
            <o:lock v:ext="edit" aspectratio="f"/>
            <v:shape id="_x0000_s8563" o:spid="_x0000_s8563" o:spt="75" type="#_x0000_t75" style="position:absolute;left:10;top:10;height:8958;width:13401;" filled="f" o:preferrelative="t" stroked="f" coordsize="21600,21600">
              <v:path/>
              <v:fill on="f" focussize="0,0"/>
              <v:stroke on="f"/>
              <v:imagedata r:id="rId22" o:title=""/>
              <o:lock v:ext="edit" aspectratio="t"/>
            </v:shape>
            <v:group id="_x0000_s8564" o:spid="_x0000_s8564" o:spt="203" style="position:absolute;left:5;top:5;height:8968;width:13411;" coordorigin="5,5" coordsize="13411,8968">
              <o:lock v:ext="edit" aspectratio="f"/>
              <v:shape id="_x0000_s8565" o:spid="_x0000_s8565" style="position:absolute;left:5;top:5;height:8968;width:13411;" filled="f" stroked="t" coordorigin="5,5" coordsize="13411,8968" path="m5,8973l13416,8973,13416,5,5,5,5,8973xe">
                <v:path arrowok="t"/>
                <v:fill on="f" focussize="0,0"/>
                <v:stroke weight="0.5pt" color="#000000"/>
                <v:imagedata o:title=""/>
                <o:lock v:ext="edit" aspectratio="f"/>
              </v:shape>
            </v:group>
            <w10:wrap type="none"/>
            <w10:anchorlock/>
          </v:group>
        </w:pict>
      </w:r>
    </w:p>
    <w:p>
      <w:pPr>
        <w:pStyle w:val="3"/>
        <w:spacing w:before="120" w:after="120" w:line="480" w:lineRule="exact"/>
        <w:rPr>
          <w:sz w:val="28"/>
        </w:rPr>
      </w:pPr>
      <w:bookmarkStart w:id="443" w:name="_Toc1279"/>
      <w:bookmarkStart w:id="444" w:name="_Toc7372"/>
      <w:bookmarkStart w:id="445" w:name="_Toc2764"/>
      <w:bookmarkStart w:id="446" w:name="_Toc6013"/>
      <w:r>
        <w:rPr>
          <w:sz w:val="28"/>
        </w:rPr>
        <w:t>附件5环境风险源分布图</w:t>
      </w:r>
      <w:bookmarkEnd w:id="443"/>
      <w:bookmarkEnd w:id="444"/>
      <w:bookmarkEnd w:id="445"/>
      <w:bookmarkEnd w:id="446"/>
    </w:p>
    <w:p>
      <w:pPr>
        <w:jc w:val="center"/>
        <w:rPr>
          <w:sz w:val="28"/>
        </w:rPr>
      </w:pPr>
      <w:r>
        <w:drawing>
          <wp:inline distT="0" distB="0" distL="114300" distR="114300">
            <wp:extent cx="7106285" cy="5290820"/>
            <wp:effectExtent l="0" t="0" r="18415" b="5080"/>
            <wp:docPr id="4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3"/>
                    <pic:cNvPicPr>
                      <a:picLocks noChangeAspect="1"/>
                    </pic:cNvPicPr>
                  </pic:nvPicPr>
                  <pic:blipFill>
                    <a:blip r:embed="rId29"/>
                    <a:stretch>
                      <a:fillRect/>
                    </a:stretch>
                  </pic:blipFill>
                  <pic:spPr>
                    <a:xfrm>
                      <a:off x="0" y="0"/>
                      <a:ext cx="7106285" cy="5290820"/>
                    </a:xfrm>
                    <a:prstGeom prst="rect">
                      <a:avLst/>
                    </a:prstGeom>
                    <a:noFill/>
                    <a:ln>
                      <a:noFill/>
                    </a:ln>
                  </pic:spPr>
                </pic:pic>
              </a:graphicData>
            </a:graphic>
          </wp:inline>
        </w:drawing>
      </w:r>
    </w:p>
    <w:p>
      <w:pPr>
        <w:pStyle w:val="3"/>
        <w:keepNext/>
        <w:keepLines/>
        <w:pageBreakBefore w:val="0"/>
        <w:widowControl w:val="0"/>
        <w:kinsoku/>
        <w:wordWrap/>
        <w:overflowPunct/>
        <w:topLinePunct w:val="0"/>
        <w:autoSpaceDE/>
        <w:autoSpaceDN/>
        <w:bidi w:val="0"/>
        <w:adjustRightInd/>
        <w:snapToGrid/>
        <w:spacing w:after="0" w:line="416" w:lineRule="auto"/>
        <w:textAlignment w:val="auto"/>
      </w:pPr>
      <w:bookmarkStart w:id="447" w:name="_Toc19999"/>
      <w:r>
        <w:t>附件6雨水管网示意图</w:t>
      </w:r>
      <w:bookmarkEnd w:id="447"/>
    </w:p>
    <w:p>
      <w:pPr>
        <w:pStyle w:val="17"/>
        <w:ind w:left="0" w:leftChars="0" w:firstLine="0" w:firstLineChars="0"/>
        <w:jc w:val="center"/>
      </w:pPr>
      <w:r>
        <w:drawing>
          <wp:inline distT="0" distB="0" distL="114300" distR="114300">
            <wp:extent cx="7258050" cy="5328285"/>
            <wp:effectExtent l="0" t="0" r="0" b="5715"/>
            <wp:docPr id="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3"/>
                    <pic:cNvPicPr>
                      <a:picLocks noChangeAspect="1"/>
                    </pic:cNvPicPr>
                  </pic:nvPicPr>
                  <pic:blipFill>
                    <a:blip r:embed="rId35"/>
                    <a:stretch>
                      <a:fillRect/>
                    </a:stretch>
                  </pic:blipFill>
                  <pic:spPr>
                    <a:xfrm>
                      <a:off x="0" y="0"/>
                      <a:ext cx="7258050" cy="5328285"/>
                    </a:xfrm>
                    <a:prstGeom prst="rect">
                      <a:avLst/>
                    </a:prstGeom>
                    <a:noFill/>
                    <a:ln>
                      <a:noFill/>
                    </a:ln>
                  </pic:spPr>
                </pic:pic>
              </a:graphicData>
            </a:graphic>
          </wp:inline>
        </w:drawing>
      </w:r>
    </w:p>
    <w:p>
      <w:pPr>
        <w:pStyle w:val="3"/>
      </w:pPr>
      <w:bookmarkStart w:id="448" w:name="_Toc16090"/>
      <w:r>
        <w:t>附件7应急物资示意图</w:t>
      </w:r>
      <w:bookmarkEnd w:id="448"/>
    </w:p>
    <w:p>
      <w:pPr>
        <w:jc w:val="center"/>
      </w:pPr>
      <w:r>
        <w:drawing>
          <wp:inline distT="0" distB="0" distL="114300" distR="114300">
            <wp:extent cx="8883650" cy="5046980"/>
            <wp:effectExtent l="0" t="0" r="12700" b="1270"/>
            <wp:docPr id="5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4"/>
                    <pic:cNvPicPr>
                      <a:picLocks noChangeAspect="1"/>
                    </pic:cNvPicPr>
                  </pic:nvPicPr>
                  <pic:blipFill>
                    <a:blip r:embed="rId36"/>
                    <a:stretch>
                      <a:fillRect/>
                    </a:stretch>
                  </pic:blipFill>
                  <pic:spPr>
                    <a:xfrm>
                      <a:off x="0" y="0"/>
                      <a:ext cx="8883650" cy="5046980"/>
                    </a:xfrm>
                    <a:prstGeom prst="rect">
                      <a:avLst/>
                    </a:prstGeom>
                    <a:noFill/>
                    <a:ln>
                      <a:noFill/>
                    </a:ln>
                  </pic:spPr>
                </pic:pic>
              </a:graphicData>
            </a:graphic>
          </wp:inline>
        </w:drawing>
      </w:r>
    </w:p>
    <w:p>
      <w:pPr>
        <w:jc w:val="center"/>
      </w:pPr>
    </w:p>
    <w:p>
      <w:pPr>
        <w:jc w:val="center"/>
      </w:pPr>
      <w:r>
        <w:drawing>
          <wp:inline distT="0" distB="0" distL="114300" distR="114300">
            <wp:extent cx="8134350" cy="5648325"/>
            <wp:effectExtent l="0" t="0" r="0" b="9525"/>
            <wp:docPr id="5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
                    <pic:cNvPicPr>
                      <a:picLocks noChangeAspect="1"/>
                    </pic:cNvPicPr>
                  </pic:nvPicPr>
                  <pic:blipFill>
                    <a:blip r:embed="rId37"/>
                    <a:stretch>
                      <a:fillRect/>
                    </a:stretch>
                  </pic:blipFill>
                  <pic:spPr>
                    <a:xfrm>
                      <a:off x="0" y="0"/>
                      <a:ext cx="8134350" cy="5648325"/>
                    </a:xfrm>
                    <a:prstGeom prst="rect">
                      <a:avLst/>
                    </a:prstGeom>
                    <a:noFill/>
                    <a:ln>
                      <a:noFill/>
                    </a:ln>
                  </pic:spPr>
                </pic:pic>
              </a:graphicData>
            </a:graphic>
          </wp:inline>
        </w:drawing>
      </w:r>
    </w:p>
    <w:p>
      <w:pPr>
        <w:jc w:val="center"/>
      </w:pPr>
    </w:p>
    <w:p>
      <w:pPr>
        <w:pStyle w:val="3"/>
        <w:spacing w:line="480" w:lineRule="exact"/>
        <w:rPr>
          <w:sz w:val="28"/>
        </w:rPr>
      </w:pPr>
      <w:bookmarkStart w:id="449" w:name="_Toc6324"/>
      <w:bookmarkStart w:id="450" w:name="_Toc18481"/>
      <w:bookmarkStart w:id="451" w:name="_Toc23544"/>
      <w:bookmarkStart w:id="452" w:name="_Toc14649"/>
      <w:r>
        <w:rPr>
          <w:sz w:val="28"/>
        </w:rPr>
        <w:t>附件</w:t>
      </w:r>
      <w:r>
        <w:rPr>
          <w:rFonts w:hint="eastAsia"/>
          <w:sz w:val="28"/>
          <w:lang w:val="en-US" w:eastAsia="zh-CN"/>
        </w:rPr>
        <w:t>8</w:t>
      </w:r>
      <w:r>
        <w:rPr>
          <w:sz w:val="28"/>
        </w:rPr>
        <w:t>应急救援指挥部组织架构图</w:t>
      </w:r>
      <w:bookmarkEnd w:id="449"/>
      <w:bookmarkEnd w:id="450"/>
      <w:bookmarkEnd w:id="451"/>
      <w:bookmarkEnd w:id="452"/>
    </w:p>
    <w:p>
      <w:pPr>
        <w:spacing w:line="480" w:lineRule="exact"/>
        <w:ind w:left="226" w:leftChars="82" w:firstLine="13" w:firstLineChars="5"/>
      </w:pPr>
      <w:r>
        <w:drawing>
          <wp:anchor distT="0" distB="0" distL="114300" distR="114300" simplePos="0" relativeHeight="4004145152" behindDoc="0" locked="0" layoutInCell="1" allowOverlap="1">
            <wp:simplePos x="0" y="0"/>
            <wp:positionH relativeFrom="column">
              <wp:posOffset>28575</wp:posOffset>
            </wp:positionH>
            <wp:positionV relativeFrom="paragraph">
              <wp:posOffset>386715</wp:posOffset>
            </wp:positionV>
            <wp:extent cx="8881745" cy="4718685"/>
            <wp:effectExtent l="0" t="0" r="14605" b="5715"/>
            <wp:wrapTopAndBottom/>
            <wp:docPr id="5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6"/>
                    <pic:cNvPicPr>
                      <a:picLocks noChangeAspect="1"/>
                    </pic:cNvPicPr>
                  </pic:nvPicPr>
                  <pic:blipFill>
                    <a:blip r:embed="rId38"/>
                    <a:stretch>
                      <a:fillRect/>
                    </a:stretch>
                  </pic:blipFill>
                  <pic:spPr>
                    <a:xfrm>
                      <a:off x="0" y="0"/>
                      <a:ext cx="8881745" cy="4718685"/>
                    </a:xfrm>
                    <a:prstGeom prst="rect">
                      <a:avLst/>
                    </a:prstGeom>
                    <a:noFill/>
                    <a:ln>
                      <a:noFill/>
                    </a:ln>
                  </pic:spPr>
                </pic:pic>
              </a:graphicData>
            </a:graphic>
          </wp:anchor>
        </w:drawing>
      </w:r>
    </w:p>
    <w:p>
      <w:pPr>
        <w:spacing w:line="480" w:lineRule="exact"/>
        <w:ind w:left="226" w:leftChars="82" w:firstLine="13" w:firstLineChars="5"/>
        <w:sectPr>
          <w:headerReference r:id="rId17" w:type="default"/>
          <w:footerReference r:id="rId18" w:type="default"/>
          <w:pgSz w:w="16838" w:h="11906" w:orient="landscape"/>
          <w:pgMar w:top="1156" w:right="1418" w:bottom="1418" w:left="1418" w:header="851" w:footer="284" w:gutter="0"/>
          <w:pgBorders>
            <w:top w:val="none" w:sz="0" w:space="0"/>
            <w:left w:val="none" w:sz="0" w:space="0"/>
            <w:bottom w:val="none" w:sz="0" w:space="0"/>
            <w:right w:val="none" w:sz="0" w:space="0"/>
          </w:pgBorders>
          <w:pgNumType w:fmt="decimal"/>
          <w:cols w:space="720" w:num="1"/>
          <w:docGrid w:linePitch="312" w:charSpace="0"/>
        </w:sectPr>
      </w:pPr>
    </w:p>
    <w:p>
      <w:pPr>
        <w:pStyle w:val="3"/>
        <w:spacing w:line="480" w:lineRule="exact"/>
        <w:rPr>
          <w:sz w:val="28"/>
        </w:rPr>
      </w:pPr>
      <w:bookmarkStart w:id="453" w:name="_Toc20849"/>
      <w:bookmarkStart w:id="454" w:name="_Toc23634"/>
      <w:bookmarkStart w:id="455" w:name="_Toc1307"/>
      <w:bookmarkStart w:id="456" w:name="_Toc27745"/>
      <w:r>
        <w:rPr>
          <w:sz w:val="28"/>
        </w:rPr>
        <w:t>附件</w:t>
      </w:r>
      <w:r>
        <w:rPr>
          <w:rFonts w:hint="eastAsia"/>
          <w:sz w:val="28"/>
          <w:lang w:val="en-US" w:eastAsia="zh-CN"/>
        </w:rPr>
        <w:t>9</w:t>
      </w:r>
      <w:r>
        <w:rPr>
          <w:sz w:val="28"/>
        </w:rPr>
        <w:t>值班联系电话</w:t>
      </w:r>
      <w:bookmarkEnd w:id="453"/>
      <w:bookmarkEnd w:id="454"/>
      <w:bookmarkEnd w:id="455"/>
      <w:bookmarkEnd w:id="456"/>
    </w:p>
    <w:p>
      <w:pPr>
        <w:spacing w:line="480" w:lineRule="exact"/>
      </w:pPr>
      <w:r>
        <w:t>值班联系电话：</w:t>
      </w:r>
      <w:r>
        <w:rPr>
          <w:rFonts w:hint="eastAsia"/>
        </w:rPr>
        <w:t>0760-89926400</w:t>
      </w:r>
    </w:p>
    <w:p>
      <w:pPr>
        <w:pStyle w:val="3"/>
        <w:spacing w:line="480" w:lineRule="exact"/>
        <w:rPr>
          <w:sz w:val="28"/>
        </w:rPr>
      </w:pPr>
      <w:bookmarkStart w:id="457" w:name="_Toc20072"/>
      <w:bookmarkStart w:id="458" w:name="_Toc20550"/>
      <w:bookmarkStart w:id="459" w:name="_Toc5365"/>
      <w:bookmarkStart w:id="460" w:name="_Toc19128"/>
      <w:r>
        <w:rPr>
          <w:sz w:val="28"/>
        </w:rPr>
        <w:t>附件1</w:t>
      </w:r>
      <w:r>
        <w:rPr>
          <w:rFonts w:hint="eastAsia"/>
          <w:sz w:val="28"/>
          <w:lang w:val="en-US" w:eastAsia="zh-CN"/>
        </w:rPr>
        <w:t>0</w:t>
      </w:r>
      <w:r>
        <w:rPr>
          <w:sz w:val="28"/>
        </w:rPr>
        <w:t>主要车间负责人的联系电话</w:t>
      </w:r>
      <w:bookmarkEnd w:id="457"/>
      <w:bookmarkEnd w:id="458"/>
      <w:bookmarkEnd w:id="459"/>
      <w:bookmarkEnd w:id="460"/>
    </w:p>
    <w:tbl>
      <w:tblPr>
        <w:tblStyle w:val="42"/>
        <w:tblW w:w="928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432"/>
        <w:gridCol w:w="2818"/>
        <w:gridCol w:w="303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432" w:type="dxa"/>
            <w:noWrap w:val="0"/>
            <w:vAlign w:val="center"/>
          </w:tcPr>
          <w:p>
            <w:pPr>
              <w:spacing w:line="360" w:lineRule="exact"/>
              <w:jc w:val="center"/>
              <w:rPr>
                <w:rFonts w:hint="eastAsia"/>
                <w:sz w:val="24"/>
              </w:rPr>
            </w:pPr>
            <w:r>
              <w:rPr>
                <w:rFonts w:hint="eastAsia"/>
                <w:sz w:val="24"/>
              </w:rPr>
              <w:t>车间或仓库名称</w:t>
            </w:r>
          </w:p>
        </w:tc>
        <w:tc>
          <w:tcPr>
            <w:tcW w:w="2818" w:type="dxa"/>
            <w:noWrap w:val="0"/>
            <w:vAlign w:val="center"/>
          </w:tcPr>
          <w:p>
            <w:pPr>
              <w:spacing w:line="360" w:lineRule="exact"/>
              <w:jc w:val="center"/>
              <w:rPr>
                <w:rFonts w:hint="eastAsia"/>
                <w:sz w:val="24"/>
              </w:rPr>
            </w:pPr>
            <w:r>
              <w:rPr>
                <w:rFonts w:hint="eastAsia"/>
                <w:sz w:val="24"/>
              </w:rPr>
              <w:t>负责人</w:t>
            </w:r>
          </w:p>
        </w:tc>
        <w:tc>
          <w:tcPr>
            <w:tcW w:w="3036" w:type="dxa"/>
            <w:noWrap w:val="0"/>
            <w:vAlign w:val="center"/>
          </w:tcPr>
          <w:p>
            <w:pPr>
              <w:spacing w:line="360" w:lineRule="exact"/>
              <w:jc w:val="center"/>
              <w:rPr>
                <w:rFonts w:hint="eastAsia"/>
                <w:sz w:val="24"/>
              </w:rPr>
            </w:pPr>
            <w:r>
              <w:rPr>
                <w:rFonts w:hint="eastAsia"/>
                <w:sz w:val="24"/>
              </w:rPr>
              <w:t>联系电话</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432" w:type="dxa"/>
            <w:noWrap w:val="0"/>
            <w:vAlign w:val="center"/>
          </w:tcPr>
          <w:p>
            <w:pPr>
              <w:spacing w:line="360" w:lineRule="exact"/>
              <w:jc w:val="center"/>
              <w:rPr>
                <w:rFonts w:hint="eastAsia"/>
                <w:sz w:val="24"/>
              </w:rPr>
            </w:pPr>
            <w:r>
              <w:rPr>
                <w:rFonts w:hint="eastAsia"/>
                <w:sz w:val="24"/>
              </w:rPr>
              <w:t>生产物流仓库</w:t>
            </w:r>
          </w:p>
        </w:tc>
        <w:tc>
          <w:tcPr>
            <w:tcW w:w="2818" w:type="dxa"/>
            <w:vMerge w:val="restart"/>
            <w:noWrap w:val="0"/>
            <w:vAlign w:val="center"/>
          </w:tcPr>
          <w:p>
            <w:pPr>
              <w:spacing w:line="360" w:lineRule="exact"/>
              <w:jc w:val="center"/>
              <w:rPr>
                <w:rFonts w:hint="eastAsia"/>
                <w:sz w:val="24"/>
              </w:rPr>
            </w:pPr>
            <w:r>
              <w:rPr>
                <w:rFonts w:hint="eastAsia"/>
                <w:sz w:val="24"/>
              </w:rPr>
              <w:t>易剑峰</w:t>
            </w:r>
          </w:p>
        </w:tc>
        <w:tc>
          <w:tcPr>
            <w:tcW w:w="3036" w:type="dxa"/>
            <w:vMerge w:val="restart"/>
            <w:noWrap w:val="0"/>
            <w:vAlign w:val="center"/>
          </w:tcPr>
          <w:p>
            <w:pPr>
              <w:spacing w:line="360" w:lineRule="exact"/>
              <w:jc w:val="center"/>
              <w:rPr>
                <w:rFonts w:hint="eastAsia"/>
                <w:sz w:val="24"/>
              </w:rPr>
            </w:pPr>
            <w:r>
              <w:rPr>
                <w:rFonts w:hint="eastAsia"/>
                <w:sz w:val="24"/>
              </w:rPr>
              <w:t>18802591209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432" w:type="dxa"/>
            <w:noWrap w:val="0"/>
            <w:vAlign w:val="center"/>
          </w:tcPr>
          <w:p>
            <w:pPr>
              <w:spacing w:line="360" w:lineRule="exact"/>
              <w:jc w:val="center"/>
              <w:rPr>
                <w:rFonts w:hint="eastAsia"/>
                <w:sz w:val="24"/>
              </w:rPr>
            </w:pPr>
            <w:r>
              <w:rPr>
                <w:rFonts w:hint="eastAsia"/>
                <w:sz w:val="24"/>
              </w:rPr>
              <w:t>危险废物仓库</w:t>
            </w:r>
          </w:p>
        </w:tc>
        <w:tc>
          <w:tcPr>
            <w:tcW w:w="2818" w:type="dxa"/>
            <w:vMerge w:val="continue"/>
            <w:noWrap w:val="0"/>
            <w:vAlign w:val="center"/>
          </w:tcPr>
          <w:p>
            <w:pPr>
              <w:spacing w:line="360" w:lineRule="exact"/>
              <w:jc w:val="center"/>
              <w:rPr>
                <w:rFonts w:hint="eastAsia"/>
                <w:sz w:val="24"/>
              </w:rPr>
            </w:pPr>
          </w:p>
        </w:tc>
        <w:tc>
          <w:tcPr>
            <w:tcW w:w="3036" w:type="dxa"/>
            <w:vMerge w:val="continue"/>
            <w:noWrap w:val="0"/>
            <w:vAlign w:val="center"/>
          </w:tcPr>
          <w:p>
            <w:pPr>
              <w:spacing w:line="360" w:lineRule="exact"/>
              <w:jc w:val="center"/>
              <w:rPr>
                <w:rFonts w:hint="eastAsia"/>
                <w:sz w:val="24"/>
              </w:rPr>
            </w:pPr>
          </w:p>
        </w:tc>
      </w:tr>
    </w:tbl>
    <w:p>
      <w:pPr>
        <w:pStyle w:val="3"/>
        <w:spacing w:line="480" w:lineRule="exact"/>
        <w:rPr>
          <w:sz w:val="28"/>
        </w:rPr>
      </w:pPr>
      <w:bookmarkStart w:id="461" w:name="_Toc4565"/>
      <w:bookmarkStart w:id="462" w:name="_Toc4611"/>
      <w:bookmarkStart w:id="463" w:name="_Toc15294"/>
      <w:bookmarkStart w:id="464" w:name="_Toc2157"/>
      <w:r>
        <w:rPr>
          <w:sz w:val="28"/>
        </w:rPr>
        <w:t>附件1</w:t>
      </w:r>
      <w:r>
        <w:rPr>
          <w:rFonts w:hint="eastAsia"/>
          <w:sz w:val="28"/>
          <w:lang w:val="en-US" w:eastAsia="zh-CN"/>
        </w:rPr>
        <w:t>1</w:t>
      </w:r>
      <w:r>
        <w:rPr>
          <w:sz w:val="28"/>
        </w:rPr>
        <w:t xml:space="preserve"> 组织应急救援有关人员通讯录</w:t>
      </w:r>
      <w:bookmarkEnd w:id="461"/>
      <w:bookmarkEnd w:id="462"/>
      <w:bookmarkEnd w:id="463"/>
      <w:bookmarkEnd w:id="464"/>
    </w:p>
    <w:tbl>
      <w:tblPr>
        <w:tblStyle w:val="42"/>
        <w:tblW w:w="8275"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3"/>
        <w:gridCol w:w="1214"/>
        <w:gridCol w:w="1593"/>
        <w:gridCol w:w="1656"/>
        <w:gridCol w:w="295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92" w:hRule="atLeast"/>
          <w:tblHeader/>
          <w:jc w:val="center"/>
        </w:trPr>
        <w:tc>
          <w:tcPr>
            <w:tcW w:w="2067" w:type="dxa"/>
            <w:gridSpan w:val="2"/>
            <w:tcBorders>
              <w:top w:val="single" w:color="auto" w:sz="4" w:space="0"/>
              <w:left w:val="single" w:color="auto" w:sz="4" w:space="0"/>
              <w:bottom w:val="single" w:color="auto" w:sz="4" w:space="0"/>
              <w:right w:val="single" w:color="auto" w:sz="4" w:space="0"/>
              <w:tl2br w:val="single" w:color="auto" w:sz="4" w:space="0"/>
            </w:tcBorders>
            <w:noWrap w:val="0"/>
            <w:vAlign w:val="top"/>
          </w:tcPr>
          <w:p>
            <w:pPr>
              <w:widowControl/>
              <w:jc w:val="center"/>
              <w:textAlignment w:val="center"/>
              <w:rPr>
                <w:rFonts w:hint="eastAsia" w:ascii="宋体" w:hAnsi="宋体"/>
                <w:b/>
                <w:bCs/>
                <w:color w:val="000000"/>
                <w:sz w:val="24"/>
                <w:szCs w:val="22"/>
              </w:rPr>
            </w:pPr>
            <w:bookmarkStart w:id="465" w:name="_Toc29928"/>
            <w:bookmarkStart w:id="466" w:name="_Toc20900"/>
            <w:bookmarkStart w:id="467" w:name="_Toc21580"/>
            <w:r>
              <w:rPr>
                <w:rFonts w:hint="eastAsia" w:ascii="宋体" w:hAnsi="宋体"/>
                <w:b/>
                <w:bCs/>
                <w:color w:val="000000"/>
                <w:sz w:val="24"/>
                <w:szCs w:val="22"/>
              </w:rPr>
              <w:t xml:space="preserve">           项目    小组</w:t>
            </w:r>
          </w:p>
        </w:tc>
        <w:tc>
          <w:tcPr>
            <w:tcW w:w="1593"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b/>
                <w:bCs/>
                <w:color w:val="000000"/>
                <w:sz w:val="24"/>
                <w:szCs w:val="22"/>
              </w:rPr>
            </w:pPr>
            <w:r>
              <w:rPr>
                <w:rFonts w:hint="eastAsia" w:ascii="宋体" w:hAnsi="宋体"/>
                <w:b/>
                <w:bCs/>
                <w:color w:val="000000"/>
                <w:sz w:val="24"/>
                <w:szCs w:val="22"/>
              </w:rPr>
              <w:t>姓名</w:t>
            </w:r>
          </w:p>
        </w:tc>
        <w:tc>
          <w:tcPr>
            <w:tcW w:w="1656"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b/>
                <w:bCs/>
                <w:color w:val="000000"/>
                <w:sz w:val="24"/>
                <w:szCs w:val="22"/>
              </w:rPr>
            </w:pPr>
            <w:r>
              <w:rPr>
                <w:rFonts w:hint="eastAsia" w:ascii="宋体" w:hAnsi="宋体"/>
                <w:b/>
                <w:bCs/>
                <w:color w:val="000000"/>
                <w:sz w:val="24"/>
                <w:szCs w:val="22"/>
              </w:rPr>
              <w:t>应急指挥职责</w:t>
            </w:r>
          </w:p>
        </w:tc>
        <w:tc>
          <w:tcPr>
            <w:tcW w:w="2959"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b/>
                <w:bCs/>
                <w:color w:val="000000"/>
                <w:sz w:val="24"/>
                <w:szCs w:val="22"/>
              </w:rPr>
            </w:pPr>
            <w:r>
              <w:rPr>
                <w:rFonts w:hint="eastAsia" w:ascii="宋体" w:hAnsi="宋体"/>
                <w:b/>
                <w:bCs/>
                <w:color w:val="000000"/>
                <w:sz w:val="24"/>
                <w:szCs w:val="22"/>
              </w:rPr>
              <w:t>联系方式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4" w:hRule="atLeast"/>
          <w:jc w:val="center"/>
        </w:trPr>
        <w:tc>
          <w:tcPr>
            <w:tcW w:w="2067" w:type="dxa"/>
            <w:gridSpan w:val="2"/>
            <w:vMerge w:val="restart"/>
            <w:tcBorders>
              <w:top w:val="single" w:color="auto" w:sz="4" w:space="0"/>
              <w:left w:val="single" w:color="auto" w:sz="4" w:space="0"/>
              <w:right w:val="single" w:color="auto" w:sz="4" w:space="0"/>
            </w:tcBorders>
            <w:noWrap w:val="0"/>
            <w:vAlign w:val="center"/>
          </w:tcPr>
          <w:p>
            <w:pPr>
              <w:widowControl/>
              <w:jc w:val="center"/>
              <w:textAlignment w:val="center"/>
              <w:rPr>
                <w:rFonts w:hint="eastAsia" w:ascii="宋体" w:hAnsi="宋体"/>
                <w:b/>
                <w:bCs/>
                <w:color w:val="000000"/>
                <w:sz w:val="24"/>
                <w:szCs w:val="22"/>
              </w:rPr>
            </w:pPr>
            <w:r>
              <w:rPr>
                <w:rFonts w:hint="eastAsia" w:ascii="宋体" w:hAnsi="宋体"/>
                <w:b/>
                <w:bCs/>
                <w:color w:val="000000"/>
                <w:sz w:val="24"/>
                <w:szCs w:val="22"/>
              </w:rPr>
              <w:t>应急指挥部</w:t>
            </w:r>
          </w:p>
        </w:tc>
        <w:tc>
          <w:tcPr>
            <w:tcW w:w="1593"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黄南平</w:t>
            </w:r>
          </w:p>
        </w:tc>
        <w:tc>
          <w:tcPr>
            <w:tcW w:w="1656"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总指挥</w:t>
            </w:r>
          </w:p>
        </w:tc>
        <w:tc>
          <w:tcPr>
            <w:tcW w:w="2959"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13802652040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2067" w:type="dxa"/>
            <w:gridSpan w:val="2"/>
            <w:vMerge w:val="continue"/>
            <w:tcBorders>
              <w:left w:val="single" w:color="auto" w:sz="4" w:space="0"/>
              <w:right w:val="single" w:color="auto" w:sz="4" w:space="0"/>
            </w:tcBorders>
            <w:noWrap w:val="0"/>
            <w:vAlign w:val="center"/>
          </w:tcPr>
          <w:p>
            <w:pPr>
              <w:widowControl/>
              <w:jc w:val="center"/>
              <w:textAlignment w:val="center"/>
              <w:rPr>
                <w:rFonts w:hint="eastAsia" w:ascii="宋体" w:hAnsi="宋体"/>
                <w:b/>
                <w:bCs/>
                <w:color w:val="000000"/>
                <w:sz w:val="24"/>
                <w:szCs w:val="22"/>
              </w:rPr>
            </w:pPr>
          </w:p>
        </w:tc>
        <w:tc>
          <w:tcPr>
            <w:tcW w:w="1593"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郭子朋</w:t>
            </w:r>
          </w:p>
        </w:tc>
        <w:tc>
          <w:tcPr>
            <w:tcW w:w="1656" w:type="dxa"/>
            <w:tcBorders>
              <w:top w:val="single" w:color="auto" w:sz="4" w:space="0"/>
              <w:left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副总指挥</w:t>
            </w:r>
          </w:p>
        </w:tc>
        <w:tc>
          <w:tcPr>
            <w:tcW w:w="2959"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13802653762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15" w:hRule="atLeast"/>
          <w:jc w:val="center"/>
        </w:trPr>
        <w:tc>
          <w:tcPr>
            <w:tcW w:w="2067" w:type="dxa"/>
            <w:gridSpan w:val="2"/>
            <w:vMerge w:val="continue"/>
            <w:tcBorders>
              <w:left w:val="single" w:color="auto" w:sz="4" w:space="0"/>
              <w:right w:val="single" w:color="auto" w:sz="4" w:space="0"/>
            </w:tcBorders>
            <w:noWrap w:val="0"/>
            <w:vAlign w:val="center"/>
          </w:tcPr>
          <w:p>
            <w:pPr>
              <w:widowControl/>
              <w:jc w:val="center"/>
              <w:textAlignment w:val="center"/>
              <w:rPr>
                <w:rFonts w:hint="eastAsia" w:ascii="宋体" w:hAnsi="宋体"/>
                <w:b/>
                <w:bCs/>
                <w:color w:val="000000"/>
                <w:sz w:val="24"/>
                <w:szCs w:val="22"/>
              </w:rPr>
            </w:pPr>
          </w:p>
        </w:tc>
        <w:tc>
          <w:tcPr>
            <w:tcW w:w="1593"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吕庆洪</w:t>
            </w:r>
          </w:p>
        </w:tc>
        <w:tc>
          <w:tcPr>
            <w:tcW w:w="1656" w:type="dxa"/>
            <w:tcBorders>
              <w:top w:val="single" w:color="auto" w:sz="4" w:space="0"/>
              <w:left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副总指挥</w:t>
            </w:r>
          </w:p>
        </w:tc>
        <w:tc>
          <w:tcPr>
            <w:tcW w:w="2959"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18688102278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4" w:hRule="atLeast"/>
          <w:jc w:val="center"/>
        </w:trPr>
        <w:tc>
          <w:tcPr>
            <w:tcW w:w="2067" w:type="dxa"/>
            <w:gridSpan w:val="2"/>
            <w:vMerge w:val="restart"/>
            <w:tcBorders>
              <w:top w:val="single" w:color="auto" w:sz="4" w:space="0"/>
              <w:left w:val="single" w:color="auto" w:sz="4" w:space="0"/>
              <w:right w:val="single" w:color="auto" w:sz="4" w:space="0"/>
            </w:tcBorders>
            <w:noWrap w:val="0"/>
            <w:vAlign w:val="center"/>
          </w:tcPr>
          <w:p>
            <w:pPr>
              <w:widowControl/>
              <w:jc w:val="center"/>
              <w:textAlignment w:val="center"/>
              <w:rPr>
                <w:rFonts w:hint="eastAsia" w:ascii="宋体" w:hAnsi="宋体"/>
                <w:b/>
                <w:bCs/>
                <w:color w:val="000000"/>
                <w:sz w:val="24"/>
                <w:szCs w:val="22"/>
              </w:rPr>
            </w:pPr>
            <w:r>
              <w:rPr>
                <w:rFonts w:hint="eastAsia" w:ascii="宋体" w:hAnsi="宋体"/>
                <w:b/>
                <w:bCs/>
                <w:color w:val="000000"/>
                <w:sz w:val="24"/>
                <w:szCs w:val="22"/>
              </w:rPr>
              <w:t>应急抢险组</w:t>
            </w:r>
          </w:p>
        </w:tc>
        <w:tc>
          <w:tcPr>
            <w:tcW w:w="1593"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张琼</w:t>
            </w:r>
          </w:p>
        </w:tc>
        <w:tc>
          <w:tcPr>
            <w:tcW w:w="1656"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组长</w:t>
            </w:r>
          </w:p>
        </w:tc>
        <w:tc>
          <w:tcPr>
            <w:tcW w:w="2959"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13528178106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4" w:hRule="atLeast"/>
          <w:jc w:val="center"/>
        </w:trPr>
        <w:tc>
          <w:tcPr>
            <w:tcW w:w="2067" w:type="dxa"/>
            <w:gridSpan w:val="2"/>
            <w:vMerge w:val="continue"/>
            <w:tcBorders>
              <w:left w:val="single" w:color="auto" w:sz="4" w:space="0"/>
              <w:right w:val="single" w:color="auto" w:sz="4" w:space="0"/>
            </w:tcBorders>
            <w:noWrap w:val="0"/>
            <w:vAlign w:val="center"/>
          </w:tcPr>
          <w:p>
            <w:pPr>
              <w:widowControl/>
              <w:jc w:val="center"/>
              <w:textAlignment w:val="center"/>
              <w:rPr>
                <w:rFonts w:hint="eastAsia" w:ascii="宋体" w:hAnsi="宋体"/>
                <w:b/>
                <w:bCs/>
                <w:color w:val="000000"/>
                <w:sz w:val="24"/>
                <w:szCs w:val="22"/>
              </w:rPr>
            </w:pPr>
          </w:p>
        </w:tc>
        <w:tc>
          <w:tcPr>
            <w:tcW w:w="1593"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戴玉</w:t>
            </w:r>
          </w:p>
        </w:tc>
        <w:tc>
          <w:tcPr>
            <w:tcW w:w="1656"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组员</w:t>
            </w:r>
          </w:p>
        </w:tc>
        <w:tc>
          <w:tcPr>
            <w:tcW w:w="2959"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13726137750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4" w:hRule="atLeast"/>
          <w:jc w:val="center"/>
        </w:trPr>
        <w:tc>
          <w:tcPr>
            <w:tcW w:w="2067" w:type="dxa"/>
            <w:gridSpan w:val="2"/>
            <w:vMerge w:val="continue"/>
            <w:tcBorders>
              <w:left w:val="single" w:color="auto" w:sz="4" w:space="0"/>
              <w:right w:val="single" w:color="auto" w:sz="4" w:space="0"/>
            </w:tcBorders>
            <w:noWrap w:val="0"/>
            <w:vAlign w:val="center"/>
          </w:tcPr>
          <w:p>
            <w:pPr>
              <w:widowControl/>
              <w:jc w:val="center"/>
              <w:textAlignment w:val="center"/>
              <w:rPr>
                <w:rFonts w:hint="eastAsia" w:ascii="宋体" w:hAnsi="宋体"/>
                <w:b/>
                <w:bCs/>
                <w:color w:val="000000"/>
                <w:sz w:val="24"/>
                <w:szCs w:val="22"/>
              </w:rPr>
            </w:pPr>
          </w:p>
        </w:tc>
        <w:tc>
          <w:tcPr>
            <w:tcW w:w="1593"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黄进力</w:t>
            </w:r>
          </w:p>
        </w:tc>
        <w:tc>
          <w:tcPr>
            <w:tcW w:w="1656"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组员</w:t>
            </w:r>
          </w:p>
        </w:tc>
        <w:tc>
          <w:tcPr>
            <w:tcW w:w="2959" w:type="dxa"/>
            <w:tcBorders>
              <w:top w:val="single" w:color="auto" w:sz="4" w:space="0"/>
              <w:left w:val="single" w:color="auto" w:sz="4" w:space="0"/>
              <w:bottom w:val="single" w:color="auto" w:sz="4" w:space="0"/>
              <w:right w:val="single" w:color="auto" w:sz="4" w:space="0"/>
            </w:tcBorders>
            <w:noWrap w:val="0"/>
            <w:vAlign w:val="top"/>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13590835131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04" w:hRule="atLeast"/>
          <w:jc w:val="center"/>
        </w:trPr>
        <w:tc>
          <w:tcPr>
            <w:tcW w:w="2067" w:type="dxa"/>
            <w:gridSpan w:val="2"/>
            <w:vMerge w:val="continue"/>
            <w:tcBorders>
              <w:left w:val="single" w:color="auto" w:sz="4" w:space="0"/>
              <w:right w:val="single" w:color="auto" w:sz="4" w:space="0"/>
            </w:tcBorders>
            <w:noWrap w:val="0"/>
            <w:vAlign w:val="center"/>
          </w:tcPr>
          <w:p>
            <w:pPr>
              <w:widowControl/>
              <w:jc w:val="center"/>
              <w:textAlignment w:val="center"/>
              <w:rPr>
                <w:rFonts w:hint="eastAsia" w:ascii="宋体" w:hAnsi="宋体"/>
                <w:b/>
                <w:bCs/>
                <w:color w:val="000000"/>
                <w:sz w:val="24"/>
                <w:szCs w:val="22"/>
              </w:rPr>
            </w:pPr>
          </w:p>
        </w:tc>
        <w:tc>
          <w:tcPr>
            <w:tcW w:w="1593"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吴峰标</w:t>
            </w:r>
          </w:p>
        </w:tc>
        <w:tc>
          <w:tcPr>
            <w:tcW w:w="1656"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组员</w:t>
            </w:r>
          </w:p>
        </w:tc>
        <w:tc>
          <w:tcPr>
            <w:tcW w:w="2959" w:type="dxa"/>
            <w:tcBorders>
              <w:top w:val="single" w:color="auto" w:sz="4" w:space="0"/>
              <w:left w:val="single" w:color="auto" w:sz="4" w:space="0"/>
              <w:bottom w:val="single" w:color="auto" w:sz="4" w:space="0"/>
              <w:right w:val="single" w:color="auto" w:sz="4" w:space="0"/>
            </w:tcBorders>
            <w:noWrap w:val="0"/>
            <w:vAlign w:val="top"/>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18666188011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04" w:hRule="atLeast"/>
          <w:jc w:val="center"/>
        </w:trPr>
        <w:tc>
          <w:tcPr>
            <w:tcW w:w="2067" w:type="dxa"/>
            <w:gridSpan w:val="2"/>
            <w:vMerge w:val="continue"/>
            <w:tcBorders>
              <w:left w:val="single" w:color="auto" w:sz="4" w:space="0"/>
              <w:right w:val="single" w:color="auto" w:sz="4" w:space="0"/>
            </w:tcBorders>
            <w:noWrap w:val="0"/>
            <w:vAlign w:val="center"/>
          </w:tcPr>
          <w:p>
            <w:pPr>
              <w:widowControl/>
              <w:jc w:val="center"/>
              <w:textAlignment w:val="center"/>
              <w:rPr>
                <w:rFonts w:hint="eastAsia" w:ascii="宋体" w:hAnsi="宋体"/>
                <w:b/>
                <w:bCs/>
                <w:color w:val="000000"/>
                <w:sz w:val="24"/>
                <w:szCs w:val="22"/>
              </w:rPr>
            </w:pPr>
          </w:p>
        </w:tc>
        <w:tc>
          <w:tcPr>
            <w:tcW w:w="1593"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梁荣钊</w:t>
            </w:r>
          </w:p>
        </w:tc>
        <w:tc>
          <w:tcPr>
            <w:tcW w:w="1656"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组员</w:t>
            </w:r>
          </w:p>
        </w:tc>
        <w:tc>
          <w:tcPr>
            <w:tcW w:w="2959" w:type="dxa"/>
            <w:tcBorders>
              <w:top w:val="single" w:color="auto" w:sz="4" w:space="0"/>
              <w:left w:val="single" w:color="auto" w:sz="4" w:space="0"/>
              <w:bottom w:val="single" w:color="auto" w:sz="4" w:space="0"/>
              <w:right w:val="single" w:color="auto" w:sz="4" w:space="0"/>
            </w:tcBorders>
            <w:noWrap w:val="0"/>
            <w:vAlign w:val="top"/>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13726081879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04" w:hRule="atLeast"/>
          <w:jc w:val="center"/>
        </w:trPr>
        <w:tc>
          <w:tcPr>
            <w:tcW w:w="2067" w:type="dxa"/>
            <w:gridSpan w:val="2"/>
            <w:vMerge w:val="continue"/>
            <w:tcBorders>
              <w:left w:val="single" w:color="auto" w:sz="4" w:space="0"/>
              <w:right w:val="single" w:color="auto" w:sz="4" w:space="0"/>
            </w:tcBorders>
            <w:noWrap w:val="0"/>
            <w:vAlign w:val="center"/>
          </w:tcPr>
          <w:p>
            <w:pPr>
              <w:widowControl/>
              <w:jc w:val="center"/>
              <w:textAlignment w:val="center"/>
              <w:rPr>
                <w:rFonts w:hint="eastAsia" w:ascii="宋体" w:hAnsi="宋体"/>
                <w:b/>
                <w:bCs/>
                <w:color w:val="000000"/>
                <w:sz w:val="24"/>
                <w:szCs w:val="22"/>
              </w:rPr>
            </w:pPr>
          </w:p>
        </w:tc>
        <w:tc>
          <w:tcPr>
            <w:tcW w:w="1593"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吴宇亮</w:t>
            </w:r>
          </w:p>
        </w:tc>
        <w:tc>
          <w:tcPr>
            <w:tcW w:w="1656"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组员</w:t>
            </w:r>
          </w:p>
        </w:tc>
        <w:tc>
          <w:tcPr>
            <w:tcW w:w="2959" w:type="dxa"/>
            <w:tcBorders>
              <w:top w:val="single" w:color="auto" w:sz="4" w:space="0"/>
              <w:left w:val="single" w:color="auto" w:sz="4" w:space="0"/>
              <w:bottom w:val="single" w:color="auto" w:sz="4" w:space="0"/>
              <w:right w:val="single" w:color="auto" w:sz="4" w:space="0"/>
            </w:tcBorders>
            <w:noWrap w:val="0"/>
            <w:vAlign w:val="top"/>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13590785288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04" w:hRule="atLeast"/>
          <w:jc w:val="center"/>
        </w:trPr>
        <w:tc>
          <w:tcPr>
            <w:tcW w:w="2067" w:type="dxa"/>
            <w:gridSpan w:val="2"/>
            <w:vMerge w:val="continue"/>
            <w:tcBorders>
              <w:left w:val="single" w:color="auto" w:sz="4" w:space="0"/>
              <w:right w:val="single" w:color="auto" w:sz="4" w:space="0"/>
            </w:tcBorders>
            <w:noWrap w:val="0"/>
            <w:vAlign w:val="center"/>
          </w:tcPr>
          <w:p>
            <w:pPr>
              <w:widowControl/>
              <w:jc w:val="center"/>
              <w:textAlignment w:val="center"/>
              <w:rPr>
                <w:rFonts w:hint="eastAsia" w:ascii="宋体" w:hAnsi="宋体"/>
                <w:b/>
                <w:bCs/>
                <w:color w:val="000000"/>
                <w:sz w:val="24"/>
                <w:szCs w:val="22"/>
              </w:rPr>
            </w:pPr>
          </w:p>
        </w:tc>
        <w:tc>
          <w:tcPr>
            <w:tcW w:w="1593"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杨图标</w:t>
            </w:r>
          </w:p>
        </w:tc>
        <w:tc>
          <w:tcPr>
            <w:tcW w:w="1656"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组员</w:t>
            </w:r>
          </w:p>
        </w:tc>
        <w:tc>
          <w:tcPr>
            <w:tcW w:w="2959" w:type="dxa"/>
            <w:tcBorders>
              <w:top w:val="single" w:color="auto" w:sz="4" w:space="0"/>
              <w:left w:val="single" w:color="auto" w:sz="4" w:space="0"/>
              <w:bottom w:val="single" w:color="auto" w:sz="4" w:space="0"/>
              <w:right w:val="single" w:color="auto" w:sz="4" w:space="0"/>
            </w:tcBorders>
            <w:noWrap w:val="0"/>
            <w:vAlign w:val="top"/>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13590887222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04" w:hRule="atLeast"/>
          <w:jc w:val="center"/>
        </w:trPr>
        <w:tc>
          <w:tcPr>
            <w:tcW w:w="853" w:type="dxa"/>
            <w:vMerge w:val="restart"/>
            <w:tcBorders>
              <w:top w:val="single" w:color="auto" w:sz="4" w:space="0"/>
              <w:left w:val="single" w:color="auto" w:sz="4" w:space="0"/>
              <w:right w:val="single" w:color="auto" w:sz="4" w:space="0"/>
            </w:tcBorders>
            <w:noWrap w:val="0"/>
            <w:vAlign w:val="center"/>
          </w:tcPr>
          <w:p>
            <w:pPr>
              <w:widowControl/>
              <w:jc w:val="center"/>
              <w:textAlignment w:val="center"/>
              <w:rPr>
                <w:rFonts w:hint="eastAsia" w:ascii="宋体" w:hAnsi="宋体"/>
                <w:b/>
                <w:bCs/>
                <w:color w:val="000000"/>
                <w:sz w:val="24"/>
                <w:szCs w:val="22"/>
              </w:rPr>
            </w:pPr>
            <w:r>
              <w:rPr>
                <w:rFonts w:hint="eastAsia" w:ascii="宋体" w:hAnsi="宋体"/>
                <w:b/>
                <w:bCs/>
                <w:color w:val="000000"/>
                <w:sz w:val="24"/>
                <w:szCs w:val="22"/>
              </w:rPr>
              <w:t>安全后勤组</w:t>
            </w:r>
          </w:p>
        </w:tc>
        <w:tc>
          <w:tcPr>
            <w:tcW w:w="1214" w:type="dxa"/>
            <w:vMerge w:val="restart"/>
            <w:tcBorders>
              <w:top w:val="single" w:color="auto" w:sz="4" w:space="0"/>
              <w:left w:val="single" w:color="auto" w:sz="4" w:space="0"/>
              <w:right w:val="single" w:color="auto" w:sz="4" w:space="0"/>
            </w:tcBorders>
            <w:noWrap w:val="0"/>
            <w:vAlign w:val="center"/>
          </w:tcPr>
          <w:p>
            <w:pPr>
              <w:widowControl/>
              <w:jc w:val="center"/>
              <w:textAlignment w:val="center"/>
              <w:rPr>
                <w:rFonts w:hint="eastAsia" w:ascii="宋体" w:hAnsi="宋体"/>
                <w:b/>
                <w:bCs/>
                <w:color w:val="000000"/>
                <w:sz w:val="24"/>
                <w:szCs w:val="22"/>
              </w:rPr>
            </w:pPr>
            <w:r>
              <w:rPr>
                <w:rFonts w:hint="eastAsia" w:ascii="宋体" w:hAnsi="宋体"/>
                <w:b/>
                <w:bCs/>
                <w:color w:val="000000"/>
                <w:sz w:val="24"/>
                <w:szCs w:val="22"/>
              </w:rPr>
              <w:t>疏散警戒小组</w:t>
            </w:r>
          </w:p>
        </w:tc>
        <w:tc>
          <w:tcPr>
            <w:tcW w:w="1593"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杜广宇</w:t>
            </w:r>
          </w:p>
        </w:tc>
        <w:tc>
          <w:tcPr>
            <w:tcW w:w="1656"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组长</w:t>
            </w:r>
          </w:p>
        </w:tc>
        <w:tc>
          <w:tcPr>
            <w:tcW w:w="2959"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13549870979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04" w:hRule="atLeast"/>
          <w:jc w:val="center"/>
        </w:trPr>
        <w:tc>
          <w:tcPr>
            <w:tcW w:w="853" w:type="dxa"/>
            <w:vMerge w:val="continue"/>
            <w:tcBorders>
              <w:left w:val="single" w:color="auto" w:sz="4" w:space="0"/>
              <w:right w:val="single" w:color="auto" w:sz="4" w:space="0"/>
            </w:tcBorders>
            <w:noWrap w:val="0"/>
            <w:vAlign w:val="center"/>
          </w:tcPr>
          <w:p>
            <w:pPr>
              <w:widowControl/>
              <w:jc w:val="center"/>
              <w:textAlignment w:val="center"/>
              <w:rPr>
                <w:rFonts w:hint="eastAsia" w:ascii="宋体" w:hAnsi="宋体"/>
                <w:b/>
                <w:bCs/>
                <w:color w:val="000000"/>
                <w:sz w:val="24"/>
                <w:szCs w:val="22"/>
              </w:rPr>
            </w:pPr>
          </w:p>
        </w:tc>
        <w:tc>
          <w:tcPr>
            <w:tcW w:w="1214" w:type="dxa"/>
            <w:vMerge w:val="continue"/>
            <w:tcBorders>
              <w:left w:val="single" w:color="auto" w:sz="4" w:space="0"/>
              <w:right w:val="single" w:color="auto" w:sz="4" w:space="0"/>
            </w:tcBorders>
            <w:noWrap w:val="0"/>
            <w:vAlign w:val="center"/>
          </w:tcPr>
          <w:p>
            <w:pPr>
              <w:widowControl/>
              <w:jc w:val="center"/>
              <w:textAlignment w:val="center"/>
              <w:rPr>
                <w:rFonts w:hint="eastAsia" w:ascii="宋体" w:hAnsi="宋体"/>
                <w:b/>
                <w:bCs/>
                <w:color w:val="000000"/>
                <w:sz w:val="24"/>
                <w:szCs w:val="22"/>
              </w:rPr>
            </w:pPr>
          </w:p>
        </w:tc>
        <w:tc>
          <w:tcPr>
            <w:tcW w:w="1593"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陈国兴</w:t>
            </w:r>
          </w:p>
        </w:tc>
        <w:tc>
          <w:tcPr>
            <w:tcW w:w="1656"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组员</w:t>
            </w:r>
          </w:p>
        </w:tc>
        <w:tc>
          <w:tcPr>
            <w:tcW w:w="2959"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15800117729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04" w:hRule="atLeast"/>
          <w:jc w:val="center"/>
        </w:trPr>
        <w:tc>
          <w:tcPr>
            <w:tcW w:w="853" w:type="dxa"/>
            <w:vMerge w:val="continue"/>
            <w:tcBorders>
              <w:left w:val="single" w:color="auto" w:sz="4" w:space="0"/>
              <w:right w:val="single" w:color="auto" w:sz="4" w:space="0"/>
            </w:tcBorders>
            <w:noWrap w:val="0"/>
            <w:vAlign w:val="center"/>
          </w:tcPr>
          <w:p>
            <w:pPr>
              <w:widowControl/>
              <w:jc w:val="center"/>
              <w:textAlignment w:val="center"/>
              <w:rPr>
                <w:rFonts w:hint="eastAsia" w:ascii="宋体" w:hAnsi="宋体"/>
                <w:b/>
                <w:bCs/>
                <w:color w:val="000000"/>
                <w:sz w:val="24"/>
                <w:szCs w:val="22"/>
              </w:rPr>
            </w:pPr>
          </w:p>
        </w:tc>
        <w:tc>
          <w:tcPr>
            <w:tcW w:w="1214" w:type="dxa"/>
            <w:vMerge w:val="continue"/>
            <w:tcBorders>
              <w:left w:val="single" w:color="auto" w:sz="4" w:space="0"/>
              <w:right w:val="single" w:color="auto" w:sz="4" w:space="0"/>
            </w:tcBorders>
            <w:noWrap w:val="0"/>
            <w:vAlign w:val="center"/>
          </w:tcPr>
          <w:p>
            <w:pPr>
              <w:widowControl/>
              <w:jc w:val="center"/>
              <w:textAlignment w:val="center"/>
              <w:rPr>
                <w:rFonts w:hint="eastAsia" w:ascii="宋体" w:hAnsi="宋体"/>
                <w:b/>
                <w:bCs/>
                <w:color w:val="000000"/>
                <w:sz w:val="24"/>
                <w:szCs w:val="22"/>
              </w:rPr>
            </w:pPr>
          </w:p>
        </w:tc>
        <w:tc>
          <w:tcPr>
            <w:tcW w:w="1593"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彭健</w:t>
            </w:r>
          </w:p>
        </w:tc>
        <w:tc>
          <w:tcPr>
            <w:tcW w:w="1656"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组员</w:t>
            </w:r>
          </w:p>
        </w:tc>
        <w:tc>
          <w:tcPr>
            <w:tcW w:w="2959"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15007600583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04" w:hRule="atLeast"/>
          <w:jc w:val="center"/>
        </w:trPr>
        <w:tc>
          <w:tcPr>
            <w:tcW w:w="853" w:type="dxa"/>
            <w:vMerge w:val="continue"/>
            <w:tcBorders>
              <w:left w:val="single" w:color="auto" w:sz="4" w:space="0"/>
              <w:right w:val="single" w:color="auto" w:sz="4" w:space="0"/>
            </w:tcBorders>
            <w:noWrap w:val="0"/>
            <w:vAlign w:val="center"/>
          </w:tcPr>
          <w:p>
            <w:pPr>
              <w:widowControl/>
              <w:jc w:val="center"/>
              <w:textAlignment w:val="center"/>
              <w:rPr>
                <w:rFonts w:hint="eastAsia" w:ascii="宋体" w:hAnsi="宋体"/>
                <w:b/>
                <w:bCs/>
                <w:color w:val="000000"/>
                <w:sz w:val="24"/>
                <w:szCs w:val="22"/>
              </w:rPr>
            </w:pPr>
          </w:p>
        </w:tc>
        <w:tc>
          <w:tcPr>
            <w:tcW w:w="1214" w:type="dxa"/>
            <w:vMerge w:val="continue"/>
            <w:tcBorders>
              <w:left w:val="single" w:color="auto" w:sz="4" w:space="0"/>
              <w:right w:val="single" w:color="auto" w:sz="4" w:space="0"/>
            </w:tcBorders>
            <w:noWrap w:val="0"/>
            <w:vAlign w:val="center"/>
          </w:tcPr>
          <w:p>
            <w:pPr>
              <w:widowControl/>
              <w:jc w:val="center"/>
              <w:textAlignment w:val="center"/>
              <w:rPr>
                <w:rFonts w:hint="eastAsia" w:ascii="宋体" w:hAnsi="宋体"/>
                <w:b/>
                <w:bCs/>
                <w:color w:val="000000"/>
                <w:sz w:val="24"/>
                <w:szCs w:val="22"/>
              </w:rPr>
            </w:pPr>
          </w:p>
        </w:tc>
        <w:tc>
          <w:tcPr>
            <w:tcW w:w="1593"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卢添明</w:t>
            </w:r>
          </w:p>
        </w:tc>
        <w:tc>
          <w:tcPr>
            <w:tcW w:w="1656"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组员</w:t>
            </w:r>
          </w:p>
        </w:tc>
        <w:tc>
          <w:tcPr>
            <w:tcW w:w="2959"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13549881937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04" w:hRule="atLeast"/>
          <w:jc w:val="center"/>
        </w:trPr>
        <w:tc>
          <w:tcPr>
            <w:tcW w:w="853" w:type="dxa"/>
            <w:vMerge w:val="continue"/>
            <w:tcBorders>
              <w:left w:val="single" w:color="auto" w:sz="4" w:space="0"/>
              <w:right w:val="single" w:color="auto" w:sz="4" w:space="0"/>
            </w:tcBorders>
            <w:noWrap w:val="0"/>
            <w:vAlign w:val="center"/>
          </w:tcPr>
          <w:p>
            <w:pPr>
              <w:widowControl/>
              <w:jc w:val="center"/>
              <w:textAlignment w:val="center"/>
              <w:rPr>
                <w:rFonts w:hint="eastAsia" w:ascii="宋体" w:hAnsi="宋体"/>
                <w:b/>
                <w:bCs/>
                <w:color w:val="000000"/>
                <w:sz w:val="24"/>
                <w:szCs w:val="22"/>
              </w:rPr>
            </w:pPr>
          </w:p>
        </w:tc>
        <w:tc>
          <w:tcPr>
            <w:tcW w:w="1214" w:type="dxa"/>
            <w:vMerge w:val="restart"/>
            <w:tcBorders>
              <w:left w:val="single" w:color="auto" w:sz="4" w:space="0"/>
              <w:right w:val="single" w:color="auto" w:sz="4" w:space="0"/>
            </w:tcBorders>
            <w:noWrap w:val="0"/>
            <w:vAlign w:val="center"/>
          </w:tcPr>
          <w:p>
            <w:pPr>
              <w:widowControl/>
              <w:jc w:val="center"/>
              <w:textAlignment w:val="center"/>
              <w:rPr>
                <w:rFonts w:hint="eastAsia" w:ascii="宋体" w:hAnsi="宋体"/>
                <w:b/>
                <w:bCs/>
                <w:color w:val="000000"/>
                <w:sz w:val="24"/>
                <w:szCs w:val="22"/>
              </w:rPr>
            </w:pPr>
            <w:r>
              <w:rPr>
                <w:rFonts w:hint="eastAsia" w:ascii="宋体" w:hAnsi="宋体"/>
                <w:b/>
                <w:bCs/>
                <w:color w:val="000000"/>
                <w:sz w:val="24"/>
                <w:szCs w:val="22"/>
              </w:rPr>
              <w:t>医疗救助小组</w:t>
            </w:r>
          </w:p>
        </w:tc>
        <w:tc>
          <w:tcPr>
            <w:tcW w:w="1593"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易剑锋</w:t>
            </w:r>
          </w:p>
        </w:tc>
        <w:tc>
          <w:tcPr>
            <w:tcW w:w="1656"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组长</w:t>
            </w:r>
          </w:p>
        </w:tc>
        <w:tc>
          <w:tcPr>
            <w:tcW w:w="2959"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18802591209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04" w:hRule="atLeast"/>
          <w:jc w:val="center"/>
        </w:trPr>
        <w:tc>
          <w:tcPr>
            <w:tcW w:w="853" w:type="dxa"/>
            <w:vMerge w:val="continue"/>
            <w:tcBorders>
              <w:left w:val="single" w:color="auto" w:sz="4" w:space="0"/>
              <w:right w:val="single" w:color="auto" w:sz="4" w:space="0"/>
            </w:tcBorders>
            <w:noWrap w:val="0"/>
            <w:vAlign w:val="center"/>
          </w:tcPr>
          <w:p>
            <w:pPr>
              <w:widowControl/>
              <w:jc w:val="center"/>
              <w:textAlignment w:val="center"/>
              <w:rPr>
                <w:rFonts w:hint="eastAsia" w:ascii="宋体" w:hAnsi="宋体"/>
                <w:b/>
                <w:bCs/>
                <w:color w:val="000000"/>
                <w:sz w:val="24"/>
                <w:szCs w:val="22"/>
              </w:rPr>
            </w:pPr>
          </w:p>
        </w:tc>
        <w:tc>
          <w:tcPr>
            <w:tcW w:w="1214" w:type="dxa"/>
            <w:vMerge w:val="continue"/>
            <w:tcBorders>
              <w:left w:val="single" w:color="auto" w:sz="4" w:space="0"/>
              <w:right w:val="single" w:color="auto" w:sz="4" w:space="0"/>
            </w:tcBorders>
            <w:noWrap w:val="0"/>
            <w:vAlign w:val="center"/>
          </w:tcPr>
          <w:p>
            <w:pPr>
              <w:widowControl/>
              <w:jc w:val="center"/>
              <w:textAlignment w:val="center"/>
              <w:rPr>
                <w:rFonts w:hint="eastAsia" w:ascii="宋体" w:hAnsi="宋体"/>
                <w:b/>
                <w:bCs/>
                <w:color w:val="000000"/>
                <w:sz w:val="24"/>
                <w:szCs w:val="22"/>
              </w:rPr>
            </w:pPr>
          </w:p>
        </w:tc>
        <w:tc>
          <w:tcPr>
            <w:tcW w:w="1593"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杜越南</w:t>
            </w:r>
          </w:p>
        </w:tc>
        <w:tc>
          <w:tcPr>
            <w:tcW w:w="1656"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组员</w:t>
            </w:r>
          </w:p>
        </w:tc>
        <w:tc>
          <w:tcPr>
            <w:tcW w:w="2959"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13427070772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04" w:hRule="atLeast"/>
          <w:jc w:val="center"/>
        </w:trPr>
        <w:tc>
          <w:tcPr>
            <w:tcW w:w="853" w:type="dxa"/>
            <w:vMerge w:val="continue"/>
            <w:tcBorders>
              <w:left w:val="single" w:color="auto" w:sz="4" w:space="0"/>
              <w:right w:val="single" w:color="auto" w:sz="4" w:space="0"/>
            </w:tcBorders>
            <w:noWrap w:val="0"/>
            <w:vAlign w:val="center"/>
          </w:tcPr>
          <w:p>
            <w:pPr>
              <w:widowControl/>
              <w:jc w:val="center"/>
              <w:textAlignment w:val="center"/>
              <w:rPr>
                <w:rFonts w:hint="eastAsia" w:ascii="宋体" w:hAnsi="宋体"/>
                <w:b/>
                <w:bCs/>
                <w:color w:val="000000"/>
                <w:sz w:val="24"/>
                <w:szCs w:val="22"/>
              </w:rPr>
            </w:pPr>
          </w:p>
        </w:tc>
        <w:tc>
          <w:tcPr>
            <w:tcW w:w="1214" w:type="dxa"/>
            <w:vMerge w:val="continue"/>
            <w:tcBorders>
              <w:left w:val="single" w:color="auto" w:sz="4" w:space="0"/>
              <w:right w:val="single" w:color="auto" w:sz="4" w:space="0"/>
            </w:tcBorders>
            <w:noWrap w:val="0"/>
            <w:vAlign w:val="center"/>
          </w:tcPr>
          <w:p>
            <w:pPr>
              <w:widowControl/>
              <w:jc w:val="center"/>
              <w:textAlignment w:val="center"/>
              <w:rPr>
                <w:rFonts w:hint="eastAsia" w:ascii="宋体" w:hAnsi="宋体"/>
                <w:b/>
                <w:bCs/>
                <w:color w:val="000000"/>
                <w:sz w:val="24"/>
                <w:szCs w:val="22"/>
              </w:rPr>
            </w:pPr>
          </w:p>
        </w:tc>
        <w:tc>
          <w:tcPr>
            <w:tcW w:w="1593"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易聪</w:t>
            </w:r>
          </w:p>
        </w:tc>
        <w:tc>
          <w:tcPr>
            <w:tcW w:w="1656"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组员</w:t>
            </w:r>
          </w:p>
        </w:tc>
        <w:tc>
          <w:tcPr>
            <w:tcW w:w="2959"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13435733640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04" w:hRule="atLeast"/>
          <w:jc w:val="center"/>
        </w:trPr>
        <w:tc>
          <w:tcPr>
            <w:tcW w:w="853" w:type="dxa"/>
            <w:vMerge w:val="continue"/>
            <w:tcBorders>
              <w:left w:val="single" w:color="auto" w:sz="4" w:space="0"/>
              <w:right w:val="single" w:color="auto" w:sz="4" w:space="0"/>
            </w:tcBorders>
            <w:noWrap w:val="0"/>
            <w:vAlign w:val="center"/>
          </w:tcPr>
          <w:p>
            <w:pPr>
              <w:widowControl/>
              <w:jc w:val="center"/>
              <w:textAlignment w:val="center"/>
              <w:rPr>
                <w:rFonts w:hint="eastAsia" w:ascii="宋体" w:hAnsi="宋体"/>
                <w:b/>
                <w:bCs/>
                <w:color w:val="000000"/>
                <w:sz w:val="24"/>
                <w:szCs w:val="22"/>
              </w:rPr>
            </w:pPr>
          </w:p>
        </w:tc>
        <w:tc>
          <w:tcPr>
            <w:tcW w:w="1214" w:type="dxa"/>
            <w:vMerge w:val="restart"/>
            <w:tcBorders>
              <w:left w:val="single" w:color="auto" w:sz="4" w:space="0"/>
              <w:right w:val="single" w:color="auto" w:sz="4" w:space="0"/>
            </w:tcBorders>
            <w:noWrap w:val="0"/>
            <w:vAlign w:val="center"/>
          </w:tcPr>
          <w:p>
            <w:pPr>
              <w:widowControl/>
              <w:jc w:val="center"/>
              <w:textAlignment w:val="center"/>
              <w:rPr>
                <w:rFonts w:hint="eastAsia" w:ascii="宋体" w:hAnsi="宋体"/>
                <w:b/>
                <w:bCs/>
                <w:color w:val="000000"/>
                <w:sz w:val="24"/>
                <w:szCs w:val="22"/>
              </w:rPr>
            </w:pPr>
            <w:r>
              <w:rPr>
                <w:rFonts w:hint="eastAsia" w:ascii="宋体" w:hAnsi="宋体"/>
                <w:b/>
                <w:bCs/>
                <w:color w:val="000000"/>
                <w:sz w:val="24"/>
                <w:szCs w:val="22"/>
              </w:rPr>
              <w:t>后勤保障小组</w:t>
            </w:r>
          </w:p>
        </w:tc>
        <w:tc>
          <w:tcPr>
            <w:tcW w:w="1593"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林志军</w:t>
            </w:r>
          </w:p>
        </w:tc>
        <w:tc>
          <w:tcPr>
            <w:tcW w:w="1656"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组长</w:t>
            </w:r>
          </w:p>
        </w:tc>
        <w:tc>
          <w:tcPr>
            <w:tcW w:w="2959"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13005509678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04" w:hRule="atLeast"/>
          <w:jc w:val="center"/>
        </w:trPr>
        <w:tc>
          <w:tcPr>
            <w:tcW w:w="853" w:type="dxa"/>
            <w:vMerge w:val="continue"/>
            <w:tcBorders>
              <w:left w:val="single" w:color="auto" w:sz="4" w:space="0"/>
              <w:right w:val="single" w:color="auto" w:sz="4" w:space="0"/>
            </w:tcBorders>
            <w:noWrap w:val="0"/>
            <w:vAlign w:val="center"/>
          </w:tcPr>
          <w:p>
            <w:pPr>
              <w:widowControl/>
              <w:jc w:val="center"/>
              <w:textAlignment w:val="center"/>
              <w:rPr>
                <w:rFonts w:hint="eastAsia" w:ascii="宋体" w:hAnsi="宋体"/>
                <w:b/>
                <w:bCs/>
                <w:color w:val="000000"/>
                <w:sz w:val="24"/>
                <w:szCs w:val="22"/>
              </w:rPr>
            </w:pPr>
          </w:p>
        </w:tc>
        <w:tc>
          <w:tcPr>
            <w:tcW w:w="1214" w:type="dxa"/>
            <w:vMerge w:val="continue"/>
            <w:tcBorders>
              <w:left w:val="single" w:color="auto" w:sz="4" w:space="0"/>
              <w:right w:val="single" w:color="auto" w:sz="4" w:space="0"/>
            </w:tcBorders>
            <w:noWrap w:val="0"/>
            <w:vAlign w:val="center"/>
          </w:tcPr>
          <w:p>
            <w:pPr>
              <w:widowControl/>
              <w:jc w:val="center"/>
              <w:textAlignment w:val="center"/>
              <w:rPr>
                <w:rFonts w:hint="eastAsia" w:ascii="宋体" w:hAnsi="宋体"/>
                <w:b/>
                <w:bCs/>
                <w:color w:val="000000"/>
                <w:sz w:val="24"/>
                <w:szCs w:val="22"/>
              </w:rPr>
            </w:pPr>
          </w:p>
        </w:tc>
        <w:tc>
          <w:tcPr>
            <w:tcW w:w="1593"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黄淼荣</w:t>
            </w:r>
          </w:p>
        </w:tc>
        <w:tc>
          <w:tcPr>
            <w:tcW w:w="1656"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组员</w:t>
            </w:r>
          </w:p>
        </w:tc>
        <w:tc>
          <w:tcPr>
            <w:tcW w:w="2959"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13702512600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04" w:hRule="atLeast"/>
          <w:jc w:val="center"/>
        </w:trPr>
        <w:tc>
          <w:tcPr>
            <w:tcW w:w="853" w:type="dxa"/>
            <w:vMerge w:val="continue"/>
            <w:tcBorders>
              <w:left w:val="single" w:color="auto" w:sz="4" w:space="0"/>
              <w:right w:val="single" w:color="auto" w:sz="4" w:space="0"/>
            </w:tcBorders>
            <w:noWrap w:val="0"/>
            <w:vAlign w:val="center"/>
          </w:tcPr>
          <w:p>
            <w:pPr>
              <w:widowControl/>
              <w:jc w:val="center"/>
              <w:textAlignment w:val="center"/>
              <w:rPr>
                <w:rFonts w:hint="eastAsia" w:ascii="宋体" w:hAnsi="宋体"/>
                <w:b/>
                <w:bCs/>
                <w:color w:val="000000"/>
                <w:sz w:val="24"/>
                <w:szCs w:val="22"/>
              </w:rPr>
            </w:pPr>
          </w:p>
        </w:tc>
        <w:tc>
          <w:tcPr>
            <w:tcW w:w="1214" w:type="dxa"/>
            <w:vMerge w:val="continue"/>
            <w:tcBorders>
              <w:left w:val="single" w:color="auto" w:sz="4" w:space="0"/>
              <w:right w:val="single" w:color="auto" w:sz="4" w:space="0"/>
            </w:tcBorders>
            <w:noWrap w:val="0"/>
            <w:vAlign w:val="center"/>
          </w:tcPr>
          <w:p>
            <w:pPr>
              <w:widowControl/>
              <w:jc w:val="center"/>
              <w:textAlignment w:val="center"/>
              <w:rPr>
                <w:rFonts w:hint="eastAsia" w:ascii="宋体" w:hAnsi="宋体"/>
                <w:b/>
                <w:bCs/>
                <w:color w:val="000000"/>
                <w:sz w:val="24"/>
                <w:szCs w:val="22"/>
              </w:rPr>
            </w:pPr>
          </w:p>
        </w:tc>
        <w:tc>
          <w:tcPr>
            <w:tcW w:w="1593"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刘军华</w:t>
            </w:r>
          </w:p>
        </w:tc>
        <w:tc>
          <w:tcPr>
            <w:tcW w:w="1656"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组员</w:t>
            </w:r>
          </w:p>
        </w:tc>
        <w:tc>
          <w:tcPr>
            <w:tcW w:w="2959"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13928131031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04" w:hRule="atLeast"/>
          <w:jc w:val="center"/>
        </w:trPr>
        <w:tc>
          <w:tcPr>
            <w:tcW w:w="2067" w:type="dxa"/>
            <w:gridSpan w:val="2"/>
            <w:vMerge w:val="restart"/>
            <w:tcBorders>
              <w:top w:val="single" w:color="auto" w:sz="4" w:space="0"/>
              <w:left w:val="single" w:color="auto" w:sz="4" w:space="0"/>
              <w:right w:val="single" w:color="auto" w:sz="4" w:space="0"/>
            </w:tcBorders>
            <w:noWrap w:val="0"/>
            <w:vAlign w:val="center"/>
          </w:tcPr>
          <w:p>
            <w:pPr>
              <w:widowControl/>
              <w:jc w:val="center"/>
              <w:textAlignment w:val="center"/>
              <w:rPr>
                <w:rFonts w:hint="eastAsia" w:ascii="宋体" w:hAnsi="宋体"/>
                <w:b/>
                <w:bCs/>
                <w:color w:val="000000"/>
                <w:sz w:val="24"/>
                <w:szCs w:val="22"/>
              </w:rPr>
            </w:pPr>
            <w:r>
              <w:rPr>
                <w:rFonts w:hint="eastAsia" w:ascii="宋体" w:hAnsi="宋体"/>
                <w:b/>
                <w:bCs/>
                <w:color w:val="000000"/>
                <w:sz w:val="24"/>
                <w:szCs w:val="22"/>
              </w:rPr>
              <w:t>应急监测组</w:t>
            </w:r>
          </w:p>
        </w:tc>
        <w:tc>
          <w:tcPr>
            <w:tcW w:w="1593"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魏超</w:t>
            </w:r>
          </w:p>
        </w:tc>
        <w:tc>
          <w:tcPr>
            <w:tcW w:w="1656"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组长</w:t>
            </w:r>
          </w:p>
        </w:tc>
        <w:tc>
          <w:tcPr>
            <w:tcW w:w="2959"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13425494550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04" w:hRule="atLeast"/>
          <w:jc w:val="center"/>
        </w:trPr>
        <w:tc>
          <w:tcPr>
            <w:tcW w:w="2067" w:type="dxa"/>
            <w:gridSpan w:val="2"/>
            <w:vMerge w:val="continue"/>
            <w:tcBorders>
              <w:left w:val="single" w:color="auto" w:sz="4" w:space="0"/>
              <w:right w:val="single" w:color="auto" w:sz="4" w:space="0"/>
            </w:tcBorders>
            <w:noWrap w:val="0"/>
            <w:vAlign w:val="center"/>
          </w:tcPr>
          <w:p>
            <w:pPr>
              <w:widowControl/>
              <w:jc w:val="center"/>
              <w:textAlignment w:val="center"/>
              <w:rPr>
                <w:rFonts w:hint="eastAsia" w:ascii="宋体" w:hAnsi="宋体"/>
                <w:b/>
                <w:bCs/>
                <w:color w:val="000000"/>
                <w:sz w:val="24"/>
                <w:szCs w:val="22"/>
              </w:rPr>
            </w:pPr>
          </w:p>
        </w:tc>
        <w:tc>
          <w:tcPr>
            <w:tcW w:w="1593"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杜家雯</w:t>
            </w:r>
          </w:p>
        </w:tc>
        <w:tc>
          <w:tcPr>
            <w:tcW w:w="1656"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组员</w:t>
            </w:r>
          </w:p>
        </w:tc>
        <w:tc>
          <w:tcPr>
            <w:tcW w:w="2959"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18607608607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04" w:hRule="atLeast"/>
          <w:jc w:val="center"/>
        </w:trPr>
        <w:tc>
          <w:tcPr>
            <w:tcW w:w="2067" w:type="dxa"/>
            <w:gridSpan w:val="2"/>
            <w:vMerge w:val="continue"/>
            <w:tcBorders>
              <w:left w:val="single" w:color="auto" w:sz="4" w:space="0"/>
              <w:right w:val="single" w:color="auto" w:sz="4" w:space="0"/>
            </w:tcBorders>
            <w:noWrap w:val="0"/>
            <w:vAlign w:val="center"/>
          </w:tcPr>
          <w:p>
            <w:pPr>
              <w:widowControl/>
              <w:jc w:val="center"/>
              <w:textAlignment w:val="center"/>
              <w:rPr>
                <w:rFonts w:hint="eastAsia" w:ascii="宋体" w:hAnsi="宋体"/>
                <w:b/>
                <w:bCs/>
                <w:color w:val="000000"/>
                <w:sz w:val="24"/>
                <w:szCs w:val="22"/>
              </w:rPr>
            </w:pPr>
          </w:p>
        </w:tc>
        <w:tc>
          <w:tcPr>
            <w:tcW w:w="1593"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梁俊豪</w:t>
            </w:r>
          </w:p>
        </w:tc>
        <w:tc>
          <w:tcPr>
            <w:tcW w:w="1656"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组员</w:t>
            </w:r>
          </w:p>
        </w:tc>
        <w:tc>
          <w:tcPr>
            <w:tcW w:w="2959"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13232534918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04" w:hRule="atLeast"/>
          <w:jc w:val="center"/>
        </w:trPr>
        <w:tc>
          <w:tcPr>
            <w:tcW w:w="2067" w:type="dxa"/>
            <w:gridSpan w:val="2"/>
            <w:vMerge w:val="continue"/>
            <w:tcBorders>
              <w:left w:val="single" w:color="auto" w:sz="4" w:space="0"/>
              <w:right w:val="single" w:color="auto" w:sz="4" w:space="0"/>
            </w:tcBorders>
            <w:noWrap w:val="0"/>
            <w:vAlign w:val="center"/>
          </w:tcPr>
          <w:p>
            <w:pPr>
              <w:widowControl/>
              <w:jc w:val="center"/>
              <w:textAlignment w:val="center"/>
              <w:rPr>
                <w:rFonts w:hint="eastAsia" w:ascii="宋体" w:hAnsi="宋体"/>
                <w:b/>
                <w:bCs/>
                <w:color w:val="000000"/>
                <w:sz w:val="24"/>
                <w:szCs w:val="22"/>
              </w:rPr>
            </w:pPr>
          </w:p>
        </w:tc>
        <w:tc>
          <w:tcPr>
            <w:tcW w:w="1593"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胡立颖</w:t>
            </w:r>
          </w:p>
        </w:tc>
        <w:tc>
          <w:tcPr>
            <w:tcW w:w="1656"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组员</w:t>
            </w:r>
          </w:p>
        </w:tc>
        <w:tc>
          <w:tcPr>
            <w:tcW w:w="2959"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13192265826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04" w:hRule="atLeast"/>
          <w:jc w:val="center"/>
        </w:trPr>
        <w:tc>
          <w:tcPr>
            <w:tcW w:w="2067" w:type="dxa"/>
            <w:gridSpan w:val="2"/>
            <w:vMerge w:val="restart"/>
            <w:tcBorders>
              <w:top w:val="single" w:color="auto" w:sz="4" w:space="0"/>
              <w:left w:val="single" w:color="auto" w:sz="4" w:space="0"/>
              <w:right w:val="single" w:color="auto" w:sz="4" w:space="0"/>
            </w:tcBorders>
            <w:noWrap w:val="0"/>
            <w:vAlign w:val="center"/>
          </w:tcPr>
          <w:p>
            <w:pPr>
              <w:widowControl/>
              <w:jc w:val="center"/>
              <w:textAlignment w:val="center"/>
              <w:rPr>
                <w:rFonts w:hint="eastAsia" w:ascii="宋体" w:hAnsi="宋体"/>
                <w:b/>
                <w:bCs/>
                <w:color w:val="000000"/>
                <w:sz w:val="24"/>
                <w:szCs w:val="22"/>
              </w:rPr>
            </w:pPr>
            <w:r>
              <w:rPr>
                <w:rFonts w:hint="eastAsia" w:ascii="宋体" w:hAnsi="宋体"/>
                <w:b/>
                <w:bCs/>
                <w:color w:val="000000"/>
                <w:sz w:val="24"/>
                <w:szCs w:val="22"/>
              </w:rPr>
              <w:t>信息传输组</w:t>
            </w:r>
          </w:p>
        </w:tc>
        <w:tc>
          <w:tcPr>
            <w:tcW w:w="1593"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吴伟业</w:t>
            </w:r>
          </w:p>
        </w:tc>
        <w:tc>
          <w:tcPr>
            <w:tcW w:w="1656"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组长</w:t>
            </w:r>
          </w:p>
        </w:tc>
        <w:tc>
          <w:tcPr>
            <w:tcW w:w="2959"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13702536238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04" w:hRule="atLeast"/>
          <w:jc w:val="center"/>
        </w:trPr>
        <w:tc>
          <w:tcPr>
            <w:tcW w:w="2067" w:type="dxa"/>
            <w:gridSpan w:val="2"/>
            <w:vMerge w:val="continue"/>
            <w:tcBorders>
              <w:left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p>
        </w:tc>
        <w:tc>
          <w:tcPr>
            <w:tcW w:w="1593"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蓝文渊</w:t>
            </w:r>
          </w:p>
        </w:tc>
        <w:tc>
          <w:tcPr>
            <w:tcW w:w="1656"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组员</w:t>
            </w:r>
          </w:p>
        </w:tc>
        <w:tc>
          <w:tcPr>
            <w:tcW w:w="2959"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18680171511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04" w:hRule="atLeast"/>
          <w:jc w:val="center"/>
        </w:trPr>
        <w:tc>
          <w:tcPr>
            <w:tcW w:w="2067" w:type="dxa"/>
            <w:gridSpan w:val="2"/>
            <w:vMerge w:val="continue"/>
            <w:tcBorders>
              <w:left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p>
        </w:tc>
        <w:tc>
          <w:tcPr>
            <w:tcW w:w="1593"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张俊</w:t>
            </w:r>
          </w:p>
        </w:tc>
        <w:tc>
          <w:tcPr>
            <w:tcW w:w="1656"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组员</w:t>
            </w:r>
          </w:p>
        </w:tc>
        <w:tc>
          <w:tcPr>
            <w:tcW w:w="2959"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18664420297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199" w:hRule="atLeast"/>
          <w:jc w:val="center"/>
        </w:trPr>
        <w:tc>
          <w:tcPr>
            <w:tcW w:w="3660" w:type="dxa"/>
            <w:gridSpan w:val="3"/>
            <w:tcBorders>
              <w:left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b/>
                <w:bCs/>
                <w:color w:val="000000"/>
                <w:sz w:val="24"/>
                <w:szCs w:val="22"/>
              </w:rPr>
              <w:t>公司24小时值班电话</w:t>
            </w:r>
          </w:p>
        </w:tc>
        <w:tc>
          <w:tcPr>
            <w:tcW w:w="4615" w:type="dxa"/>
            <w:gridSpan w:val="2"/>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olor w:val="000000"/>
                <w:sz w:val="24"/>
                <w:szCs w:val="22"/>
              </w:rPr>
            </w:pPr>
            <w:r>
              <w:rPr>
                <w:rFonts w:hint="eastAsia" w:ascii="宋体" w:hAnsi="宋体"/>
                <w:color w:val="000000"/>
                <w:sz w:val="24"/>
                <w:szCs w:val="22"/>
              </w:rPr>
              <w:t>0760-89926400</w:t>
            </w:r>
          </w:p>
        </w:tc>
      </w:tr>
    </w:tbl>
    <w:p/>
    <w:p>
      <w:pPr>
        <w:pStyle w:val="3"/>
        <w:spacing w:line="480" w:lineRule="exact"/>
        <w:rPr>
          <w:sz w:val="28"/>
        </w:rPr>
      </w:pPr>
      <w:bookmarkStart w:id="468" w:name="_Toc14080"/>
      <w:r>
        <w:rPr>
          <w:sz w:val="28"/>
        </w:rPr>
        <w:t>附件1</w:t>
      </w:r>
      <w:r>
        <w:rPr>
          <w:rFonts w:hint="eastAsia"/>
          <w:sz w:val="28"/>
          <w:lang w:val="en-US" w:eastAsia="zh-CN"/>
        </w:rPr>
        <w:t>2</w:t>
      </w:r>
      <w:r>
        <w:rPr>
          <w:sz w:val="28"/>
        </w:rPr>
        <w:t>外部救援单位联系电话</w:t>
      </w:r>
      <w:bookmarkEnd w:id="465"/>
      <w:bookmarkEnd w:id="466"/>
      <w:bookmarkEnd w:id="467"/>
      <w:bookmarkEnd w:id="468"/>
    </w:p>
    <w:tbl>
      <w:tblPr>
        <w:tblStyle w:val="42"/>
        <w:tblW w:w="7740"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608"/>
        <w:gridCol w:w="41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jc w:val="center"/>
        </w:trPr>
        <w:tc>
          <w:tcPr>
            <w:tcW w:w="3608" w:type="dxa"/>
            <w:vAlign w:val="center"/>
          </w:tcPr>
          <w:p>
            <w:pPr>
              <w:tabs>
                <w:tab w:val="left" w:pos="624"/>
              </w:tabs>
              <w:spacing w:line="240" w:lineRule="auto"/>
              <w:jc w:val="center"/>
              <w:rPr>
                <w:rFonts w:hAnsi="宋体"/>
                <w:sz w:val="24"/>
              </w:rPr>
            </w:pPr>
            <w:r>
              <w:rPr>
                <w:rFonts w:hAnsi="宋体"/>
                <w:sz w:val="24"/>
              </w:rPr>
              <w:t>单位名称</w:t>
            </w:r>
          </w:p>
        </w:tc>
        <w:tc>
          <w:tcPr>
            <w:tcW w:w="4132" w:type="dxa"/>
            <w:vAlign w:val="center"/>
          </w:tcPr>
          <w:p>
            <w:pPr>
              <w:tabs>
                <w:tab w:val="left" w:pos="624"/>
              </w:tabs>
              <w:spacing w:line="240" w:lineRule="auto"/>
              <w:jc w:val="center"/>
              <w:rPr>
                <w:rFonts w:hAnsi="宋体"/>
                <w:sz w:val="24"/>
              </w:rPr>
            </w:pPr>
            <w:r>
              <w:rPr>
                <w:rFonts w:hAnsi="宋体"/>
                <w:sz w:val="24"/>
              </w:rPr>
              <w:t>联系电话</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jc w:val="center"/>
        </w:trPr>
        <w:tc>
          <w:tcPr>
            <w:tcW w:w="3608" w:type="dxa"/>
            <w:vAlign w:val="center"/>
          </w:tcPr>
          <w:p>
            <w:pPr>
              <w:tabs>
                <w:tab w:val="left" w:pos="624"/>
              </w:tabs>
              <w:spacing w:line="240" w:lineRule="auto"/>
              <w:jc w:val="center"/>
              <w:rPr>
                <w:rFonts w:hAnsi="宋体"/>
                <w:sz w:val="24"/>
              </w:rPr>
            </w:pPr>
            <w:r>
              <w:rPr>
                <w:rFonts w:hAnsi="宋体"/>
                <w:sz w:val="24"/>
              </w:rPr>
              <w:t>中山市安监局</w:t>
            </w:r>
          </w:p>
        </w:tc>
        <w:tc>
          <w:tcPr>
            <w:tcW w:w="4132" w:type="dxa"/>
            <w:vAlign w:val="center"/>
          </w:tcPr>
          <w:p>
            <w:pPr>
              <w:tabs>
                <w:tab w:val="left" w:pos="624"/>
              </w:tabs>
              <w:spacing w:line="240" w:lineRule="auto"/>
              <w:jc w:val="center"/>
              <w:rPr>
                <w:rFonts w:hAnsi="宋体"/>
                <w:sz w:val="24"/>
              </w:rPr>
            </w:pPr>
            <w:r>
              <w:rPr>
                <w:rFonts w:hAnsi="宋体"/>
                <w:sz w:val="24"/>
              </w:rPr>
              <w:t>0760-88883205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jc w:val="center"/>
        </w:trPr>
        <w:tc>
          <w:tcPr>
            <w:tcW w:w="3608" w:type="dxa"/>
            <w:vAlign w:val="center"/>
          </w:tcPr>
          <w:p>
            <w:pPr>
              <w:tabs>
                <w:tab w:val="left" w:pos="624"/>
              </w:tabs>
              <w:spacing w:line="240" w:lineRule="auto"/>
              <w:jc w:val="center"/>
              <w:rPr>
                <w:rFonts w:hAnsi="宋体"/>
                <w:sz w:val="24"/>
              </w:rPr>
            </w:pPr>
            <w:r>
              <w:rPr>
                <w:rFonts w:hAnsi="宋体"/>
                <w:sz w:val="24"/>
              </w:rPr>
              <w:t>中山市消防局</w:t>
            </w:r>
          </w:p>
        </w:tc>
        <w:tc>
          <w:tcPr>
            <w:tcW w:w="4132" w:type="dxa"/>
            <w:vAlign w:val="center"/>
          </w:tcPr>
          <w:p>
            <w:pPr>
              <w:tabs>
                <w:tab w:val="left" w:pos="624"/>
              </w:tabs>
              <w:spacing w:line="240" w:lineRule="auto"/>
              <w:jc w:val="center"/>
              <w:rPr>
                <w:rFonts w:hAnsi="宋体"/>
                <w:sz w:val="24"/>
              </w:rPr>
            </w:pPr>
            <w:r>
              <w:rPr>
                <w:rFonts w:hAnsi="宋体"/>
                <w:sz w:val="24"/>
              </w:rPr>
              <w:t>0760-88822841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jc w:val="center"/>
        </w:trPr>
        <w:tc>
          <w:tcPr>
            <w:tcW w:w="3608" w:type="dxa"/>
            <w:vAlign w:val="center"/>
          </w:tcPr>
          <w:p>
            <w:pPr>
              <w:tabs>
                <w:tab w:val="left" w:pos="624"/>
              </w:tabs>
              <w:spacing w:line="240" w:lineRule="auto"/>
              <w:jc w:val="center"/>
              <w:rPr>
                <w:rFonts w:hAnsi="宋体"/>
                <w:sz w:val="24"/>
              </w:rPr>
            </w:pPr>
            <w:r>
              <w:rPr>
                <w:rFonts w:hAnsi="宋体"/>
                <w:sz w:val="24"/>
              </w:rPr>
              <w:t>中山市环保局</w:t>
            </w:r>
          </w:p>
        </w:tc>
        <w:tc>
          <w:tcPr>
            <w:tcW w:w="4132" w:type="dxa"/>
            <w:vAlign w:val="center"/>
          </w:tcPr>
          <w:p>
            <w:pPr>
              <w:tabs>
                <w:tab w:val="left" w:pos="624"/>
              </w:tabs>
              <w:spacing w:line="240" w:lineRule="auto"/>
              <w:jc w:val="center"/>
              <w:rPr>
                <w:rFonts w:hAnsi="宋体"/>
                <w:sz w:val="24"/>
              </w:rPr>
            </w:pPr>
            <w:r>
              <w:rPr>
                <w:rFonts w:hAnsi="宋体"/>
                <w:sz w:val="24"/>
              </w:rPr>
              <w:t>0760-88329817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jc w:val="center"/>
        </w:trPr>
        <w:tc>
          <w:tcPr>
            <w:tcW w:w="3608" w:type="dxa"/>
            <w:vAlign w:val="center"/>
          </w:tcPr>
          <w:p>
            <w:pPr>
              <w:tabs>
                <w:tab w:val="left" w:pos="624"/>
              </w:tabs>
              <w:spacing w:line="240" w:lineRule="auto"/>
              <w:jc w:val="center"/>
              <w:rPr>
                <w:rFonts w:hAnsi="宋体"/>
                <w:sz w:val="24"/>
              </w:rPr>
            </w:pPr>
            <w:r>
              <w:rPr>
                <w:rFonts w:hAnsi="宋体"/>
                <w:sz w:val="24"/>
              </w:rPr>
              <w:t>中山市卫生局</w:t>
            </w:r>
          </w:p>
        </w:tc>
        <w:tc>
          <w:tcPr>
            <w:tcW w:w="4132" w:type="dxa"/>
            <w:vAlign w:val="center"/>
          </w:tcPr>
          <w:p>
            <w:pPr>
              <w:tabs>
                <w:tab w:val="left" w:pos="624"/>
              </w:tabs>
              <w:spacing w:line="240" w:lineRule="auto"/>
              <w:jc w:val="center"/>
              <w:rPr>
                <w:rFonts w:hAnsi="宋体"/>
                <w:sz w:val="24"/>
              </w:rPr>
            </w:pPr>
            <w:r>
              <w:rPr>
                <w:rFonts w:hAnsi="宋体"/>
                <w:sz w:val="24"/>
              </w:rPr>
              <w:t>0760-88822883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jc w:val="center"/>
        </w:trPr>
        <w:tc>
          <w:tcPr>
            <w:tcW w:w="3608" w:type="dxa"/>
            <w:vAlign w:val="center"/>
          </w:tcPr>
          <w:p>
            <w:pPr>
              <w:tabs>
                <w:tab w:val="left" w:pos="624"/>
              </w:tabs>
              <w:spacing w:line="240" w:lineRule="auto"/>
              <w:jc w:val="center"/>
              <w:rPr>
                <w:rFonts w:hAnsi="宋体"/>
                <w:sz w:val="24"/>
              </w:rPr>
            </w:pPr>
            <w:r>
              <w:rPr>
                <w:rFonts w:hAnsi="宋体"/>
                <w:sz w:val="24"/>
              </w:rPr>
              <w:t>市交警支队</w:t>
            </w:r>
          </w:p>
        </w:tc>
        <w:tc>
          <w:tcPr>
            <w:tcW w:w="4132" w:type="dxa"/>
            <w:vAlign w:val="center"/>
          </w:tcPr>
          <w:p>
            <w:pPr>
              <w:tabs>
                <w:tab w:val="left" w:pos="624"/>
              </w:tabs>
              <w:spacing w:line="240" w:lineRule="auto"/>
              <w:jc w:val="center"/>
              <w:rPr>
                <w:rFonts w:hAnsi="宋体"/>
                <w:sz w:val="24"/>
              </w:rPr>
            </w:pPr>
            <w:r>
              <w:rPr>
                <w:rFonts w:hAnsi="宋体"/>
                <w:sz w:val="24"/>
              </w:rPr>
              <w:t>0760-88303933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jc w:val="center"/>
        </w:trPr>
        <w:tc>
          <w:tcPr>
            <w:tcW w:w="3608" w:type="dxa"/>
            <w:vAlign w:val="center"/>
          </w:tcPr>
          <w:p>
            <w:pPr>
              <w:tabs>
                <w:tab w:val="left" w:pos="624"/>
              </w:tabs>
              <w:spacing w:line="240" w:lineRule="auto"/>
              <w:jc w:val="center"/>
              <w:rPr>
                <w:rFonts w:hAnsi="宋体"/>
                <w:sz w:val="24"/>
              </w:rPr>
            </w:pPr>
            <w:r>
              <w:rPr>
                <w:rFonts w:hAnsi="宋体"/>
                <w:sz w:val="24"/>
              </w:rPr>
              <w:t>市巡警支队</w:t>
            </w:r>
          </w:p>
        </w:tc>
        <w:tc>
          <w:tcPr>
            <w:tcW w:w="4132" w:type="dxa"/>
            <w:vAlign w:val="center"/>
          </w:tcPr>
          <w:p>
            <w:pPr>
              <w:tabs>
                <w:tab w:val="left" w:pos="624"/>
              </w:tabs>
              <w:spacing w:line="240" w:lineRule="auto"/>
              <w:jc w:val="center"/>
              <w:rPr>
                <w:rFonts w:hAnsi="宋体"/>
                <w:sz w:val="24"/>
              </w:rPr>
            </w:pPr>
            <w:r>
              <w:rPr>
                <w:rFonts w:hAnsi="宋体"/>
                <w:sz w:val="24"/>
              </w:rPr>
              <w:t>0760-88877105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jc w:val="center"/>
        </w:trPr>
        <w:tc>
          <w:tcPr>
            <w:tcW w:w="3608" w:type="dxa"/>
            <w:vAlign w:val="center"/>
          </w:tcPr>
          <w:p>
            <w:pPr>
              <w:tabs>
                <w:tab w:val="left" w:pos="624"/>
              </w:tabs>
              <w:spacing w:line="240" w:lineRule="auto"/>
              <w:jc w:val="center"/>
              <w:rPr>
                <w:rFonts w:hAnsi="宋体"/>
                <w:sz w:val="24"/>
              </w:rPr>
            </w:pPr>
            <w:r>
              <w:rPr>
                <w:rFonts w:hAnsi="宋体"/>
                <w:sz w:val="24"/>
              </w:rPr>
              <w:t>中山市职业病防治所</w:t>
            </w:r>
          </w:p>
        </w:tc>
        <w:tc>
          <w:tcPr>
            <w:tcW w:w="4132" w:type="dxa"/>
            <w:vAlign w:val="center"/>
          </w:tcPr>
          <w:p>
            <w:pPr>
              <w:tabs>
                <w:tab w:val="left" w:pos="624"/>
              </w:tabs>
              <w:spacing w:line="240" w:lineRule="auto"/>
              <w:jc w:val="center"/>
              <w:rPr>
                <w:rFonts w:hAnsi="宋体"/>
                <w:sz w:val="24"/>
              </w:rPr>
            </w:pPr>
            <w:r>
              <w:rPr>
                <w:rFonts w:hAnsi="宋体"/>
                <w:sz w:val="24"/>
              </w:rPr>
              <w:t>0760-88825075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jc w:val="center"/>
        </w:trPr>
        <w:tc>
          <w:tcPr>
            <w:tcW w:w="3608" w:type="dxa"/>
            <w:vMerge w:val="restart"/>
            <w:vAlign w:val="center"/>
          </w:tcPr>
          <w:p>
            <w:pPr>
              <w:tabs>
                <w:tab w:val="left" w:pos="624"/>
              </w:tabs>
              <w:spacing w:line="240" w:lineRule="auto"/>
              <w:jc w:val="center"/>
              <w:rPr>
                <w:rFonts w:hAnsi="宋体"/>
                <w:sz w:val="24"/>
              </w:rPr>
            </w:pPr>
            <w:r>
              <w:rPr>
                <w:rFonts w:hAnsi="宋体"/>
                <w:sz w:val="24"/>
              </w:rPr>
              <w:t>中山市卫生防疫站</w:t>
            </w:r>
          </w:p>
        </w:tc>
        <w:tc>
          <w:tcPr>
            <w:tcW w:w="4132" w:type="dxa"/>
            <w:vAlign w:val="center"/>
          </w:tcPr>
          <w:p>
            <w:pPr>
              <w:tabs>
                <w:tab w:val="left" w:pos="624"/>
              </w:tabs>
              <w:spacing w:line="240" w:lineRule="auto"/>
              <w:jc w:val="center"/>
              <w:rPr>
                <w:rFonts w:hAnsi="宋体"/>
                <w:sz w:val="24"/>
              </w:rPr>
            </w:pPr>
            <w:r>
              <w:rPr>
                <w:rFonts w:hAnsi="宋体"/>
                <w:sz w:val="24"/>
              </w:rPr>
              <w:t>值班联系电话：0760-88822158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jc w:val="center"/>
        </w:trPr>
        <w:tc>
          <w:tcPr>
            <w:tcW w:w="3608" w:type="dxa"/>
            <w:vMerge w:val="continue"/>
            <w:vAlign w:val="center"/>
          </w:tcPr>
          <w:p>
            <w:pPr>
              <w:tabs>
                <w:tab w:val="left" w:pos="624"/>
              </w:tabs>
              <w:spacing w:line="240" w:lineRule="auto"/>
              <w:jc w:val="center"/>
              <w:rPr>
                <w:rFonts w:hAnsi="宋体"/>
                <w:sz w:val="24"/>
              </w:rPr>
            </w:pPr>
          </w:p>
        </w:tc>
        <w:tc>
          <w:tcPr>
            <w:tcW w:w="4132" w:type="dxa"/>
            <w:vAlign w:val="center"/>
          </w:tcPr>
          <w:p>
            <w:pPr>
              <w:tabs>
                <w:tab w:val="left" w:pos="624"/>
              </w:tabs>
              <w:spacing w:line="240" w:lineRule="auto"/>
              <w:jc w:val="center"/>
              <w:rPr>
                <w:rFonts w:hAnsi="宋体"/>
                <w:sz w:val="24"/>
              </w:rPr>
            </w:pPr>
            <w:r>
              <w:rPr>
                <w:rFonts w:hAnsi="宋体"/>
                <w:sz w:val="24"/>
              </w:rPr>
              <w:t>疾病控制中心：0760-88855964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jc w:val="center"/>
        </w:trPr>
        <w:tc>
          <w:tcPr>
            <w:tcW w:w="3608" w:type="dxa"/>
            <w:vAlign w:val="center"/>
          </w:tcPr>
          <w:p>
            <w:pPr>
              <w:tabs>
                <w:tab w:val="left" w:pos="624"/>
              </w:tabs>
              <w:spacing w:line="240" w:lineRule="auto"/>
              <w:jc w:val="center"/>
              <w:rPr>
                <w:rFonts w:hAnsi="宋体"/>
                <w:sz w:val="24"/>
              </w:rPr>
            </w:pPr>
            <w:r>
              <w:rPr>
                <w:rFonts w:hAnsi="宋体"/>
                <w:sz w:val="24"/>
              </w:rPr>
              <w:t>中山市气象站</w:t>
            </w:r>
          </w:p>
        </w:tc>
        <w:tc>
          <w:tcPr>
            <w:tcW w:w="4132" w:type="dxa"/>
            <w:vAlign w:val="center"/>
          </w:tcPr>
          <w:p>
            <w:pPr>
              <w:tabs>
                <w:tab w:val="left" w:pos="624"/>
              </w:tabs>
              <w:spacing w:line="240" w:lineRule="auto"/>
              <w:jc w:val="center"/>
              <w:rPr>
                <w:rFonts w:hAnsi="宋体"/>
                <w:sz w:val="24"/>
              </w:rPr>
            </w:pPr>
            <w:r>
              <w:rPr>
                <w:rFonts w:hAnsi="宋体"/>
                <w:sz w:val="24"/>
              </w:rPr>
              <w:t>0760-88637124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jc w:val="center"/>
        </w:trPr>
        <w:tc>
          <w:tcPr>
            <w:tcW w:w="3608" w:type="dxa"/>
            <w:vAlign w:val="center"/>
          </w:tcPr>
          <w:p>
            <w:pPr>
              <w:tabs>
                <w:tab w:val="left" w:pos="624"/>
              </w:tabs>
              <w:spacing w:line="240" w:lineRule="auto"/>
              <w:jc w:val="center"/>
              <w:rPr>
                <w:rFonts w:hAnsi="宋体"/>
                <w:sz w:val="24"/>
              </w:rPr>
            </w:pPr>
            <w:r>
              <w:rPr>
                <w:rFonts w:hAnsi="宋体"/>
                <w:sz w:val="24"/>
              </w:rPr>
              <w:t>中山市应急管理办公室</w:t>
            </w:r>
          </w:p>
        </w:tc>
        <w:tc>
          <w:tcPr>
            <w:tcW w:w="4132" w:type="dxa"/>
            <w:vAlign w:val="center"/>
          </w:tcPr>
          <w:p>
            <w:pPr>
              <w:tabs>
                <w:tab w:val="left" w:pos="624"/>
              </w:tabs>
              <w:spacing w:line="240" w:lineRule="auto"/>
              <w:jc w:val="center"/>
              <w:rPr>
                <w:rFonts w:hAnsi="宋体"/>
                <w:sz w:val="24"/>
              </w:rPr>
            </w:pPr>
            <w:r>
              <w:rPr>
                <w:rFonts w:hAnsi="宋体"/>
                <w:sz w:val="24"/>
              </w:rPr>
              <w:t>0760-88863328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jc w:val="center"/>
        </w:trPr>
        <w:tc>
          <w:tcPr>
            <w:tcW w:w="3608" w:type="dxa"/>
            <w:vAlign w:val="center"/>
          </w:tcPr>
          <w:p>
            <w:pPr>
              <w:tabs>
                <w:tab w:val="left" w:pos="624"/>
              </w:tabs>
              <w:spacing w:line="240" w:lineRule="auto"/>
              <w:jc w:val="center"/>
              <w:rPr>
                <w:rFonts w:hAnsi="宋体"/>
                <w:sz w:val="24"/>
                <w:szCs w:val="22"/>
              </w:rPr>
            </w:pPr>
            <w:r>
              <w:rPr>
                <w:rFonts w:hint="eastAsia" w:hAnsi="宋体"/>
                <w:sz w:val="24"/>
                <w:szCs w:val="22"/>
                <w:lang w:eastAsia="zh-CN"/>
              </w:rPr>
              <w:t>民众生态环境</w:t>
            </w:r>
            <w:r>
              <w:rPr>
                <w:rFonts w:hint="eastAsia" w:hAnsi="宋体"/>
                <w:sz w:val="24"/>
                <w:szCs w:val="22"/>
              </w:rPr>
              <w:t>分</w:t>
            </w:r>
            <w:r>
              <w:rPr>
                <w:rFonts w:hAnsi="宋体"/>
                <w:sz w:val="24"/>
                <w:szCs w:val="22"/>
              </w:rPr>
              <w:t>局</w:t>
            </w:r>
          </w:p>
        </w:tc>
        <w:tc>
          <w:tcPr>
            <w:tcW w:w="4132" w:type="dxa"/>
            <w:vAlign w:val="center"/>
          </w:tcPr>
          <w:p>
            <w:pPr>
              <w:tabs>
                <w:tab w:val="left" w:pos="624"/>
              </w:tabs>
              <w:spacing w:line="240" w:lineRule="auto"/>
              <w:jc w:val="center"/>
              <w:rPr>
                <w:rFonts w:hAnsi="宋体"/>
                <w:sz w:val="24"/>
                <w:szCs w:val="22"/>
              </w:rPr>
            </w:pPr>
            <w:r>
              <w:rPr>
                <w:rFonts w:hint="eastAsia" w:hAnsi="宋体"/>
                <w:sz w:val="24"/>
                <w:szCs w:val="22"/>
              </w:rPr>
              <w:t>0760-85570277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jc w:val="center"/>
        </w:trPr>
        <w:tc>
          <w:tcPr>
            <w:tcW w:w="3608" w:type="dxa"/>
            <w:vAlign w:val="center"/>
          </w:tcPr>
          <w:p>
            <w:pPr>
              <w:tabs>
                <w:tab w:val="left" w:pos="624"/>
              </w:tabs>
              <w:spacing w:line="240" w:lineRule="auto"/>
              <w:jc w:val="center"/>
              <w:rPr>
                <w:rFonts w:hAnsi="宋体"/>
                <w:sz w:val="24"/>
                <w:szCs w:val="22"/>
              </w:rPr>
            </w:pPr>
            <w:r>
              <w:rPr>
                <w:rFonts w:hint="eastAsia" w:ascii="宋体" w:hAnsi="宋体"/>
                <w:sz w:val="24"/>
              </w:rPr>
              <w:t>民众镇消防中队</w:t>
            </w:r>
          </w:p>
        </w:tc>
        <w:tc>
          <w:tcPr>
            <w:tcW w:w="4132" w:type="dxa"/>
            <w:vAlign w:val="center"/>
          </w:tcPr>
          <w:p>
            <w:pPr>
              <w:tabs>
                <w:tab w:val="left" w:pos="624"/>
              </w:tabs>
              <w:spacing w:line="240" w:lineRule="auto"/>
              <w:jc w:val="center"/>
              <w:rPr>
                <w:rFonts w:hint="default" w:hAnsi="宋体" w:eastAsia="宋体"/>
                <w:sz w:val="24"/>
                <w:szCs w:val="22"/>
                <w:lang w:val="en-US" w:eastAsia="zh-CN"/>
              </w:rPr>
            </w:pPr>
            <w:r>
              <w:rPr>
                <w:rFonts w:hint="eastAsia" w:hAnsi="宋体"/>
                <w:sz w:val="24"/>
                <w:szCs w:val="22"/>
                <w:lang w:val="en-US" w:eastAsia="zh-CN"/>
              </w:rPr>
              <w:t>119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jc w:val="center"/>
        </w:trPr>
        <w:tc>
          <w:tcPr>
            <w:tcW w:w="3608" w:type="dxa"/>
            <w:vAlign w:val="center"/>
          </w:tcPr>
          <w:p>
            <w:pPr>
              <w:tabs>
                <w:tab w:val="left" w:pos="624"/>
              </w:tabs>
              <w:spacing w:line="240" w:lineRule="auto"/>
              <w:jc w:val="center"/>
              <w:rPr>
                <w:rFonts w:hAnsi="宋体"/>
                <w:sz w:val="24"/>
                <w:szCs w:val="22"/>
              </w:rPr>
            </w:pPr>
            <w:r>
              <w:rPr>
                <w:rFonts w:hint="eastAsia" w:hAnsi="宋体"/>
                <w:sz w:val="24"/>
                <w:szCs w:val="22"/>
              </w:rPr>
              <w:t>民众医院</w:t>
            </w:r>
          </w:p>
        </w:tc>
        <w:tc>
          <w:tcPr>
            <w:tcW w:w="4132" w:type="dxa"/>
            <w:vAlign w:val="center"/>
          </w:tcPr>
          <w:p>
            <w:pPr>
              <w:tabs>
                <w:tab w:val="left" w:pos="624"/>
              </w:tabs>
              <w:spacing w:line="240" w:lineRule="auto"/>
              <w:jc w:val="center"/>
              <w:rPr>
                <w:rFonts w:hint="eastAsia" w:hAnsi="宋体"/>
                <w:sz w:val="24"/>
                <w:szCs w:val="22"/>
                <w:lang w:val="en-GB"/>
              </w:rPr>
            </w:pPr>
            <w:r>
              <w:rPr>
                <w:rFonts w:hint="eastAsia" w:hAnsi="宋体"/>
                <w:sz w:val="24"/>
                <w:szCs w:val="22"/>
                <w:lang w:val="en-GB"/>
              </w:rPr>
              <w:t>120</w:t>
            </w:r>
          </w:p>
          <w:p>
            <w:pPr>
              <w:tabs>
                <w:tab w:val="left" w:pos="624"/>
              </w:tabs>
              <w:spacing w:line="240" w:lineRule="auto"/>
              <w:jc w:val="center"/>
              <w:rPr>
                <w:rFonts w:hAnsi="宋体"/>
                <w:sz w:val="24"/>
                <w:szCs w:val="22"/>
              </w:rPr>
            </w:pPr>
            <w:r>
              <w:rPr>
                <w:rFonts w:hint="eastAsia" w:hAnsi="宋体"/>
                <w:sz w:val="24"/>
                <w:szCs w:val="22"/>
                <w:lang w:val="en-GB"/>
              </w:rPr>
              <w:t>0760-85575254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jc w:val="center"/>
        </w:trPr>
        <w:tc>
          <w:tcPr>
            <w:tcW w:w="3608" w:type="dxa"/>
            <w:vAlign w:val="center"/>
          </w:tcPr>
          <w:p>
            <w:pPr>
              <w:tabs>
                <w:tab w:val="left" w:pos="624"/>
              </w:tabs>
              <w:spacing w:line="240" w:lineRule="auto"/>
              <w:jc w:val="center"/>
              <w:rPr>
                <w:rFonts w:hint="eastAsia" w:hAnsi="宋体"/>
                <w:sz w:val="24"/>
                <w:szCs w:val="22"/>
                <w:lang w:eastAsia="zh-CN"/>
              </w:rPr>
            </w:pPr>
            <w:r>
              <w:rPr>
                <w:rFonts w:hint="eastAsia" w:hAnsi="宋体"/>
                <w:sz w:val="24"/>
                <w:szCs w:val="22"/>
                <w:lang w:eastAsia="zh-CN"/>
              </w:rPr>
              <w:t>广东嬴胜节能有限公司</w:t>
            </w:r>
          </w:p>
        </w:tc>
        <w:tc>
          <w:tcPr>
            <w:tcW w:w="4132" w:type="dxa"/>
            <w:vAlign w:val="center"/>
          </w:tcPr>
          <w:p>
            <w:pPr>
              <w:tabs>
                <w:tab w:val="left" w:pos="624"/>
              </w:tabs>
              <w:spacing w:line="240" w:lineRule="auto"/>
              <w:jc w:val="center"/>
              <w:rPr>
                <w:rFonts w:hint="eastAsia" w:hAnsi="宋体"/>
                <w:sz w:val="24"/>
                <w:szCs w:val="22"/>
                <w:lang w:eastAsia="zh-CN"/>
              </w:rPr>
            </w:pPr>
            <w:r>
              <w:rPr>
                <w:rFonts w:hint="eastAsia" w:hAnsi="宋体"/>
                <w:sz w:val="24"/>
                <w:szCs w:val="22"/>
                <w:lang w:eastAsia="zh-CN"/>
              </w:rPr>
              <w:t>18961017567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jc w:val="center"/>
        </w:trPr>
        <w:tc>
          <w:tcPr>
            <w:tcW w:w="3608" w:type="dxa"/>
            <w:vAlign w:val="center"/>
          </w:tcPr>
          <w:p>
            <w:pPr>
              <w:tabs>
                <w:tab w:val="left" w:pos="624"/>
              </w:tabs>
              <w:spacing w:line="240" w:lineRule="auto"/>
              <w:jc w:val="center"/>
              <w:rPr>
                <w:rFonts w:hint="eastAsia" w:hAnsi="宋体"/>
                <w:sz w:val="24"/>
                <w:szCs w:val="22"/>
                <w:lang w:eastAsia="zh-CN"/>
              </w:rPr>
            </w:pPr>
            <w:r>
              <w:rPr>
                <w:rFonts w:hint="eastAsia" w:hAnsi="宋体"/>
                <w:sz w:val="24"/>
                <w:szCs w:val="22"/>
                <w:lang w:eastAsia="zh-CN"/>
              </w:rPr>
              <w:t>中山市德马汽车零部件有限公司</w:t>
            </w:r>
          </w:p>
        </w:tc>
        <w:tc>
          <w:tcPr>
            <w:tcW w:w="4132" w:type="dxa"/>
            <w:vAlign w:val="center"/>
          </w:tcPr>
          <w:p>
            <w:pPr>
              <w:tabs>
                <w:tab w:val="left" w:pos="624"/>
              </w:tabs>
              <w:spacing w:line="240" w:lineRule="auto"/>
              <w:jc w:val="center"/>
              <w:rPr>
                <w:rFonts w:hint="eastAsia" w:hAnsi="宋体"/>
                <w:sz w:val="24"/>
                <w:szCs w:val="22"/>
                <w:lang w:eastAsia="zh-CN"/>
              </w:rPr>
            </w:pPr>
            <w:r>
              <w:rPr>
                <w:rFonts w:hint="eastAsia" w:hAnsi="宋体"/>
                <w:sz w:val="24"/>
                <w:szCs w:val="22"/>
                <w:lang w:eastAsia="zh-CN"/>
              </w:rPr>
              <w:t>0760-85550222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jc w:val="center"/>
        </w:trPr>
        <w:tc>
          <w:tcPr>
            <w:tcW w:w="3608" w:type="dxa"/>
            <w:vAlign w:val="center"/>
          </w:tcPr>
          <w:p>
            <w:pPr>
              <w:tabs>
                <w:tab w:val="left" w:pos="624"/>
              </w:tabs>
              <w:spacing w:line="240" w:lineRule="auto"/>
              <w:jc w:val="center"/>
              <w:rPr>
                <w:rFonts w:hint="eastAsia" w:hAnsi="宋体"/>
                <w:sz w:val="24"/>
                <w:szCs w:val="22"/>
                <w:lang w:eastAsia="zh-CN"/>
              </w:rPr>
            </w:pPr>
            <w:r>
              <w:rPr>
                <w:rFonts w:hint="eastAsia" w:hAnsi="宋体"/>
                <w:sz w:val="24"/>
                <w:szCs w:val="22"/>
                <w:lang w:eastAsia="zh-CN"/>
              </w:rPr>
              <w:t>中山沙仔社区</w:t>
            </w:r>
          </w:p>
        </w:tc>
        <w:tc>
          <w:tcPr>
            <w:tcW w:w="4132" w:type="dxa"/>
            <w:vAlign w:val="center"/>
          </w:tcPr>
          <w:p>
            <w:pPr>
              <w:tabs>
                <w:tab w:val="left" w:pos="624"/>
              </w:tabs>
              <w:jc w:val="center"/>
              <w:rPr>
                <w:rFonts w:hint="eastAsia"/>
                <w:sz w:val="24"/>
                <w:szCs w:val="24"/>
              </w:rPr>
            </w:pPr>
            <w:r>
              <w:rPr>
                <w:rFonts w:hint="eastAsia"/>
                <w:sz w:val="24"/>
                <w:szCs w:val="24"/>
              </w:rPr>
              <w:t>杨</w:t>
            </w:r>
            <w:r>
              <w:rPr>
                <w:rFonts w:hint="eastAsia"/>
                <w:sz w:val="24"/>
                <w:szCs w:val="24"/>
                <w:lang w:eastAsia="zh-CN"/>
              </w:rPr>
              <w:t>先生：</w:t>
            </w:r>
            <w:r>
              <w:rPr>
                <w:rFonts w:hint="eastAsia"/>
                <w:sz w:val="24"/>
                <w:szCs w:val="24"/>
              </w:rPr>
              <w:t>13928120968</w:t>
            </w:r>
          </w:p>
          <w:p>
            <w:pPr>
              <w:tabs>
                <w:tab w:val="left" w:pos="624"/>
              </w:tabs>
              <w:spacing w:line="240" w:lineRule="auto"/>
              <w:jc w:val="center"/>
              <w:rPr>
                <w:rFonts w:hint="eastAsia" w:hAnsi="宋体"/>
                <w:sz w:val="24"/>
                <w:szCs w:val="22"/>
                <w:lang w:eastAsia="zh-CN"/>
              </w:rPr>
            </w:pPr>
            <w:r>
              <w:rPr>
                <w:rFonts w:hint="eastAsia"/>
                <w:sz w:val="24"/>
                <w:szCs w:val="24"/>
              </w:rPr>
              <w:t>吴</w:t>
            </w:r>
            <w:r>
              <w:rPr>
                <w:rFonts w:hint="eastAsia"/>
                <w:sz w:val="24"/>
                <w:szCs w:val="24"/>
                <w:lang w:eastAsia="zh-CN"/>
              </w:rPr>
              <w:t>小姐：</w:t>
            </w:r>
            <w:r>
              <w:rPr>
                <w:rFonts w:hint="eastAsia"/>
                <w:sz w:val="24"/>
                <w:szCs w:val="24"/>
              </w:rPr>
              <w:t>13702512817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jc w:val="center"/>
        </w:trPr>
        <w:tc>
          <w:tcPr>
            <w:tcW w:w="3608" w:type="dxa"/>
            <w:vAlign w:val="center"/>
          </w:tcPr>
          <w:p>
            <w:pPr>
              <w:tabs>
                <w:tab w:val="left" w:pos="624"/>
              </w:tabs>
              <w:spacing w:line="240" w:lineRule="auto"/>
              <w:jc w:val="center"/>
              <w:rPr>
                <w:rFonts w:hint="eastAsia" w:hAnsi="宋体"/>
                <w:sz w:val="24"/>
                <w:szCs w:val="22"/>
                <w:lang w:eastAsia="zh-CN"/>
              </w:rPr>
            </w:pPr>
            <w:r>
              <w:rPr>
                <w:rFonts w:hint="eastAsia" w:hAnsi="宋体"/>
                <w:sz w:val="24"/>
                <w:szCs w:val="22"/>
                <w:lang w:eastAsia="zh-CN"/>
              </w:rPr>
              <w:t>中山新平社区</w:t>
            </w:r>
          </w:p>
        </w:tc>
        <w:tc>
          <w:tcPr>
            <w:tcW w:w="4132" w:type="dxa"/>
            <w:vAlign w:val="center"/>
          </w:tcPr>
          <w:p>
            <w:pPr>
              <w:tabs>
                <w:tab w:val="left" w:pos="624"/>
              </w:tabs>
              <w:spacing w:line="240" w:lineRule="auto"/>
              <w:jc w:val="center"/>
              <w:rPr>
                <w:rFonts w:hint="eastAsia" w:hAnsi="宋体"/>
                <w:sz w:val="24"/>
                <w:szCs w:val="22"/>
                <w:lang w:eastAsia="zh-CN"/>
              </w:rPr>
            </w:pPr>
            <w:r>
              <w:rPr>
                <w:rFonts w:hint="eastAsia"/>
                <w:sz w:val="24"/>
                <w:szCs w:val="24"/>
              </w:rPr>
              <w:t>0760-85575604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jc w:val="center"/>
        </w:trPr>
        <w:tc>
          <w:tcPr>
            <w:tcW w:w="3608" w:type="dxa"/>
            <w:vAlign w:val="center"/>
          </w:tcPr>
          <w:p>
            <w:pPr>
              <w:tabs>
                <w:tab w:val="left" w:pos="624"/>
              </w:tabs>
              <w:spacing w:line="240" w:lineRule="auto"/>
              <w:jc w:val="center"/>
              <w:rPr>
                <w:rFonts w:hint="eastAsia" w:hAnsi="宋体"/>
                <w:sz w:val="24"/>
                <w:szCs w:val="22"/>
                <w:lang w:eastAsia="zh-CN"/>
              </w:rPr>
            </w:pPr>
            <w:r>
              <w:rPr>
                <w:rFonts w:hint="eastAsia" w:hAnsi="宋体"/>
                <w:sz w:val="24"/>
                <w:szCs w:val="22"/>
                <w:lang w:eastAsia="zh-CN"/>
              </w:rPr>
              <w:t>中山新建社区</w:t>
            </w:r>
          </w:p>
        </w:tc>
        <w:tc>
          <w:tcPr>
            <w:tcW w:w="4132" w:type="dxa"/>
            <w:vAlign w:val="center"/>
          </w:tcPr>
          <w:p>
            <w:pPr>
              <w:tabs>
                <w:tab w:val="left" w:pos="624"/>
              </w:tabs>
              <w:spacing w:line="240" w:lineRule="auto"/>
              <w:jc w:val="center"/>
              <w:rPr>
                <w:rFonts w:hint="eastAsia" w:hAnsi="宋体"/>
                <w:b/>
                <w:bCs/>
                <w:sz w:val="24"/>
                <w:szCs w:val="22"/>
                <w:lang w:eastAsia="zh-CN"/>
              </w:rPr>
            </w:pPr>
            <w:r>
              <w:rPr>
                <w:rFonts w:hint="eastAsia"/>
                <w:sz w:val="24"/>
                <w:szCs w:val="24"/>
              </w:rPr>
              <w:t>0760-85575604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jc w:val="center"/>
        </w:trPr>
        <w:tc>
          <w:tcPr>
            <w:tcW w:w="3608" w:type="dxa"/>
            <w:vAlign w:val="center"/>
          </w:tcPr>
          <w:p>
            <w:pPr>
              <w:tabs>
                <w:tab w:val="left" w:pos="624"/>
              </w:tabs>
              <w:spacing w:line="240" w:lineRule="auto"/>
              <w:jc w:val="center"/>
              <w:rPr>
                <w:rFonts w:hint="eastAsia" w:hAnsi="宋体"/>
                <w:sz w:val="24"/>
                <w:szCs w:val="22"/>
                <w:lang w:eastAsia="zh-CN"/>
              </w:rPr>
            </w:pPr>
            <w:r>
              <w:rPr>
                <w:rFonts w:hint="eastAsia" w:hAnsi="宋体"/>
                <w:sz w:val="24"/>
                <w:szCs w:val="22"/>
                <w:lang w:eastAsia="zh-CN"/>
              </w:rPr>
              <w:t>广州同兴村</w:t>
            </w:r>
          </w:p>
        </w:tc>
        <w:tc>
          <w:tcPr>
            <w:tcW w:w="4132" w:type="dxa"/>
            <w:vAlign w:val="center"/>
          </w:tcPr>
          <w:p>
            <w:pPr>
              <w:tabs>
                <w:tab w:val="left" w:pos="624"/>
              </w:tabs>
              <w:spacing w:line="240" w:lineRule="auto"/>
              <w:jc w:val="center"/>
              <w:rPr>
                <w:rFonts w:hint="eastAsia" w:hAnsi="宋体"/>
                <w:sz w:val="24"/>
                <w:szCs w:val="22"/>
                <w:lang w:eastAsia="zh-CN"/>
              </w:rPr>
            </w:pPr>
            <w:r>
              <w:rPr>
                <w:rFonts w:hint="eastAsia"/>
                <w:sz w:val="24"/>
                <w:szCs w:val="24"/>
              </w:rPr>
              <w:t>020-84943671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jc w:val="center"/>
        </w:trPr>
        <w:tc>
          <w:tcPr>
            <w:tcW w:w="3608" w:type="dxa"/>
            <w:vAlign w:val="top"/>
          </w:tcPr>
          <w:p>
            <w:pPr>
              <w:tabs>
                <w:tab w:val="left" w:pos="624"/>
              </w:tabs>
              <w:spacing w:line="240" w:lineRule="auto"/>
              <w:jc w:val="center"/>
              <w:rPr>
                <w:rFonts w:hint="eastAsia" w:hAnsi="宋体"/>
                <w:sz w:val="24"/>
                <w:szCs w:val="22"/>
                <w:lang w:eastAsia="zh-CN"/>
              </w:rPr>
            </w:pPr>
            <w:r>
              <w:rPr>
                <w:rFonts w:hint="eastAsia" w:hAnsi="宋体"/>
                <w:sz w:val="24"/>
                <w:szCs w:val="22"/>
                <w:lang w:eastAsia="zh-CN"/>
              </w:rPr>
              <w:t>广州年丰村</w:t>
            </w:r>
          </w:p>
        </w:tc>
        <w:tc>
          <w:tcPr>
            <w:tcW w:w="4132" w:type="dxa"/>
            <w:vAlign w:val="center"/>
          </w:tcPr>
          <w:p>
            <w:pPr>
              <w:tabs>
                <w:tab w:val="left" w:pos="624"/>
              </w:tabs>
              <w:spacing w:line="240" w:lineRule="auto"/>
              <w:jc w:val="center"/>
              <w:rPr>
                <w:rFonts w:hint="eastAsia" w:hAnsi="宋体"/>
                <w:sz w:val="24"/>
                <w:szCs w:val="22"/>
                <w:lang w:eastAsia="zh-CN"/>
              </w:rPr>
            </w:pPr>
            <w:r>
              <w:rPr>
                <w:rFonts w:hint="eastAsia"/>
                <w:sz w:val="24"/>
                <w:szCs w:val="24"/>
              </w:rPr>
              <w:t>020-84943692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jc w:val="center"/>
        </w:trPr>
        <w:tc>
          <w:tcPr>
            <w:tcW w:w="3608" w:type="dxa"/>
            <w:vAlign w:val="top"/>
          </w:tcPr>
          <w:p>
            <w:pPr>
              <w:tabs>
                <w:tab w:val="left" w:pos="624"/>
              </w:tabs>
              <w:spacing w:line="240" w:lineRule="auto"/>
              <w:jc w:val="center"/>
              <w:rPr>
                <w:rFonts w:hint="eastAsia" w:hAnsi="宋体"/>
                <w:sz w:val="24"/>
                <w:szCs w:val="22"/>
                <w:lang w:eastAsia="zh-CN"/>
              </w:rPr>
            </w:pPr>
            <w:r>
              <w:rPr>
                <w:rFonts w:hint="eastAsia" w:hAnsi="宋体"/>
                <w:sz w:val="24"/>
                <w:szCs w:val="22"/>
                <w:lang w:eastAsia="zh-CN"/>
              </w:rPr>
              <w:t>广州新安村</w:t>
            </w:r>
          </w:p>
        </w:tc>
        <w:tc>
          <w:tcPr>
            <w:tcW w:w="4132" w:type="dxa"/>
            <w:vAlign w:val="center"/>
          </w:tcPr>
          <w:p>
            <w:pPr>
              <w:tabs>
                <w:tab w:val="left" w:pos="624"/>
              </w:tabs>
              <w:spacing w:line="240" w:lineRule="auto"/>
              <w:jc w:val="center"/>
              <w:rPr>
                <w:rFonts w:hint="eastAsia" w:hAnsi="宋体"/>
                <w:sz w:val="24"/>
                <w:szCs w:val="22"/>
                <w:lang w:eastAsia="zh-CN"/>
              </w:rPr>
            </w:pPr>
            <w:r>
              <w:rPr>
                <w:rFonts w:hint="eastAsia" w:hAnsi="宋体"/>
                <w:sz w:val="24"/>
                <w:szCs w:val="22"/>
                <w:lang w:val="en-US" w:eastAsia="zh-CN"/>
              </w:rPr>
              <w:t>020-</w:t>
            </w:r>
            <w:r>
              <w:rPr>
                <w:rFonts w:hint="eastAsia" w:hAnsi="宋体"/>
                <w:sz w:val="24"/>
                <w:szCs w:val="22"/>
                <w:lang w:eastAsia="zh-CN"/>
              </w:rPr>
              <w:t>84943843</w:t>
            </w:r>
          </w:p>
        </w:tc>
      </w:tr>
    </w:tbl>
    <w:p/>
    <w:p/>
    <w:p>
      <w:pPr>
        <w:spacing w:line="360" w:lineRule="auto"/>
        <w:rPr>
          <w:sz w:val="24"/>
        </w:rPr>
      </w:pPr>
    </w:p>
    <w:p>
      <w:pPr>
        <w:spacing w:line="360" w:lineRule="auto"/>
        <w:rPr>
          <w:sz w:val="24"/>
        </w:rPr>
      </w:pPr>
    </w:p>
    <w:p>
      <w:pPr>
        <w:spacing w:line="360" w:lineRule="auto"/>
        <w:rPr>
          <w:sz w:val="24"/>
        </w:rPr>
      </w:pPr>
    </w:p>
    <w:p>
      <w:pPr>
        <w:spacing w:line="360" w:lineRule="auto"/>
        <w:rPr>
          <w:sz w:val="24"/>
        </w:rPr>
      </w:pPr>
    </w:p>
    <w:p>
      <w:pPr>
        <w:spacing w:line="360" w:lineRule="auto"/>
        <w:rPr>
          <w:sz w:val="24"/>
        </w:rPr>
      </w:pPr>
    </w:p>
    <w:p>
      <w:pPr>
        <w:spacing w:line="360" w:lineRule="auto"/>
        <w:rPr>
          <w:sz w:val="24"/>
        </w:rPr>
      </w:pPr>
    </w:p>
    <w:p>
      <w:pPr>
        <w:spacing w:line="360" w:lineRule="auto"/>
        <w:rPr>
          <w:sz w:val="24"/>
        </w:rPr>
      </w:pPr>
    </w:p>
    <w:p>
      <w:pPr>
        <w:spacing w:line="360" w:lineRule="auto"/>
        <w:rPr>
          <w:sz w:val="24"/>
        </w:rPr>
      </w:pPr>
    </w:p>
    <w:p>
      <w:pPr>
        <w:spacing w:line="360" w:lineRule="auto"/>
        <w:rPr>
          <w:sz w:val="24"/>
        </w:rPr>
      </w:pPr>
    </w:p>
    <w:p>
      <w:pPr>
        <w:spacing w:line="360" w:lineRule="auto"/>
        <w:rPr>
          <w:sz w:val="24"/>
        </w:rPr>
      </w:pPr>
    </w:p>
    <w:p>
      <w:pPr>
        <w:spacing w:line="360" w:lineRule="auto"/>
        <w:rPr>
          <w:sz w:val="24"/>
        </w:rPr>
      </w:pPr>
    </w:p>
    <w:p>
      <w:pPr>
        <w:spacing w:line="360" w:lineRule="auto"/>
        <w:rPr>
          <w:sz w:val="24"/>
        </w:rPr>
      </w:pPr>
    </w:p>
    <w:p>
      <w:pPr>
        <w:spacing w:line="360" w:lineRule="auto"/>
        <w:rPr>
          <w:sz w:val="24"/>
        </w:rPr>
      </w:pPr>
    </w:p>
    <w:p>
      <w:pPr>
        <w:spacing w:line="360" w:lineRule="auto"/>
        <w:rPr>
          <w:sz w:val="24"/>
        </w:rPr>
      </w:pPr>
    </w:p>
    <w:p>
      <w:pPr>
        <w:spacing w:line="360" w:lineRule="auto"/>
        <w:rPr>
          <w:sz w:val="24"/>
        </w:rPr>
      </w:pPr>
    </w:p>
    <w:p>
      <w:pPr>
        <w:spacing w:line="360" w:lineRule="auto"/>
        <w:rPr>
          <w:sz w:val="24"/>
        </w:rPr>
      </w:pPr>
    </w:p>
    <w:p>
      <w:pPr>
        <w:spacing w:line="360" w:lineRule="auto"/>
        <w:rPr>
          <w:sz w:val="24"/>
        </w:rPr>
      </w:pPr>
    </w:p>
    <w:p>
      <w:pPr>
        <w:spacing w:line="360" w:lineRule="auto"/>
        <w:rPr>
          <w:sz w:val="24"/>
        </w:rPr>
      </w:pPr>
    </w:p>
    <w:p>
      <w:pPr>
        <w:spacing w:line="360" w:lineRule="auto"/>
        <w:rPr>
          <w:sz w:val="24"/>
        </w:rPr>
      </w:pPr>
    </w:p>
    <w:p>
      <w:pPr>
        <w:spacing w:line="360" w:lineRule="auto"/>
        <w:rPr>
          <w:sz w:val="24"/>
        </w:rPr>
      </w:pPr>
    </w:p>
    <w:p>
      <w:pPr>
        <w:spacing w:line="360" w:lineRule="auto"/>
        <w:rPr>
          <w:sz w:val="24"/>
        </w:rPr>
      </w:pPr>
    </w:p>
    <w:p>
      <w:pPr>
        <w:spacing w:line="360" w:lineRule="auto"/>
        <w:rPr>
          <w:sz w:val="24"/>
        </w:rPr>
      </w:pPr>
    </w:p>
    <w:p>
      <w:pPr>
        <w:spacing w:line="360" w:lineRule="auto"/>
        <w:rPr>
          <w:sz w:val="24"/>
        </w:rPr>
      </w:pPr>
    </w:p>
    <w:p>
      <w:pPr>
        <w:spacing w:line="360" w:lineRule="auto"/>
        <w:rPr>
          <w:sz w:val="24"/>
        </w:rPr>
      </w:pPr>
    </w:p>
    <w:p>
      <w:pPr>
        <w:spacing w:line="360" w:lineRule="auto"/>
        <w:rPr>
          <w:sz w:val="24"/>
        </w:rPr>
      </w:pPr>
    </w:p>
    <w:p>
      <w:pPr>
        <w:spacing w:line="360" w:lineRule="auto"/>
        <w:rPr>
          <w:sz w:val="24"/>
        </w:rPr>
      </w:pPr>
    </w:p>
    <w:p>
      <w:pPr>
        <w:spacing w:line="360" w:lineRule="auto"/>
        <w:rPr>
          <w:sz w:val="24"/>
        </w:rPr>
      </w:pPr>
    </w:p>
    <w:p>
      <w:pPr>
        <w:spacing w:line="360" w:lineRule="auto"/>
        <w:rPr>
          <w:sz w:val="24"/>
        </w:rPr>
      </w:pPr>
    </w:p>
    <w:p>
      <w:pPr>
        <w:pStyle w:val="3"/>
        <w:spacing w:line="480" w:lineRule="exact"/>
        <w:rPr>
          <w:rFonts w:hint="eastAsia" w:eastAsia="宋体"/>
          <w:sz w:val="28"/>
          <w:lang w:eastAsia="zh-CN"/>
        </w:rPr>
      </w:pPr>
      <w:bookmarkStart w:id="469" w:name="_Toc20696"/>
      <w:r>
        <w:rPr>
          <w:sz w:val="28"/>
        </w:rPr>
        <w:t>附件1</w:t>
      </w:r>
      <w:r>
        <w:rPr>
          <w:rFonts w:hint="eastAsia"/>
          <w:sz w:val="28"/>
          <w:lang w:val="en-US" w:eastAsia="zh-CN"/>
        </w:rPr>
        <w:t>3</w:t>
      </w:r>
      <w:r>
        <w:rPr>
          <w:rFonts w:hint="eastAsia"/>
          <w:sz w:val="28"/>
          <w:lang w:eastAsia="zh-CN"/>
        </w:rPr>
        <w:t>应急处置卡</w:t>
      </w:r>
      <w:bookmarkEnd w:id="469"/>
    </w:p>
    <w:p>
      <w:pPr>
        <w:jc w:val="center"/>
        <w:rPr>
          <w:rFonts w:hint="eastAsia" w:eastAsia="宋体"/>
          <w:lang w:eastAsia="zh-CN"/>
        </w:rPr>
      </w:pPr>
      <w:r>
        <w:rPr>
          <w:rFonts w:hint="eastAsia"/>
          <w:lang w:eastAsia="zh-CN"/>
        </w:rPr>
        <w:t>污泥泄露突发环境事件现场应急处置卡</w:t>
      </w:r>
    </w:p>
    <w:tbl>
      <w:tblPr>
        <w:tblStyle w:val="42"/>
        <w:tblW w:w="9180" w:type="dxa"/>
        <w:jc w:val="cente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Layout w:type="fixed"/>
        <w:tblCellMar>
          <w:top w:w="0" w:type="dxa"/>
          <w:left w:w="0" w:type="dxa"/>
          <w:bottom w:w="0" w:type="dxa"/>
          <w:right w:w="0" w:type="dxa"/>
        </w:tblCellMar>
      </w:tblPr>
      <w:tblGrid>
        <w:gridCol w:w="1475"/>
        <w:gridCol w:w="1649"/>
        <w:gridCol w:w="527"/>
        <w:gridCol w:w="939"/>
        <w:gridCol w:w="1472"/>
        <w:gridCol w:w="284"/>
        <w:gridCol w:w="1032"/>
        <w:gridCol w:w="1802"/>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Layout w:type="fixed"/>
          <w:tblCellMar>
            <w:top w:w="0" w:type="dxa"/>
            <w:left w:w="0" w:type="dxa"/>
            <w:bottom w:w="0" w:type="dxa"/>
            <w:right w:w="0" w:type="dxa"/>
          </w:tblCellMar>
        </w:tblPrEx>
        <w:trPr>
          <w:trHeight w:val="90" w:hRule="atLeast"/>
          <w:jc w:val="center"/>
        </w:trPr>
        <w:tc>
          <w:tcPr>
            <w:tcW w:w="9180" w:type="dxa"/>
            <w:gridSpan w:val="8"/>
            <w:tcBorders>
              <w:tl2br w:val="nil"/>
              <w:tr2bl w:val="nil"/>
            </w:tcBorders>
            <w:shd w:val="clear" w:color="auto" w:fill="auto"/>
          </w:tcPr>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基本情况</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247" w:hRule="atLeast"/>
          <w:jc w:val="center"/>
        </w:trPr>
        <w:tc>
          <w:tcPr>
            <w:tcW w:w="1475" w:type="dxa"/>
            <w:tcBorders>
              <w:tl2br w:val="nil"/>
              <w:tr2bl w:val="nil"/>
            </w:tcBorders>
            <w:shd w:val="clear" w:color="auto" w:fill="auto"/>
          </w:tcPr>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危险物质</w:t>
            </w:r>
          </w:p>
        </w:tc>
        <w:tc>
          <w:tcPr>
            <w:tcW w:w="2176" w:type="dxa"/>
            <w:gridSpan w:val="2"/>
            <w:tcBorders>
              <w:tl2br w:val="nil"/>
              <w:tr2bl w:val="nil"/>
            </w:tcBorders>
            <w:shd w:val="clear" w:color="auto" w:fill="auto"/>
          </w:tcPr>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污泥</w:t>
            </w:r>
          </w:p>
        </w:tc>
        <w:tc>
          <w:tcPr>
            <w:tcW w:w="2695" w:type="dxa"/>
            <w:gridSpan w:val="3"/>
            <w:tcBorders>
              <w:tl2br w:val="nil"/>
              <w:tr2bl w:val="nil"/>
            </w:tcBorders>
            <w:shd w:val="clear" w:color="auto" w:fill="auto"/>
          </w:tcPr>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可能发生的事故类型</w:t>
            </w:r>
          </w:p>
        </w:tc>
        <w:tc>
          <w:tcPr>
            <w:tcW w:w="2834" w:type="dxa"/>
            <w:gridSpan w:val="2"/>
            <w:tcBorders>
              <w:tl2br w:val="nil"/>
              <w:tr2bl w:val="nil"/>
            </w:tcBorders>
            <w:shd w:val="clear" w:color="auto" w:fill="auto"/>
          </w:tcPr>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污泥泄漏</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1475" w:type="dxa"/>
            <w:tcBorders>
              <w:tl2br w:val="nil"/>
              <w:tr2bl w:val="nil"/>
            </w:tcBorders>
            <w:shd w:val="clear" w:color="auto" w:fill="auto"/>
          </w:tcPr>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事故发生区域</w:t>
            </w:r>
          </w:p>
        </w:tc>
        <w:tc>
          <w:tcPr>
            <w:tcW w:w="7705" w:type="dxa"/>
            <w:gridSpan w:val="7"/>
            <w:tcBorders>
              <w:tl2br w:val="nil"/>
              <w:tr2bl w:val="nil"/>
            </w:tcBorders>
            <w:shd w:val="clear" w:color="auto" w:fill="auto"/>
          </w:tcPr>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eastAsia="zh-CN" w:bidi="zh-CN"/>
              </w:rPr>
              <w:t>前处理车间、热水解站、脱水单元</w:t>
            </w:r>
            <w:r>
              <w:rPr>
                <w:rFonts w:hint="eastAsia" w:ascii="宋体" w:hAnsi="宋体" w:cs="宋体"/>
                <w:spacing w:val="-7"/>
                <w:kern w:val="2"/>
                <w:sz w:val="21"/>
                <w:szCs w:val="24"/>
                <w:lang w:bidi="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1475" w:type="dxa"/>
            <w:tcBorders>
              <w:tl2br w:val="nil"/>
              <w:tr2bl w:val="nil"/>
            </w:tcBorders>
            <w:shd w:val="clear" w:color="auto" w:fill="auto"/>
          </w:tcPr>
          <w:p>
            <w:pPr>
              <w:spacing w:line="0" w:lineRule="atLeast"/>
              <w:rPr>
                <w:rFonts w:ascii="宋体" w:hAnsi="宋体" w:cs="宋体"/>
                <w:spacing w:val="-7"/>
                <w:kern w:val="2"/>
                <w:sz w:val="21"/>
                <w:szCs w:val="24"/>
                <w:lang w:bidi="zh-CN"/>
              </w:rPr>
            </w:pPr>
          </w:p>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事故危害程度</w:t>
            </w:r>
          </w:p>
        </w:tc>
        <w:tc>
          <w:tcPr>
            <w:tcW w:w="7705" w:type="dxa"/>
            <w:gridSpan w:val="7"/>
            <w:tcBorders>
              <w:tl2br w:val="nil"/>
              <w:tr2bl w:val="nil"/>
            </w:tcBorders>
            <w:shd w:val="clear" w:color="auto" w:fill="auto"/>
          </w:tcPr>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污泥泄漏可能对环境空气、水体造成污染，恶臭污染物随空气受风力作用可能会影响周边企业、居民区人员。</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1475" w:type="dxa"/>
            <w:tcBorders>
              <w:tl2br w:val="nil"/>
              <w:tr2bl w:val="nil"/>
            </w:tcBorders>
            <w:shd w:val="clear" w:color="auto" w:fill="auto"/>
          </w:tcPr>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处置程序</w:t>
            </w:r>
          </w:p>
        </w:tc>
        <w:tc>
          <w:tcPr>
            <w:tcW w:w="5903" w:type="dxa"/>
            <w:gridSpan w:val="6"/>
            <w:tcBorders>
              <w:tl2br w:val="nil"/>
              <w:tr2bl w:val="nil"/>
            </w:tcBorders>
            <w:shd w:val="clear" w:color="auto" w:fill="auto"/>
          </w:tcPr>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处置措施</w:t>
            </w:r>
          </w:p>
        </w:tc>
        <w:tc>
          <w:tcPr>
            <w:tcW w:w="1802" w:type="dxa"/>
            <w:tcBorders>
              <w:tl2br w:val="nil"/>
              <w:tr2bl w:val="nil"/>
            </w:tcBorders>
            <w:shd w:val="clear" w:color="auto" w:fill="auto"/>
          </w:tcPr>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责任人或责任单位</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1475" w:type="dxa"/>
            <w:vMerge w:val="restart"/>
            <w:tcBorders>
              <w:tl2br w:val="nil"/>
              <w:tr2bl w:val="nil"/>
            </w:tcBorders>
            <w:shd w:val="clear" w:color="auto" w:fill="auto"/>
          </w:tcPr>
          <w:p>
            <w:pPr>
              <w:spacing w:line="0" w:lineRule="atLeast"/>
              <w:rPr>
                <w:rFonts w:ascii="宋体" w:hAnsi="宋体" w:cs="宋体"/>
                <w:spacing w:val="-7"/>
                <w:kern w:val="2"/>
                <w:sz w:val="21"/>
                <w:szCs w:val="24"/>
                <w:lang w:bidi="zh-CN"/>
              </w:rPr>
            </w:pPr>
          </w:p>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事故报告</w:t>
            </w:r>
          </w:p>
        </w:tc>
        <w:tc>
          <w:tcPr>
            <w:tcW w:w="5903" w:type="dxa"/>
            <w:gridSpan w:val="6"/>
            <w:tcBorders>
              <w:tl2br w:val="nil"/>
              <w:tr2bl w:val="nil"/>
            </w:tcBorders>
            <w:shd w:val="clear" w:color="auto" w:fill="auto"/>
          </w:tcPr>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向本车间、生产主管报告，内容包括事故地点、类型及影响范围。</w:t>
            </w:r>
          </w:p>
        </w:tc>
        <w:tc>
          <w:tcPr>
            <w:tcW w:w="1802" w:type="dxa"/>
            <w:tcBorders>
              <w:tl2br w:val="nil"/>
              <w:tr2bl w:val="nil"/>
            </w:tcBorders>
            <w:shd w:val="clear" w:color="auto" w:fill="auto"/>
          </w:tcPr>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发现险情人员</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1475" w:type="dxa"/>
            <w:vMerge w:val="continue"/>
            <w:tcBorders>
              <w:tl2br w:val="nil"/>
              <w:tr2bl w:val="nil"/>
            </w:tcBorders>
            <w:shd w:val="clear" w:color="auto" w:fill="auto"/>
          </w:tcPr>
          <w:p>
            <w:pPr>
              <w:spacing w:line="0" w:lineRule="atLeast"/>
              <w:rPr>
                <w:rFonts w:ascii="宋体" w:hAnsi="宋体" w:cs="宋体"/>
                <w:spacing w:val="-7"/>
                <w:kern w:val="2"/>
                <w:sz w:val="21"/>
                <w:szCs w:val="24"/>
                <w:lang w:bidi="zh-CN"/>
              </w:rPr>
            </w:pPr>
          </w:p>
        </w:tc>
        <w:tc>
          <w:tcPr>
            <w:tcW w:w="5903" w:type="dxa"/>
            <w:gridSpan w:val="6"/>
            <w:tcBorders>
              <w:tl2br w:val="nil"/>
              <w:tr2bl w:val="nil"/>
            </w:tcBorders>
            <w:shd w:val="clear" w:color="auto" w:fill="auto"/>
          </w:tcPr>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向公司应急救援指挥部报告，内容包括事故地点、类型影响范围和已采取的应急救援措施。</w:t>
            </w:r>
          </w:p>
        </w:tc>
        <w:tc>
          <w:tcPr>
            <w:tcW w:w="1802" w:type="dxa"/>
            <w:tcBorders>
              <w:tl2br w:val="nil"/>
              <w:tr2bl w:val="nil"/>
            </w:tcBorders>
            <w:shd w:val="clear" w:color="auto" w:fill="auto"/>
          </w:tcPr>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车间、部门主管</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1475" w:type="dxa"/>
            <w:tcBorders>
              <w:tl2br w:val="nil"/>
              <w:tr2bl w:val="nil"/>
            </w:tcBorders>
            <w:shd w:val="clear" w:color="auto" w:fill="auto"/>
          </w:tcPr>
          <w:p>
            <w:pPr>
              <w:spacing w:line="0" w:lineRule="atLeast"/>
              <w:rPr>
                <w:rFonts w:ascii="宋体" w:hAnsi="宋体" w:cs="宋体"/>
                <w:spacing w:val="-7"/>
                <w:kern w:val="2"/>
                <w:sz w:val="21"/>
                <w:szCs w:val="24"/>
                <w:lang w:bidi="zh-CN"/>
              </w:rPr>
            </w:pPr>
          </w:p>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应急准备</w:t>
            </w:r>
          </w:p>
        </w:tc>
        <w:tc>
          <w:tcPr>
            <w:tcW w:w="5903" w:type="dxa"/>
            <w:gridSpan w:val="6"/>
            <w:tcBorders>
              <w:tl2br w:val="nil"/>
              <w:tr2bl w:val="nil"/>
            </w:tcBorders>
            <w:shd w:val="clear" w:color="auto" w:fill="auto"/>
          </w:tcPr>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针对不同事故类型，准备消防、应急物资，组织应急小组人员进行救援。</w:t>
            </w:r>
          </w:p>
        </w:tc>
        <w:tc>
          <w:tcPr>
            <w:tcW w:w="1802" w:type="dxa"/>
            <w:tcBorders>
              <w:tl2br w:val="nil"/>
              <w:tr2bl w:val="nil"/>
            </w:tcBorders>
            <w:shd w:val="clear" w:color="auto" w:fill="auto"/>
          </w:tcPr>
          <w:p>
            <w:pPr>
              <w:spacing w:line="0" w:lineRule="atLeast"/>
              <w:rPr>
                <w:rFonts w:ascii="宋体" w:hAnsi="宋体" w:cs="宋体"/>
                <w:spacing w:val="-7"/>
                <w:kern w:val="2"/>
                <w:sz w:val="21"/>
                <w:szCs w:val="24"/>
                <w:lang w:bidi="zh-CN"/>
              </w:rPr>
            </w:pPr>
          </w:p>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应急指挥部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431" w:hRule="atLeast"/>
          <w:jc w:val="center"/>
        </w:trPr>
        <w:tc>
          <w:tcPr>
            <w:tcW w:w="1475" w:type="dxa"/>
            <w:tcBorders>
              <w:tl2br w:val="nil"/>
              <w:tr2bl w:val="nil"/>
            </w:tcBorders>
            <w:shd w:val="clear" w:color="auto" w:fill="auto"/>
          </w:tcPr>
          <w:p>
            <w:pPr>
              <w:spacing w:line="0" w:lineRule="atLeast"/>
              <w:rPr>
                <w:rFonts w:ascii="宋体" w:hAnsi="宋体" w:cs="宋体"/>
                <w:spacing w:val="-7"/>
                <w:kern w:val="2"/>
                <w:sz w:val="21"/>
                <w:szCs w:val="24"/>
                <w:lang w:bidi="zh-CN"/>
              </w:rPr>
            </w:pPr>
          </w:p>
          <w:p>
            <w:pPr>
              <w:spacing w:line="0" w:lineRule="atLeast"/>
              <w:rPr>
                <w:rFonts w:ascii="宋体" w:hAnsi="宋体" w:cs="宋体"/>
                <w:spacing w:val="-7"/>
                <w:kern w:val="2"/>
                <w:sz w:val="21"/>
                <w:szCs w:val="24"/>
                <w:lang w:bidi="zh-CN"/>
              </w:rPr>
            </w:pPr>
          </w:p>
          <w:p>
            <w:pPr>
              <w:spacing w:line="0" w:lineRule="atLeast"/>
              <w:rPr>
                <w:rFonts w:ascii="宋体" w:hAnsi="宋体" w:cs="宋体"/>
                <w:spacing w:val="-7"/>
                <w:kern w:val="2"/>
                <w:sz w:val="21"/>
                <w:szCs w:val="24"/>
                <w:lang w:bidi="zh-CN"/>
              </w:rPr>
            </w:pPr>
          </w:p>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污泥泄漏现场处置</w:t>
            </w:r>
          </w:p>
        </w:tc>
        <w:tc>
          <w:tcPr>
            <w:tcW w:w="7705" w:type="dxa"/>
            <w:gridSpan w:val="7"/>
            <w:tcBorders>
              <w:tl2br w:val="nil"/>
              <w:tr2bl w:val="nil"/>
            </w:tcBorders>
            <w:shd w:val="clear" w:color="auto" w:fill="auto"/>
          </w:tcPr>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（1）迅速撤离泄漏污染区人员至安全区域，并进行隔离，严格限制出入。</w:t>
            </w:r>
          </w:p>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（2）应急处理人员佩戴防护工具，不要直接接触泄漏物。切断泄漏源。</w:t>
            </w:r>
          </w:p>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（3）对泄漏区域进行清</w:t>
            </w:r>
            <w:r>
              <w:rPr>
                <w:rFonts w:hint="eastAsia" w:ascii="宋体" w:hAnsi="宋体" w:cs="宋体"/>
                <w:spacing w:val="-7"/>
                <w:kern w:val="2"/>
                <w:sz w:val="21"/>
                <w:szCs w:val="24"/>
                <w:lang w:eastAsia="zh-CN" w:bidi="zh-CN"/>
              </w:rPr>
              <w:t>洗，洗消废水及泄露污泥进入前处理车间初调池进行重新处理</w:t>
            </w:r>
            <w:r>
              <w:rPr>
                <w:rFonts w:hint="eastAsia" w:ascii="宋体" w:hAnsi="宋体" w:cs="宋体"/>
                <w:spacing w:val="-7"/>
                <w:kern w:val="2"/>
                <w:sz w:val="21"/>
                <w:szCs w:val="24"/>
                <w:lang w:bidi="zh-CN"/>
              </w:rPr>
              <w:t>。</w:t>
            </w:r>
          </w:p>
          <w:p>
            <w:pPr>
              <w:spacing w:line="0" w:lineRule="atLeast"/>
              <w:rPr>
                <w:rFonts w:hint="eastAsia" w:ascii="宋体" w:hAnsi="宋体" w:cs="宋体"/>
                <w:spacing w:val="-7"/>
                <w:kern w:val="2"/>
                <w:sz w:val="21"/>
                <w:szCs w:val="24"/>
                <w:lang w:eastAsia="zh-CN" w:bidi="zh-CN"/>
              </w:rPr>
            </w:pPr>
            <w:r>
              <w:rPr>
                <w:rFonts w:hint="eastAsia" w:ascii="宋体" w:hAnsi="宋体" w:cs="宋体"/>
                <w:spacing w:val="-7"/>
                <w:kern w:val="2"/>
                <w:sz w:val="21"/>
                <w:szCs w:val="24"/>
                <w:lang w:bidi="zh-CN"/>
              </w:rPr>
              <w:t>（4）大量泄漏时</w:t>
            </w:r>
            <w:r>
              <w:rPr>
                <w:rFonts w:hint="eastAsia" w:ascii="宋体" w:hAnsi="宋体" w:cs="宋体"/>
                <w:spacing w:val="-7"/>
                <w:kern w:val="2"/>
                <w:sz w:val="21"/>
                <w:szCs w:val="24"/>
                <w:lang w:eastAsia="zh-CN" w:bidi="zh-CN"/>
              </w:rPr>
              <w:t>应急抢险人员尽可能的关闭阀门或封堵储罐破损处，截断泄露的源头；将泄漏物尽量控制在一定范围内；若泄露物进一步泄露扩散，应立即撤离现场；</w:t>
            </w:r>
          </w:p>
          <w:p>
            <w:pPr>
              <w:spacing w:line="0" w:lineRule="atLeast"/>
              <w:rPr>
                <w:rFonts w:ascii="宋体" w:cs="宋体"/>
                <w:spacing w:val="-7"/>
                <w:kern w:val="2"/>
                <w:sz w:val="21"/>
                <w:szCs w:val="24"/>
                <w:lang w:bidi="zh-CN"/>
              </w:rPr>
            </w:pPr>
            <w:r>
              <w:rPr>
                <w:rFonts w:hint="eastAsia" w:ascii="宋体" w:hAnsi="宋体" w:cs="宋体"/>
                <w:spacing w:val="-7"/>
                <w:kern w:val="2"/>
                <w:sz w:val="21"/>
                <w:szCs w:val="24"/>
                <w:lang w:bidi="zh-CN"/>
              </w:rPr>
              <w:t>（</w:t>
            </w:r>
            <w:r>
              <w:rPr>
                <w:rFonts w:hint="eastAsia" w:ascii="宋体" w:hAnsi="宋体" w:cs="宋体"/>
                <w:spacing w:val="-7"/>
                <w:kern w:val="2"/>
                <w:sz w:val="21"/>
                <w:szCs w:val="24"/>
                <w:lang w:val="en-US" w:eastAsia="zh-CN" w:bidi="zh-CN"/>
              </w:rPr>
              <w:t>5</w:t>
            </w:r>
            <w:r>
              <w:rPr>
                <w:rFonts w:hint="eastAsia" w:ascii="宋体" w:hAnsi="宋体" w:cs="宋体"/>
                <w:spacing w:val="-7"/>
                <w:kern w:val="2"/>
                <w:sz w:val="21"/>
                <w:szCs w:val="24"/>
                <w:lang w:bidi="zh-CN"/>
              </w:rPr>
              <w:t>）</w:t>
            </w:r>
            <w:r>
              <w:rPr>
                <w:rFonts w:hint="eastAsia" w:ascii="宋体" w:hAnsi="宋体" w:cs="宋体"/>
                <w:spacing w:val="-7"/>
                <w:kern w:val="2"/>
                <w:sz w:val="21"/>
                <w:szCs w:val="24"/>
                <w:lang w:eastAsia="zh-CN" w:bidi="zh-CN"/>
              </w:rPr>
              <w:t>关闭</w:t>
            </w:r>
            <w:r>
              <w:rPr>
                <w:rFonts w:hint="eastAsia" w:ascii="宋体" w:hAnsi="宋体" w:cs="宋体"/>
                <w:spacing w:val="-7"/>
                <w:kern w:val="2"/>
                <w:sz w:val="21"/>
                <w:szCs w:val="24"/>
                <w:lang w:bidi="zh-CN"/>
              </w:rPr>
              <w:t>雨水总排口</w:t>
            </w:r>
            <w:r>
              <w:rPr>
                <w:rFonts w:hint="eastAsia" w:ascii="宋体" w:hAnsi="宋体" w:cs="宋体"/>
                <w:spacing w:val="-7"/>
                <w:kern w:val="2"/>
                <w:sz w:val="21"/>
                <w:szCs w:val="24"/>
                <w:lang w:eastAsia="zh-CN" w:bidi="zh-CN"/>
              </w:rPr>
              <w:t>闸门</w:t>
            </w:r>
            <w:r>
              <w:rPr>
                <w:rFonts w:hint="eastAsia" w:ascii="宋体" w:hAnsi="宋体" w:cs="宋体"/>
                <w:spacing w:val="-7"/>
                <w:kern w:val="2"/>
                <w:sz w:val="21"/>
                <w:szCs w:val="24"/>
                <w:lang w:bidi="zh-CN"/>
              </w:rPr>
              <w:t>，以防止泄漏物通过雨水管网流出厂区外；</w:t>
            </w:r>
            <w:r>
              <w:rPr>
                <w:rFonts w:hint="eastAsia" w:ascii="宋体" w:hAnsi="宋体" w:cs="宋体"/>
                <w:spacing w:val="-7"/>
                <w:kern w:val="2"/>
                <w:sz w:val="21"/>
                <w:szCs w:val="24"/>
                <w:lang w:eastAsia="zh-CN" w:bidi="zh-CN"/>
              </w:rPr>
              <w:t>应急救援</w:t>
            </w:r>
            <w:r>
              <w:rPr>
                <w:rFonts w:hint="eastAsia" w:ascii="宋体" w:hAnsi="宋体" w:cs="宋体"/>
                <w:spacing w:val="-7"/>
                <w:kern w:val="2"/>
                <w:sz w:val="21"/>
                <w:szCs w:val="24"/>
                <w:lang w:bidi="zh-CN"/>
              </w:rPr>
              <w:t>人员立即穿戴好防护用品，在避免与泄漏物直接接触的前提下，将泄漏</w:t>
            </w:r>
            <w:r>
              <w:rPr>
                <w:rFonts w:hint="eastAsia" w:ascii="宋体" w:hAnsi="宋体" w:cs="宋体"/>
                <w:spacing w:val="-7"/>
                <w:kern w:val="2"/>
                <w:sz w:val="21"/>
                <w:szCs w:val="24"/>
                <w:lang w:eastAsia="zh-CN" w:bidi="zh-CN"/>
              </w:rPr>
              <w:t>物资</w:t>
            </w:r>
            <w:r>
              <w:rPr>
                <w:rFonts w:hint="eastAsia" w:ascii="宋体" w:hAnsi="宋体" w:cs="宋体"/>
                <w:spacing w:val="-7"/>
                <w:kern w:val="2"/>
                <w:sz w:val="21"/>
                <w:szCs w:val="24"/>
                <w:lang w:bidi="zh-CN"/>
              </w:rPr>
              <w:t>导流至</w:t>
            </w:r>
            <w:r>
              <w:rPr>
                <w:rFonts w:hint="eastAsia" w:ascii="宋体" w:hAnsi="宋体" w:cs="宋体"/>
                <w:spacing w:val="-7"/>
                <w:kern w:val="2"/>
                <w:sz w:val="21"/>
                <w:szCs w:val="24"/>
                <w:lang w:eastAsia="zh-CN" w:bidi="zh-CN"/>
              </w:rPr>
              <w:t>事故</w:t>
            </w:r>
            <w:r>
              <w:rPr>
                <w:rFonts w:hint="eastAsia" w:ascii="宋体" w:hAnsi="宋体" w:cs="宋体"/>
                <w:spacing w:val="-7"/>
                <w:kern w:val="2"/>
                <w:sz w:val="21"/>
                <w:szCs w:val="24"/>
                <w:lang w:bidi="zh-CN"/>
              </w:rPr>
              <w:t>池内暂时储存或利用围堤或事故应急池收容，然后收集转移、回收或无害处理后废弃。</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200" w:hRule="atLeast"/>
          <w:jc w:val="center"/>
        </w:trPr>
        <w:tc>
          <w:tcPr>
            <w:tcW w:w="9180" w:type="dxa"/>
            <w:gridSpan w:val="8"/>
            <w:tcBorders>
              <w:tl2br w:val="nil"/>
              <w:tr2bl w:val="nil"/>
            </w:tcBorders>
            <w:shd w:val="clear" w:color="auto" w:fill="auto"/>
          </w:tcPr>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应急人员防护、监护措施</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200" w:hRule="atLeast"/>
          <w:jc w:val="center"/>
        </w:trPr>
        <w:tc>
          <w:tcPr>
            <w:tcW w:w="9180" w:type="dxa"/>
            <w:gridSpan w:val="8"/>
            <w:tcBorders>
              <w:tl2br w:val="nil"/>
              <w:tr2bl w:val="nil"/>
            </w:tcBorders>
            <w:shd w:val="clear" w:color="auto" w:fill="auto"/>
          </w:tcPr>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应急人员应佩戴好防护用品，严防携带明火或可能产生火花的工具进入危险区域。</w:t>
            </w:r>
          </w:p>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正确使用抢险救援器材，不得冒险和蛮干，使用防火花工具。</w:t>
            </w:r>
          </w:p>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现场人员在在保证自身安全的前提下，采取积极有效的方法和措施进行自救和互救。不具备抢救条件时应尽快组织撤离。</w:t>
            </w:r>
          </w:p>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在自救或互救时，严禁各行其是和单独行动，提高预防爆炸、烧伤和中毒的警惕性， 避免再生事故的发生。</w:t>
            </w:r>
          </w:p>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应急救援结束后，做好现场检查、人员清点等工作。</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9180" w:type="dxa"/>
            <w:gridSpan w:val="8"/>
            <w:tcBorders>
              <w:tl2br w:val="nil"/>
              <w:tr2bl w:val="nil"/>
            </w:tcBorders>
            <w:shd w:val="clear" w:color="auto" w:fill="auto"/>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内部应急小组联系方式</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3124" w:type="dxa"/>
            <w:gridSpan w:val="2"/>
            <w:tcBorders>
              <w:tl2br w:val="nil"/>
              <w:tr2bl w:val="nil"/>
            </w:tcBorders>
            <w:shd w:val="clear" w:color="auto" w:fill="auto"/>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部门</w:t>
            </w:r>
          </w:p>
        </w:tc>
        <w:tc>
          <w:tcPr>
            <w:tcW w:w="2938" w:type="dxa"/>
            <w:gridSpan w:val="3"/>
            <w:tcBorders>
              <w:tl2br w:val="nil"/>
              <w:tr2bl w:val="nil"/>
            </w:tcBorders>
            <w:shd w:val="clear" w:color="auto" w:fill="auto"/>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负责人</w:t>
            </w:r>
          </w:p>
        </w:tc>
        <w:tc>
          <w:tcPr>
            <w:tcW w:w="3118" w:type="dxa"/>
            <w:gridSpan w:val="3"/>
            <w:tcBorders>
              <w:tl2br w:val="nil"/>
              <w:tr2bl w:val="nil"/>
            </w:tcBorders>
            <w:shd w:val="clear" w:color="auto" w:fill="auto"/>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联系方式</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3124" w:type="dxa"/>
            <w:gridSpan w:val="2"/>
            <w:tcBorders>
              <w:tl2br w:val="nil"/>
              <w:tr2bl w:val="nil"/>
            </w:tcBorders>
            <w:shd w:val="clear" w:color="auto" w:fill="auto"/>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应急抢险组</w:t>
            </w:r>
          </w:p>
        </w:tc>
        <w:tc>
          <w:tcPr>
            <w:tcW w:w="2938" w:type="dxa"/>
            <w:gridSpan w:val="3"/>
            <w:tcBorders>
              <w:tl2br w:val="nil"/>
              <w:tr2bl w:val="nil"/>
            </w:tcBorders>
            <w:shd w:val="clear" w:color="auto" w:fill="auto"/>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张琼</w:t>
            </w:r>
          </w:p>
        </w:tc>
        <w:tc>
          <w:tcPr>
            <w:tcW w:w="3118" w:type="dxa"/>
            <w:gridSpan w:val="3"/>
            <w:tcBorders>
              <w:tl2br w:val="nil"/>
              <w:tr2bl w:val="nil"/>
            </w:tcBorders>
            <w:shd w:val="clear" w:color="auto" w:fill="auto"/>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13528178106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3124" w:type="dxa"/>
            <w:gridSpan w:val="2"/>
            <w:tcBorders>
              <w:tl2br w:val="nil"/>
              <w:tr2bl w:val="nil"/>
            </w:tcBorders>
            <w:shd w:val="clear" w:color="auto" w:fill="auto"/>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警戒疏散组</w:t>
            </w:r>
          </w:p>
        </w:tc>
        <w:tc>
          <w:tcPr>
            <w:tcW w:w="2938" w:type="dxa"/>
            <w:gridSpan w:val="3"/>
            <w:tcBorders>
              <w:tl2br w:val="nil"/>
              <w:tr2bl w:val="nil"/>
            </w:tcBorders>
            <w:shd w:val="clear" w:color="auto" w:fill="auto"/>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杜广宇</w:t>
            </w:r>
          </w:p>
        </w:tc>
        <w:tc>
          <w:tcPr>
            <w:tcW w:w="3118" w:type="dxa"/>
            <w:gridSpan w:val="3"/>
            <w:tcBorders>
              <w:tl2br w:val="nil"/>
              <w:tr2bl w:val="nil"/>
            </w:tcBorders>
            <w:shd w:val="clear" w:color="auto" w:fill="auto"/>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13549870979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3124" w:type="dxa"/>
            <w:gridSpan w:val="2"/>
            <w:tcBorders>
              <w:tl2br w:val="nil"/>
              <w:tr2bl w:val="nil"/>
            </w:tcBorders>
            <w:shd w:val="clear" w:color="auto" w:fill="auto"/>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医疗救助组</w:t>
            </w:r>
          </w:p>
        </w:tc>
        <w:tc>
          <w:tcPr>
            <w:tcW w:w="2938" w:type="dxa"/>
            <w:gridSpan w:val="3"/>
            <w:tcBorders>
              <w:tl2br w:val="nil"/>
              <w:tr2bl w:val="nil"/>
            </w:tcBorders>
            <w:shd w:val="clear" w:color="auto" w:fill="auto"/>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易剑锋</w:t>
            </w:r>
          </w:p>
        </w:tc>
        <w:tc>
          <w:tcPr>
            <w:tcW w:w="3118" w:type="dxa"/>
            <w:gridSpan w:val="3"/>
            <w:tcBorders>
              <w:tl2br w:val="nil"/>
              <w:tr2bl w:val="nil"/>
            </w:tcBorders>
            <w:shd w:val="clear" w:color="auto" w:fill="auto"/>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18802591209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3124" w:type="dxa"/>
            <w:gridSpan w:val="2"/>
            <w:tcBorders>
              <w:tl2br w:val="nil"/>
              <w:tr2bl w:val="nil"/>
            </w:tcBorders>
            <w:shd w:val="clear" w:color="auto" w:fill="auto"/>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后勤保障组</w:t>
            </w:r>
          </w:p>
        </w:tc>
        <w:tc>
          <w:tcPr>
            <w:tcW w:w="2938" w:type="dxa"/>
            <w:gridSpan w:val="3"/>
            <w:tcBorders>
              <w:tl2br w:val="nil"/>
              <w:tr2bl w:val="nil"/>
            </w:tcBorders>
            <w:shd w:val="clear" w:color="auto" w:fill="auto"/>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林志军</w:t>
            </w:r>
          </w:p>
        </w:tc>
        <w:tc>
          <w:tcPr>
            <w:tcW w:w="3118" w:type="dxa"/>
            <w:gridSpan w:val="3"/>
            <w:tcBorders>
              <w:tl2br w:val="nil"/>
              <w:tr2bl w:val="nil"/>
            </w:tcBorders>
            <w:shd w:val="clear" w:color="auto" w:fill="auto"/>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13005509678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3124" w:type="dxa"/>
            <w:gridSpan w:val="2"/>
            <w:tcBorders>
              <w:tl2br w:val="nil"/>
              <w:tr2bl w:val="nil"/>
            </w:tcBorders>
            <w:shd w:val="clear" w:color="auto" w:fill="auto"/>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应急监测组</w:t>
            </w:r>
          </w:p>
        </w:tc>
        <w:tc>
          <w:tcPr>
            <w:tcW w:w="2938" w:type="dxa"/>
            <w:gridSpan w:val="3"/>
            <w:tcBorders>
              <w:tl2br w:val="nil"/>
              <w:tr2bl w:val="nil"/>
            </w:tcBorders>
            <w:shd w:val="clear" w:color="auto" w:fill="auto"/>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魏超</w:t>
            </w:r>
          </w:p>
        </w:tc>
        <w:tc>
          <w:tcPr>
            <w:tcW w:w="3118" w:type="dxa"/>
            <w:gridSpan w:val="3"/>
            <w:tcBorders>
              <w:tl2br w:val="nil"/>
              <w:tr2bl w:val="nil"/>
            </w:tcBorders>
            <w:shd w:val="clear" w:color="auto" w:fill="auto"/>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13425494550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3124" w:type="dxa"/>
            <w:gridSpan w:val="2"/>
            <w:tcBorders>
              <w:tl2br w:val="nil"/>
              <w:tr2bl w:val="nil"/>
            </w:tcBorders>
            <w:shd w:val="clear" w:color="auto" w:fill="auto"/>
          </w:tcPr>
          <w:p>
            <w:pPr>
              <w:spacing w:line="0" w:lineRule="atLeast"/>
              <w:jc w:val="center"/>
              <w:rPr>
                <w:rFonts w:hint="eastAsia" w:ascii="宋体" w:hAnsi="宋体" w:cs="宋体"/>
                <w:spacing w:val="-7"/>
                <w:kern w:val="2"/>
                <w:sz w:val="21"/>
                <w:szCs w:val="24"/>
                <w:lang w:bidi="zh-CN"/>
              </w:rPr>
            </w:pPr>
            <w:r>
              <w:rPr>
                <w:rFonts w:hint="eastAsia" w:ascii="宋体" w:hAnsi="宋体" w:cs="宋体"/>
                <w:spacing w:val="-7"/>
                <w:kern w:val="2"/>
                <w:sz w:val="21"/>
                <w:szCs w:val="24"/>
                <w:lang w:bidi="zh-CN"/>
              </w:rPr>
              <w:t>信息传输组</w:t>
            </w:r>
          </w:p>
        </w:tc>
        <w:tc>
          <w:tcPr>
            <w:tcW w:w="2938" w:type="dxa"/>
            <w:gridSpan w:val="3"/>
            <w:tcBorders>
              <w:tl2br w:val="nil"/>
              <w:tr2bl w:val="nil"/>
            </w:tcBorders>
            <w:shd w:val="clear" w:color="auto" w:fill="auto"/>
          </w:tcPr>
          <w:p>
            <w:pPr>
              <w:spacing w:line="0" w:lineRule="atLeast"/>
              <w:jc w:val="center"/>
              <w:rPr>
                <w:rFonts w:hint="eastAsia" w:ascii="宋体" w:hAnsi="宋体" w:cs="宋体"/>
                <w:spacing w:val="-7"/>
                <w:kern w:val="2"/>
                <w:sz w:val="21"/>
                <w:szCs w:val="24"/>
                <w:lang w:bidi="zh-CN"/>
              </w:rPr>
            </w:pPr>
            <w:r>
              <w:rPr>
                <w:rFonts w:hint="eastAsia" w:ascii="宋体" w:hAnsi="宋体" w:cs="宋体"/>
                <w:spacing w:val="-7"/>
                <w:kern w:val="2"/>
                <w:sz w:val="21"/>
                <w:szCs w:val="24"/>
                <w:lang w:bidi="zh-CN"/>
              </w:rPr>
              <w:t>吴伟业</w:t>
            </w:r>
          </w:p>
        </w:tc>
        <w:tc>
          <w:tcPr>
            <w:tcW w:w="3118" w:type="dxa"/>
            <w:gridSpan w:val="3"/>
            <w:tcBorders>
              <w:tl2br w:val="nil"/>
              <w:tr2bl w:val="nil"/>
            </w:tcBorders>
            <w:shd w:val="clear" w:color="auto" w:fill="auto"/>
          </w:tcPr>
          <w:p>
            <w:pPr>
              <w:spacing w:line="0" w:lineRule="atLeast"/>
              <w:jc w:val="center"/>
              <w:rPr>
                <w:rFonts w:hint="eastAsia" w:ascii="宋体" w:hAnsi="宋体" w:cs="宋体"/>
                <w:spacing w:val="-7"/>
                <w:kern w:val="2"/>
                <w:sz w:val="21"/>
                <w:szCs w:val="24"/>
                <w:lang w:bidi="zh-CN"/>
              </w:rPr>
            </w:pPr>
            <w:r>
              <w:rPr>
                <w:rFonts w:hint="eastAsia" w:ascii="宋体" w:hAnsi="宋体" w:cs="宋体"/>
                <w:spacing w:val="-7"/>
                <w:kern w:val="2"/>
                <w:sz w:val="21"/>
                <w:szCs w:val="24"/>
                <w:lang w:bidi="zh-CN"/>
              </w:rPr>
              <w:t>13702536238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9180" w:type="dxa"/>
            <w:gridSpan w:val="8"/>
            <w:tcBorders>
              <w:tl2br w:val="nil"/>
              <w:tr2bl w:val="nil"/>
            </w:tcBorders>
            <w:shd w:val="clear" w:color="auto" w:fill="auto"/>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外部联系电话</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4590" w:type="dxa"/>
            <w:gridSpan w:val="4"/>
            <w:tcBorders>
              <w:tl2br w:val="nil"/>
              <w:tr2bl w:val="nil"/>
            </w:tcBorders>
            <w:shd w:val="clear" w:color="auto" w:fill="auto"/>
            <w:vAlign w:val="center"/>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医疗救护</w:t>
            </w:r>
          </w:p>
        </w:tc>
        <w:tc>
          <w:tcPr>
            <w:tcW w:w="4590" w:type="dxa"/>
            <w:gridSpan w:val="4"/>
            <w:tcBorders>
              <w:tl2br w:val="nil"/>
              <w:tr2bl w:val="nil"/>
            </w:tcBorders>
            <w:shd w:val="clear" w:color="auto" w:fill="auto"/>
            <w:vAlign w:val="center"/>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120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4590" w:type="dxa"/>
            <w:gridSpan w:val="4"/>
            <w:tcBorders>
              <w:tl2br w:val="nil"/>
              <w:tr2bl w:val="nil"/>
            </w:tcBorders>
            <w:shd w:val="clear" w:color="auto" w:fill="auto"/>
            <w:vAlign w:val="center"/>
          </w:tcPr>
          <w:p>
            <w:pPr>
              <w:spacing w:line="0" w:lineRule="atLeast"/>
              <w:jc w:val="center"/>
              <w:rPr>
                <w:rFonts w:ascii="宋体" w:hAnsi="宋体" w:cs="宋体"/>
                <w:spacing w:val="-7"/>
                <w:kern w:val="2"/>
                <w:sz w:val="21"/>
                <w:szCs w:val="24"/>
                <w:lang w:bidi="zh-CN"/>
              </w:rPr>
            </w:pPr>
            <w:r>
              <w:rPr>
                <w:rFonts w:ascii="宋体" w:hAnsi="宋体" w:cs="宋体"/>
                <w:spacing w:val="-7"/>
                <w:kern w:val="2"/>
                <w:sz w:val="21"/>
                <w:szCs w:val="24"/>
                <w:lang w:bidi="zh-CN"/>
              </w:rPr>
              <w:t>中山市职业病防治所</w:t>
            </w:r>
          </w:p>
        </w:tc>
        <w:tc>
          <w:tcPr>
            <w:tcW w:w="4590" w:type="dxa"/>
            <w:gridSpan w:val="4"/>
            <w:tcBorders>
              <w:tl2br w:val="nil"/>
              <w:tr2bl w:val="nil"/>
            </w:tcBorders>
            <w:shd w:val="clear" w:color="auto" w:fill="auto"/>
            <w:vAlign w:val="center"/>
          </w:tcPr>
          <w:p>
            <w:pPr>
              <w:spacing w:line="0" w:lineRule="atLeast"/>
              <w:jc w:val="center"/>
              <w:rPr>
                <w:rFonts w:ascii="宋体" w:hAnsi="宋体" w:cs="宋体"/>
                <w:spacing w:val="-7"/>
                <w:kern w:val="2"/>
                <w:sz w:val="21"/>
                <w:szCs w:val="24"/>
                <w:lang w:bidi="zh-CN"/>
              </w:rPr>
            </w:pPr>
            <w:r>
              <w:rPr>
                <w:rFonts w:ascii="宋体" w:hAnsi="宋体" w:cs="宋体"/>
                <w:spacing w:val="-7"/>
                <w:kern w:val="2"/>
                <w:sz w:val="21"/>
                <w:szCs w:val="24"/>
                <w:lang w:bidi="zh-CN"/>
              </w:rPr>
              <w:t>0760-88825075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4590" w:type="dxa"/>
            <w:gridSpan w:val="4"/>
            <w:tcBorders>
              <w:tl2br w:val="nil"/>
              <w:tr2bl w:val="nil"/>
            </w:tcBorders>
            <w:shd w:val="clear" w:color="auto" w:fill="auto"/>
            <w:vAlign w:val="center"/>
          </w:tcPr>
          <w:p>
            <w:pPr>
              <w:spacing w:line="0" w:lineRule="atLeast"/>
              <w:jc w:val="center"/>
              <w:rPr>
                <w:rFonts w:ascii="宋体" w:hAnsi="宋体" w:cs="宋体"/>
                <w:spacing w:val="-7"/>
                <w:kern w:val="2"/>
                <w:sz w:val="21"/>
                <w:szCs w:val="24"/>
                <w:lang w:bidi="zh-CN"/>
              </w:rPr>
            </w:pPr>
            <w:r>
              <w:rPr>
                <w:rFonts w:hAnsi="宋体"/>
                <w:sz w:val="24"/>
              </w:rPr>
              <w:t>中山市卫生防疫站</w:t>
            </w:r>
          </w:p>
        </w:tc>
        <w:tc>
          <w:tcPr>
            <w:tcW w:w="4590" w:type="dxa"/>
            <w:gridSpan w:val="4"/>
            <w:tcBorders>
              <w:tl2br w:val="nil"/>
              <w:tr2bl w:val="nil"/>
            </w:tcBorders>
            <w:shd w:val="clear" w:color="auto" w:fill="auto"/>
            <w:vAlign w:val="center"/>
          </w:tcPr>
          <w:p>
            <w:pPr>
              <w:spacing w:line="0" w:lineRule="atLeast"/>
              <w:jc w:val="center"/>
              <w:rPr>
                <w:rFonts w:ascii="宋体" w:hAnsi="宋体" w:cs="宋体"/>
                <w:spacing w:val="-7"/>
                <w:kern w:val="2"/>
                <w:sz w:val="21"/>
                <w:szCs w:val="24"/>
                <w:lang w:bidi="zh-CN"/>
              </w:rPr>
            </w:pPr>
            <w:r>
              <w:rPr>
                <w:rFonts w:ascii="宋体" w:hAnsi="宋体" w:cs="宋体"/>
                <w:spacing w:val="-7"/>
                <w:kern w:val="2"/>
                <w:sz w:val="21"/>
                <w:szCs w:val="24"/>
                <w:lang w:bidi="zh-CN"/>
              </w:rPr>
              <w:t>0760-88855964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4590" w:type="dxa"/>
            <w:gridSpan w:val="4"/>
            <w:tcBorders>
              <w:tl2br w:val="nil"/>
              <w:tr2bl w:val="nil"/>
            </w:tcBorders>
            <w:shd w:val="clear" w:color="auto" w:fill="auto"/>
            <w:vAlign w:val="center"/>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eastAsia="zh-CN" w:bidi="zh-CN"/>
              </w:rPr>
              <w:t>民众生态环境</w:t>
            </w:r>
            <w:r>
              <w:rPr>
                <w:rFonts w:hint="eastAsia" w:ascii="宋体" w:hAnsi="宋体" w:cs="宋体"/>
                <w:spacing w:val="-7"/>
                <w:kern w:val="2"/>
                <w:sz w:val="21"/>
                <w:szCs w:val="24"/>
                <w:lang w:bidi="zh-CN"/>
              </w:rPr>
              <w:t>分</w:t>
            </w:r>
            <w:r>
              <w:rPr>
                <w:rFonts w:ascii="宋体" w:hAnsi="宋体" w:cs="宋体"/>
                <w:spacing w:val="-7"/>
                <w:kern w:val="2"/>
                <w:sz w:val="21"/>
                <w:szCs w:val="24"/>
                <w:lang w:bidi="zh-CN"/>
              </w:rPr>
              <w:t>局</w:t>
            </w:r>
          </w:p>
        </w:tc>
        <w:tc>
          <w:tcPr>
            <w:tcW w:w="4590" w:type="dxa"/>
            <w:gridSpan w:val="4"/>
            <w:tcBorders>
              <w:tl2br w:val="nil"/>
              <w:tr2bl w:val="nil"/>
            </w:tcBorders>
            <w:shd w:val="clear" w:color="auto" w:fill="auto"/>
            <w:vAlign w:val="center"/>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0760-85570277</w:t>
            </w:r>
          </w:p>
        </w:tc>
      </w:tr>
    </w:tbl>
    <w:p/>
    <w:p/>
    <w:p/>
    <w:p/>
    <w:p/>
    <w:p/>
    <w:p/>
    <w:p>
      <w:pPr>
        <w:jc w:val="center"/>
        <w:rPr>
          <w:rFonts w:hint="eastAsia" w:eastAsia="宋体"/>
          <w:lang w:eastAsia="zh-CN"/>
        </w:rPr>
      </w:pPr>
      <w:r>
        <w:rPr>
          <w:rFonts w:hint="eastAsia"/>
          <w:lang w:eastAsia="zh-CN"/>
        </w:rPr>
        <w:t>消化污泥泄露突发环境事件现场应急处置卡</w:t>
      </w:r>
    </w:p>
    <w:tbl>
      <w:tblPr>
        <w:tblStyle w:val="42"/>
        <w:tblW w:w="9180" w:type="dxa"/>
        <w:jc w:val="cente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Layout w:type="fixed"/>
        <w:tblCellMar>
          <w:top w:w="0" w:type="dxa"/>
          <w:left w:w="0" w:type="dxa"/>
          <w:bottom w:w="0" w:type="dxa"/>
          <w:right w:w="0" w:type="dxa"/>
        </w:tblCellMar>
      </w:tblPr>
      <w:tblGrid>
        <w:gridCol w:w="1475"/>
        <w:gridCol w:w="1649"/>
        <w:gridCol w:w="527"/>
        <w:gridCol w:w="939"/>
        <w:gridCol w:w="1472"/>
        <w:gridCol w:w="284"/>
        <w:gridCol w:w="1032"/>
        <w:gridCol w:w="1802"/>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Layout w:type="fixed"/>
          <w:tblCellMar>
            <w:top w:w="0" w:type="dxa"/>
            <w:left w:w="0" w:type="dxa"/>
            <w:bottom w:w="0" w:type="dxa"/>
            <w:right w:w="0" w:type="dxa"/>
          </w:tblCellMar>
        </w:tblPrEx>
        <w:trPr>
          <w:trHeight w:val="90" w:hRule="atLeast"/>
          <w:jc w:val="center"/>
        </w:trPr>
        <w:tc>
          <w:tcPr>
            <w:tcW w:w="9180" w:type="dxa"/>
            <w:gridSpan w:val="8"/>
            <w:tcBorders>
              <w:tl2br w:val="nil"/>
              <w:tr2bl w:val="nil"/>
            </w:tcBorders>
            <w:shd w:val="clear" w:color="auto" w:fill="auto"/>
          </w:tcPr>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基本情况</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247" w:hRule="atLeast"/>
          <w:jc w:val="center"/>
        </w:trPr>
        <w:tc>
          <w:tcPr>
            <w:tcW w:w="1475" w:type="dxa"/>
            <w:tcBorders>
              <w:tl2br w:val="nil"/>
              <w:tr2bl w:val="nil"/>
            </w:tcBorders>
            <w:shd w:val="clear" w:color="auto" w:fill="auto"/>
          </w:tcPr>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危险物质</w:t>
            </w:r>
          </w:p>
        </w:tc>
        <w:tc>
          <w:tcPr>
            <w:tcW w:w="2176" w:type="dxa"/>
            <w:gridSpan w:val="2"/>
            <w:tcBorders>
              <w:tl2br w:val="nil"/>
              <w:tr2bl w:val="nil"/>
            </w:tcBorders>
            <w:shd w:val="clear" w:color="auto" w:fill="auto"/>
          </w:tcPr>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消化污泥</w:t>
            </w:r>
          </w:p>
        </w:tc>
        <w:tc>
          <w:tcPr>
            <w:tcW w:w="2695" w:type="dxa"/>
            <w:gridSpan w:val="3"/>
            <w:tcBorders>
              <w:tl2br w:val="nil"/>
              <w:tr2bl w:val="nil"/>
            </w:tcBorders>
            <w:shd w:val="clear" w:color="auto" w:fill="auto"/>
          </w:tcPr>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可能发生的事故类型</w:t>
            </w:r>
          </w:p>
        </w:tc>
        <w:tc>
          <w:tcPr>
            <w:tcW w:w="2834" w:type="dxa"/>
            <w:gridSpan w:val="2"/>
            <w:tcBorders>
              <w:tl2br w:val="nil"/>
              <w:tr2bl w:val="nil"/>
            </w:tcBorders>
            <w:shd w:val="clear" w:color="auto" w:fill="auto"/>
          </w:tcPr>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消化污泥泄漏</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1475" w:type="dxa"/>
            <w:tcBorders>
              <w:tl2br w:val="nil"/>
              <w:tr2bl w:val="nil"/>
            </w:tcBorders>
            <w:shd w:val="clear" w:color="auto" w:fill="auto"/>
          </w:tcPr>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事故发生区域</w:t>
            </w:r>
          </w:p>
        </w:tc>
        <w:tc>
          <w:tcPr>
            <w:tcW w:w="7705" w:type="dxa"/>
            <w:gridSpan w:val="7"/>
            <w:tcBorders>
              <w:tl2br w:val="nil"/>
              <w:tr2bl w:val="nil"/>
            </w:tcBorders>
            <w:shd w:val="clear" w:color="auto" w:fill="auto"/>
          </w:tcPr>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eastAsia="zh-CN" w:bidi="zh-CN"/>
              </w:rPr>
              <w:t>消化罐区</w:t>
            </w:r>
            <w:r>
              <w:rPr>
                <w:rFonts w:hint="eastAsia" w:ascii="宋体" w:hAnsi="宋体" w:cs="宋体"/>
                <w:spacing w:val="-7"/>
                <w:kern w:val="2"/>
                <w:sz w:val="21"/>
                <w:szCs w:val="24"/>
                <w:lang w:bidi="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1475" w:type="dxa"/>
            <w:tcBorders>
              <w:tl2br w:val="nil"/>
              <w:tr2bl w:val="nil"/>
            </w:tcBorders>
            <w:shd w:val="clear" w:color="auto" w:fill="auto"/>
          </w:tcPr>
          <w:p>
            <w:pPr>
              <w:spacing w:line="0" w:lineRule="atLeast"/>
              <w:rPr>
                <w:rFonts w:ascii="宋体" w:hAnsi="宋体" w:cs="宋体"/>
                <w:spacing w:val="-7"/>
                <w:kern w:val="2"/>
                <w:sz w:val="21"/>
                <w:szCs w:val="24"/>
                <w:lang w:bidi="zh-CN"/>
              </w:rPr>
            </w:pPr>
          </w:p>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事故危害程度</w:t>
            </w:r>
          </w:p>
        </w:tc>
        <w:tc>
          <w:tcPr>
            <w:tcW w:w="7705" w:type="dxa"/>
            <w:gridSpan w:val="7"/>
            <w:tcBorders>
              <w:tl2br w:val="nil"/>
              <w:tr2bl w:val="nil"/>
            </w:tcBorders>
            <w:shd w:val="clear" w:color="auto" w:fill="auto"/>
          </w:tcPr>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污泥泄漏可能对环境空气、水体造成污染，恶臭污染物、沼气等随空气受风力作用可能会影响周边企业、居民区人员，可能会引起火灾事故。</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1475" w:type="dxa"/>
            <w:tcBorders>
              <w:tl2br w:val="nil"/>
              <w:tr2bl w:val="nil"/>
            </w:tcBorders>
            <w:shd w:val="clear" w:color="auto" w:fill="auto"/>
          </w:tcPr>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处置程序</w:t>
            </w:r>
          </w:p>
        </w:tc>
        <w:tc>
          <w:tcPr>
            <w:tcW w:w="5903" w:type="dxa"/>
            <w:gridSpan w:val="6"/>
            <w:tcBorders>
              <w:tl2br w:val="nil"/>
              <w:tr2bl w:val="nil"/>
            </w:tcBorders>
            <w:shd w:val="clear" w:color="auto" w:fill="auto"/>
          </w:tcPr>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处置措施</w:t>
            </w:r>
          </w:p>
        </w:tc>
        <w:tc>
          <w:tcPr>
            <w:tcW w:w="1802" w:type="dxa"/>
            <w:tcBorders>
              <w:tl2br w:val="nil"/>
              <w:tr2bl w:val="nil"/>
            </w:tcBorders>
            <w:shd w:val="clear" w:color="auto" w:fill="auto"/>
          </w:tcPr>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责任人或责任单位</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1475" w:type="dxa"/>
            <w:vMerge w:val="restart"/>
            <w:tcBorders>
              <w:tl2br w:val="nil"/>
              <w:tr2bl w:val="nil"/>
            </w:tcBorders>
            <w:shd w:val="clear" w:color="auto" w:fill="auto"/>
          </w:tcPr>
          <w:p>
            <w:pPr>
              <w:spacing w:line="0" w:lineRule="atLeast"/>
              <w:rPr>
                <w:rFonts w:ascii="宋体" w:hAnsi="宋体" w:cs="宋体"/>
                <w:spacing w:val="-7"/>
                <w:kern w:val="2"/>
                <w:sz w:val="21"/>
                <w:szCs w:val="24"/>
                <w:lang w:bidi="zh-CN"/>
              </w:rPr>
            </w:pPr>
          </w:p>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事故报告</w:t>
            </w:r>
          </w:p>
        </w:tc>
        <w:tc>
          <w:tcPr>
            <w:tcW w:w="5903" w:type="dxa"/>
            <w:gridSpan w:val="6"/>
            <w:tcBorders>
              <w:tl2br w:val="nil"/>
              <w:tr2bl w:val="nil"/>
            </w:tcBorders>
            <w:shd w:val="clear" w:color="auto" w:fill="auto"/>
          </w:tcPr>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向本车间、生产主管报告，内容包括事故地点、类型及影响范围。</w:t>
            </w:r>
          </w:p>
        </w:tc>
        <w:tc>
          <w:tcPr>
            <w:tcW w:w="1802" w:type="dxa"/>
            <w:tcBorders>
              <w:tl2br w:val="nil"/>
              <w:tr2bl w:val="nil"/>
            </w:tcBorders>
            <w:shd w:val="clear" w:color="auto" w:fill="auto"/>
          </w:tcPr>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发现险情人员</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1475" w:type="dxa"/>
            <w:vMerge w:val="continue"/>
            <w:tcBorders>
              <w:tl2br w:val="nil"/>
              <w:tr2bl w:val="nil"/>
            </w:tcBorders>
            <w:shd w:val="clear" w:color="auto" w:fill="auto"/>
          </w:tcPr>
          <w:p>
            <w:pPr>
              <w:spacing w:line="0" w:lineRule="atLeast"/>
              <w:rPr>
                <w:rFonts w:ascii="宋体" w:hAnsi="宋体" w:cs="宋体"/>
                <w:spacing w:val="-7"/>
                <w:kern w:val="2"/>
                <w:sz w:val="21"/>
                <w:szCs w:val="24"/>
                <w:lang w:bidi="zh-CN"/>
              </w:rPr>
            </w:pPr>
          </w:p>
        </w:tc>
        <w:tc>
          <w:tcPr>
            <w:tcW w:w="5903" w:type="dxa"/>
            <w:gridSpan w:val="6"/>
            <w:tcBorders>
              <w:tl2br w:val="nil"/>
              <w:tr2bl w:val="nil"/>
            </w:tcBorders>
            <w:shd w:val="clear" w:color="auto" w:fill="auto"/>
          </w:tcPr>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向公司应急救援指挥部报告，内容包括事故地点、类型影响范围和已采取的应急救援措施。</w:t>
            </w:r>
          </w:p>
        </w:tc>
        <w:tc>
          <w:tcPr>
            <w:tcW w:w="1802" w:type="dxa"/>
            <w:tcBorders>
              <w:tl2br w:val="nil"/>
              <w:tr2bl w:val="nil"/>
            </w:tcBorders>
            <w:shd w:val="clear" w:color="auto" w:fill="auto"/>
          </w:tcPr>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车间、部门主管</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1475" w:type="dxa"/>
            <w:tcBorders>
              <w:tl2br w:val="nil"/>
              <w:tr2bl w:val="nil"/>
            </w:tcBorders>
            <w:shd w:val="clear" w:color="auto" w:fill="auto"/>
          </w:tcPr>
          <w:p>
            <w:pPr>
              <w:spacing w:line="0" w:lineRule="atLeast"/>
              <w:rPr>
                <w:rFonts w:ascii="宋体" w:hAnsi="宋体" w:cs="宋体"/>
                <w:spacing w:val="-7"/>
                <w:kern w:val="2"/>
                <w:sz w:val="21"/>
                <w:szCs w:val="24"/>
                <w:lang w:bidi="zh-CN"/>
              </w:rPr>
            </w:pPr>
          </w:p>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应急准备</w:t>
            </w:r>
          </w:p>
        </w:tc>
        <w:tc>
          <w:tcPr>
            <w:tcW w:w="5903" w:type="dxa"/>
            <w:gridSpan w:val="6"/>
            <w:tcBorders>
              <w:tl2br w:val="nil"/>
              <w:tr2bl w:val="nil"/>
            </w:tcBorders>
            <w:shd w:val="clear" w:color="auto" w:fill="auto"/>
          </w:tcPr>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针对不同事故类型，准备消防、应急物资，组织应急小组人员进行救援。</w:t>
            </w:r>
          </w:p>
        </w:tc>
        <w:tc>
          <w:tcPr>
            <w:tcW w:w="1802" w:type="dxa"/>
            <w:tcBorders>
              <w:tl2br w:val="nil"/>
              <w:tr2bl w:val="nil"/>
            </w:tcBorders>
            <w:shd w:val="clear" w:color="auto" w:fill="auto"/>
          </w:tcPr>
          <w:p>
            <w:pPr>
              <w:spacing w:line="0" w:lineRule="atLeast"/>
              <w:rPr>
                <w:rFonts w:ascii="宋体" w:hAnsi="宋体" w:cs="宋体"/>
                <w:spacing w:val="-7"/>
                <w:kern w:val="2"/>
                <w:sz w:val="21"/>
                <w:szCs w:val="24"/>
                <w:lang w:bidi="zh-CN"/>
              </w:rPr>
            </w:pPr>
          </w:p>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应急指挥部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431" w:hRule="atLeast"/>
          <w:jc w:val="center"/>
        </w:trPr>
        <w:tc>
          <w:tcPr>
            <w:tcW w:w="1475" w:type="dxa"/>
            <w:tcBorders>
              <w:tl2br w:val="nil"/>
              <w:tr2bl w:val="nil"/>
            </w:tcBorders>
            <w:shd w:val="clear" w:color="auto" w:fill="auto"/>
          </w:tcPr>
          <w:p>
            <w:pPr>
              <w:spacing w:line="0" w:lineRule="atLeast"/>
              <w:rPr>
                <w:rFonts w:ascii="宋体" w:hAnsi="宋体" w:cs="宋体"/>
                <w:spacing w:val="-7"/>
                <w:kern w:val="2"/>
                <w:sz w:val="21"/>
                <w:szCs w:val="24"/>
                <w:lang w:bidi="zh-CN"/>
              </w:rPr>
            </w:pPr>
          </w:p>
          <w:p>
            <w:pPr>
              <w:spacing w:line="0" w:lineRule="atLeast"/>
              <w:rPr>
                <w:rFonts w:ascii="宋体" w:hAnsi="宋体" w:cs="宋体"/>
                <w:spacing w:val="-7"/>
                <w:kern w:val="2"/>
                <w:sz w:val="21"/>
                <w:szCs w:val="24"/>
                <w:lang w:bidi="zh-CN"/>
              </w:rPr>
            </w:pPr>
          </w:p>
          <w:p>
            <w:pPr>
              <w:spacing w:line="0" w:lineRule="atLeast"/>
              <w:rPr>
                <w:rFonts w:ascii="宋体" w:hAnsi="宋体" w:cs="宋体"/>
                <w:spacing w:val="-7"/>
                <w:kern w:val="2"/>
                <w:sz w:val="21"/>
                <w:szCs w:val="24"/>
                <w:lang w:bidi="zh-CN"/>
              </w:rPr>
            </w:pPr>
          </w:p>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污泥泄漏现场处置</w:t>
            </w:r>
          </w:p>
        </w:tc>
        <w:tc>
          <w:tcPr>
            <w:tcW w:w="7705" w:type="dxa"/>
            <w:gridSpan w:val="7"/>
            <w:tcBorders>
              <w:tl2br w:val="nil"/>
              <w:tr2bl w:val="nil"/>
            </w:tcBorders>
            <w:shd w:val="clear" w:color="auto" w:fill="auto"/>
          </w:tcPr>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（1）迅速撤离泄漏污染区人员至安全区域，并进行隔离，严格限制出入。</w:t>
            </w:r>
          </w:p>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（2）应急处理人员佩戴防护工具，不要直接接触泄漏物。切断泄漏源。</w:t>
            </w:r>
            <w:r>
              <w:rPr>
                <w:rFonts w:hint="eastAsia" w:ascii="宋体" w:hAnsi="宋体" w:cs="宋体"/>
                <w:spacing w:val="-7"/>
                <w:kern w:val="2"/>
                <w:sz w:val="21"/>
                <w:szCs w:val="24"/>
                <w:lang w:eastAsia="zh-CN" w:bidi="zh-CN"/>
              </w:rPr>
              <w:t>尽可能将泄露储罐内消化污泥进行转移。</w:t>
            </w:r>
          </w:p>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（3）</w:t>
            </w:r>
            <w:r>
              <w:rPr>
                <w:rFonts w:hint="eastAsia" w:ascii="宋体" w:hAnsi="宋体" w:cs="宋体"/>
                <w:spacing w:val="-7"/>
                <w:kern w:val="2"/>
                <w:sz w:val="21"/>
                <w:szCs w:val="24"/>
                <w:lang w:eastAsia="zh-CN" w:bidi="zh-CN"/>
              </w:rPr>
              <w:t>对泄露区域地面、围堰内泄露物质进行清理；</w:t>
            </w:r>
            <w:r>
              <w:rPr>
                <w:rFonts w:hint="eastAsia" w:ascii="宋体" w:hAnsi="宋体" w:cs="宋体"/>
                <w:spacing w:val="-7"/>
                <w:kern w:val="2"/>
                <w:sz w:val="21"/>
                <w:szCs w:val="24"/>
                <w:lang w:bidi="zh-CN"/>
              </w:rPr>
              <w:t>将泄漏</w:t>
            </w:r>
            <w:r>
              <w:rPr>
                <w:rFonts w:hint="eastAsia" w:ascii="宋体" w:hAnsi="宋体" w:cs="宋体"/>
                <w:spacing w:val="-7"/>
                <w:kern w:val="2"/>
                <w:sz w:val="21"/>
                <w:szCs w:val="24"/>
                <w:lang w:eastAsia="zh-CN" w:bidi="zh-CN"/>
              </w:rPr>
              <w:t>物资</w:t>
            </w:r>
            <w:r>
              <w:rPr>
                <w:rFonts w:hint="eastAsia" w:ascii="宋体" w:hAnsi="宋体" w:cs="宋体"/>
                <w:spacing w:val="-7"/>
                <w:kern w:val="2"/>
                <w:sz w:val="21"/>
                <w:szCs w:val="24"/>
                <w:lang w:bidi="zh-CN"/>
              </w:rPr>
              <w:t>导流至事故应急池内；待事故得到控制后，将事故池内的</w:t>
            </w:r>
            <w:r>
              <w:rPr>
                <w:rFonts w:hint="eastAsia" w:ascii="宋体" w:hAnsi="宋体" w:cs="宋体"/>
                <w:spacing w:val="-7"/>
                <w:kern w:val="2"/>
                <w:sz w:val="21"/>
                <w:szCs w:val="24"/>
                <w:lang w:eastAsia="zh-CN" w:bidi="zh-CN"/>
              </w:rPr>
              <w:t>污泥泵至前处理车间重新处理</w:t>
            </w:r>
            <w:r>
              <w:rPr>
                <w:rFonts w:hint="eastAsia" w:ascii="宋体" w:hAnsi="宋体" w:cs="宋体"/>
                <w:spacing w:val="-7"/>
                <w:kern w:val="2"/>
                <w:sz w:val="21"/>
                <w:szCs w:val="24"/>
                <w:lang w:bidi="zh-CN"/>
              </w:rPr>
              <w:t>。</w:t>
            </w:r>
          </w:p>
          <w:p>
            <w:pPr>
              <w:spacing w:line="0" w:lineRule="atLeast"/>
              <w:rPr>
                <w:rFonts w:hint="eastAsia" w:ascii="宋体" w:hAnsi="宋体" w:cs="宋体"/>
                <w:spacing w:val="-7"/>
                <w:kern w:val="2"/>
                <w:sz w:val="21"/>
                <w:szCs w:val="24"/>
                <w:lang w:eastAsia="zh-CN" w:bidi="zh-CN"/>
              </w:rPr>
            </w:pPr>
            <w:r>
              <w:rPr>
                <w:rFonts w:hint="eastAsia" w:ascii="宋体" w:hAnsi="宋体" w:cs="宋体"/>
                <w:spacing w:val="-7"/>
                <w:kern w:val="2"/>
                <w:sz w:val="21"/>
                <w:szCs w:val="24"/>
                <w:lang w:bidi="zh-CN"/>
              </w:rPr>
              <w:t>（4）大量泄漏时</w:t>
            </w:r>
            <w:r>
              <w:rPr>
                <w:rFonts w:hint="eastAsia" w:ascii="宋体" w:hAnsi="宋体" w:cs="宋体"/>
                <w:spacing w:val="-7"/>
                <w:kern w:val="2"/>
                <w:sz w:val="21"/>
                <w:szCs w:val="24"/>
                <w:lang w:eastAsia="zh-CN" w:bidi="zh-CN"/>
              </w:rPr>
              <w:t>应急抢险人员尽可能的关闭相关连接阀门，将泄漏物尽量控制在围堰范围内；若泄露物进一步泄露扩散，应立即撤离现场；</w:t>
            </w:r>
          </w:p>
          <w:p>
            <w:pPr>
              <w:spacing w:line="0" w:lineRule="atLeast"/>
              <w:rPr>
                <w:rFonts w:ascii="宋体" w:cs="宋体"/>
                <w:spacing w:val="-7"/>
                <w:kern w:val="2"/>
                <w:sz w:val="21"/>
                <w:szCs w:val="24"/>
                <w:lang w:bidi="zh-CN"/>
              </w:rPr>
            </w:pPr>
            <w:r>
              <w:rPr>
                <w:rFonts w:hint="eastAsia" w:ascii="宋体" w:hAnsi="宋体" w:cs="宋体"/>
                <w:spacing w:val="-7"/>
                <w:kern w:val="2"/>
                <w:sz w:val="21"/>
                <w:szCs w:val="24"/>
                <w:lang w:bidi="zh-CN"/>
              </w:rPr>
              <w:t>（</w:t>
            </w:r>
            <w:r>
              <w:rPr>
                <w:rFonts w:hint="eastAsia" w:ascii="宋体" w:hAnsi="宋体" w:cs="宋体"/>
                <w:spacing w:val="-7"/>
                <w:kern w:val="2"/>
                <w:sz w:val="21"/>
                <w:szCs w:val="24"/>
                <w:lang w:val="en-US" w:eastAsia="zh-CN" w:bidi="zh-CN"/>
              </w:rPr>
              <w:t>5</w:t>
            </w:r>
            <w:r>
              <w:rPr>
                <w:rFonts w:hint="eastAsia" w:ascii="宋体" w:hAnsi="宋体" w:cs="宋体"/>
                <w:spacing w:val="-7"/>
                <w:kern w:val="2"/>
                <w:sz w:val="21"/>
                <w:szCs w:val="24"/>
                <w:lang w:bidi="zh-CN"/>
              </w:rPr>
              <w:t>）</w:t>
            </w:r>
            <w:r>
              <w:rPr>
                <w:rFonts w:hint="eastAsia" w:ascii="宋体" w:hAnsi="宋体" w:cs="宋体"/>
                <w:spacing w:val="-7"/>
                <w:kern w:val="2"/>
                <w:sz w:val="21"/>
                <w:szCs w:val="24"/>
                <w:lang w:eastAsia="zh-CN" w:bidi="zh-CN"/>
              </w:rPr>
              <w:t>关闭</w:t>
            </w:r>
            <w:r>
              <w:rPr>
                <w:rFonts w:hint="eastAsia" w:ascii="宋体" w:hAnsi="宋体" w:cs="宋体"/>
                <w:spacing w:val="-7"/>
                <w:kern w:val="2"/>
                <w:sz w:val="21"/>
                <w:szCs w:val="24"/>
                <w:lang w:bidi="zh-CN"/>
              </w:rPr>
              <w:t>雨水总排口</w:t>
            </w:r>
            <w:r>
              <w:rPr>
                <w:rFonts w:hint="eastAsia" w:ascii="宋体" w:hAnsi="宋体" w:cs="宋体"/>
                <w:spacing w:val="-7"/>
                <w:kern w:val="2"/>
                <w:sz w:val="21"/>
                <w:szCs w:val="24"/>
                <w:lang w:eastAsia="zh-CN" w:bidi="zh-CN"/>
              </w:rPr>
              <w:t>闸门</w:t>
            </w:r>
            <w:r>
              <w:rPr>
                <w:rFonts w:hint="eastAsia" w:ascii="宋体" w:hAnsi="宋体" w:cs="宋体"/>
                <w:spacing w:val="-7"/>
                <w:kern w:val="2"/>
                <w:sz w:val="21"/>
                <w:szCs w:val="24"/>
                <w:lang w:bidi="zh-CN"/>
              </w:rPr>
              <w:t>，以防止泄漏物通过雨水管网流出厂区外；</w:t>
            </w:r>
            <w:r>
              <w:rPr>
                <w:rFonts w:hint="eastAsia" w:ascii="宋体" w:hAnsi="宋体" w:cs="宋体"/>
                <w:spacing w:val="-7"/>
                <w:kern w:val="2"/>
                <w:sz w:val="21"/>
                <w:szCs w:val="24"/>
                <w:lang w:eastAsia="zh-CN" w:bidi="zh-CN"/>
              </w:rPr>
              <w:t>应急救援</w:t>
            </w:r>
            <w:r>
              <w:rPr>
                <w:rFonts w:hint="eastAsia" w:ascii="宋体" w:hAnsi="宋体" w:cs="宋体"/>
                <w:spacing w:val="-7"/>
                <w:kern w:val="2"/>
                <w:sz w:val="21"/>
                <w:szCs w:val="24"/>
                <w:lang w:bidi="zh-CN"/>
              </w:rPr>
              <w:t>人员穿戴好防护用品，在避免与泄漏物直接接触的前提下，将围堰内泄漏</w:t>
            </w:r>
            <w:r>
              <w:rPr>
                <w:rFonts w:hint="eastAsia" w:ascii="宋体" w:hAnsi="宋体" w:cs="宋体"/>
                <w:spacing w:val="-7"/>
                <w:kern w:val="2"/>
                <w:sz w:val="21"/>
                <w:szCs w:val="24"/>
                <w:lang w:eastAsia="zh-CN" w:bidi="zh-CN"/>
              </w:rPr>
              <w:t>物资</w:t>
            </w:r>
            <w:r>
              <w:rPr>
                <w:rFonts w:hint="eastAsia" w:ascii="宋体" w:hAnsi="宋体" w:cs="宋体"/>
                <w:spacing w:val="-7"/>
                <w:kern w:val="2"/>
                <w:sz w:val="21"/>
                <w:szCs w:val="24"/>
                <w:lang w:bidi="zh-CN"/>
              </w:rPr>
              <w:t>导流至</w:t>
            </w:r>
            <w:r>
              <w:rPr>
                <w:rFonts w:hint="eastAsia" w:ascii="宋体" w:hAnsi="宋体" w:cs="宋体"/>
                <w:spacing w:val="-7"/>
                <w:kern w:val="2"/>
                <w:sz w:val="21"/>
                <w:szCs w:val="24"/>
                <w:lang w:eastAsia="zh-CN" w:bidi="zh-CN"/>
              </w:rPr>
              <w:t>事故</w:t>
            </w:r>
            <w:r>
              <w:rPr>
                <w:rFonts w:hint="eastAsia" w:ascii="宋体" w:hAnsi="宋体" w:cs="宋体"/>
                <w:spacing w:val="-7"/>
                <w:kern w:val="2"/>
                <w:sz w:val="21"/>
                <w:szCs w:val="24"/>
                <w:lang w:bidi="zh-CN"/>
              </w:rPr>
              <w:t>池内收容。</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200" w:hRule="atLeast"/>
          <w:jc w:val="center"/>
        </w:trPr>
        <w:tc>
          <w:tcPr>
            <w:tcW w:w="9180" w:type="dxa"/>
            <w:gridSpan w:val="8"/>
            <w:tcBorders>
              <w:tl2br w:val="nil"/>
              <w:tr2bl w:val="nil"/>
            </w:tcBorders>
            <w:shd w:val="clear" w:color="auto" w:fill="auto"/>
          </w:tcPr>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应急人员防护、监护措施</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200" w:hRule="atLeast"/>
          <w:jc w:val="center"/>
        </w:trPr>
        <w:tc>
          <w:tcPr>
            <w:tcW w:w="9180" w:type="dxa"/>
            <w:gridSpan w:val="8"/>
            <w:tcBorders>
              <w:tl2br w:val="nil"/>
              <w:tr2bl w:val="nil"/>
            </w:tcBorders>
            <w:shd w:val="clear" w:color="auto" w:fill="auto"/>
          </w:tcPr>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应急人员应佩戴好防护用品，严防携带明火或可能产生火花的工具进入危险区域。</w:t>
            </w:r>
          </w:p>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正确使用抢险救援器材，不得冒险和蛮干，使用防火花工具。</w:t>
            </w:r>
          </w:p>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现场人员在在保证自身安全的前提下，采取积极有效的方法和措施进行自救和互救。不具备抢救条件时应尽快组织撤离。</w:t>
            </w:r>
          </w:p>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在自救或互救时，严禁各行其是和单独行动，提高预防爆炸、烧伤和中毒的警惕性， 避免再生事故的发生。</w:t>
            </w:r>
          </w:p>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应急救援结束后，做好现场检查、人员清点等工作。</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9180" w:type="dxa"/>
            <w:gridSpan w:val="8"/>
            <w:tcBorders>
              <w:tl2br w:val="nil"/>
              <w:tr2bl w:val="nil"/>
            </w:tcBorders>
            <w:shd w:val="clear" w:color="auto" w:fill="auto"/>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内部应急小组联系方式</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3124" w:type="dxa"/>
            <w:gridSpan w:val="2"/>
            <w:tcBorders>
              <w:tl2br w:val="nil"/>
              <w:tr2bl w:val="nil"/>
            </w:tcBorders>
            <w:shd w:val="clear" w:color="auto" w:fill="auto"/>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部门</w:t>
            </w:r>
          </w:p>
        </w:tc>
        <w:tc>
          <w:tcPr>
            <w:tcW w:w="2938" w:type="dxa"/>
            <w:gridSpan w:val="3"/>
            <w:tcBorders>
              <w:tl2br w:val="nil"/>
              <w:tr2bl w:val="nil"/>
            </w:tcBorders>
            <w:shd w:val="clear" w:color="auto" w:fill="auto"/>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负责人</w:t>
            </w:r>
          </w:p>
        </w:tc>
        <w:tc>
          <w:tcPr>
            <w:tcW w:w="3118" w:type="dxa"/>
            <w:gridSpan w:val="3"/>
            <w:tcBorders>
              <w:tl2br w:val="nil"/>
              <w:tr2bl w:val="nil"/>
            </w:tcBorders>
            <w:shd w:val="clear" w:color="auto" w:fill="auto"/>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联系方式</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3124" w:type="dxa"/>
            <w:gridSpan w:val="2"/>
            <w:tcBorders>
              <w:tl2br w:val="nil"/>
              <w:tr2bl w:val="nil"/>
            </w:tcBorders>
            <w:shd w:val="clear" w:color="auto" w:fill="auto"/>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应急抢险组</w:t>
            </w:r>
          </w:p>
        </w:tc>
        <w:tc>
          <w:tcPr>
            <w:tcW w:w="2938" w:type="dxa"/>
            <w:gridSpan w:val="3"/>
            <w:tcBorders>
              <w:tl2br w:val="nil"/>
              <w:tr2bl w:val="nil"/>
            </w:tcBorders>
            <w:shd w:val="clear" w:color="auto" w:fill="auto"/>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张琼</w:t>
            </w:r>
          </w:p>
        </w:tc>
        <w:tc>
          <w:tcPr>
            <w:tcW w:w="3118" w:type="dxa"/>
            <w:gridSpan w:val="3"/>
            <w:tcBorders>
              <w:tl2br w:val="nil"/>
              <w:tr2bl w:val="nil"/>
            </w:tcBorders>
            <w:shd w:val="clear" w:color="auto" w:fill="auto"/>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13528178106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3124" w:type="dxa"/>
            <w:gridSpan w:val="2"/>
            <w:tcBorders>
              <w:tl2br w:val="nil"/>
              <w:tr2bl w:val="nil"/>
            </w:tcBorders>
            <w:shd w:val="clear" w:color="auto" w:fill="auto"/>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警戒疏散组</w:t>
            </w:r>
          </w:p>
        </w:tc>
        <w:tc>
          <w:tcPr>
            <w:tcW w:w="2938" w:type="dxa"/>
            <w:gridSpan w:val="3"/>
            <w:tcBorders>
              <w:tl2br w:val="nil"/>
              <w:tr2bl w:val="nil"/>
            </w:tcBorders>
            <w:shd w:val="clear" w:color="auto" w:fill="auto"/>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杜广宇</w:t>
            </w:r>
          </w:p>
        </w:tc>
        <w:tc>
          <w:tcPr>
            <w:tcW w:w="3118" w:type="dxa"/>
            <w:gridSpan w:val="3"/>
            <w:tcBorders>
              <w:tl2br w:val="nil"/>
              <w:tr2bl w:val="nil"/>
            </w:tcBorders>
            <w:shd w:val="clear" w:color="auto" w:fill="auto"/>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13549870979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3124" w:type="dxa"/>
            <w:gridSpan w:val="2"/>
            <w:tcBorders>
              <w:tl2br w:val="nil"/>
              <w:tr2bl w:val="nil"/>
            </w:tcBorders>
            <w:shd w:val="clear" w:color="auto" w:fill="auto"/>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医疗救助组</w:t>
            </w:r>
          </w:p>
        </w:tc>
        <w:tc>
          <w:tcPr>
            <w:tcW w:w="2938" w:type="dxa"/>
            <w:gridSpan w:val="3"/>
            <w:tcBorders>
              <w:tl2br w:val="nil"/>
              <w:tr2bl w:val="nil"/>
            </w:tcBorders>
            <w:shd w:val="clear" w:color="auto" w:fill="auto"/>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易剑锋</w:t>
            </w:r>
          </w:p>
        </w:tc>
        <w:tc>
          <w:tcPr>
            <w:tcW w:w="3118" w:type="dxa"/>
            <w:gridSpan w:val="3"/>
            <w:tcBorders>
              <w:tl2br w:val="nil"/>
              <w:tr2bl w:val="nil"/>
            </w:tcBorders>
            <w:shd w:val="clear" w:color="auto" w:fill="auto"/>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18802591209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3124" w:type="dxa"/>
            <w:gridSpan w:val="2"/>
            <w:tcBorders>
              <w:tl2br w:val="nil"/>
              <w:tr2bl w:val="nil"/>
            </w:tcBorders>
            <w:shd w:val="clear" w:color="auto" w:fill="auto"/>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后勤保障组</w:t>
            </w:r>
          </w:p>
        </w:tc>
        <w:tc>
          <w:tcPr>
            <w:tcW w:w="2938" w:type="dxa"/>
            <w:gridSpan w:val="3"/>
            <w:tcBorders>
              <w:tl2br w:val="nil"/>
              <w:tr2bl w:val="nil"/>
            </w:tcBorders>
            <w:shd w:val="clear" w:color="auto" w:fill="auto"/>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林志军</w:t>
            </w:r>
          </w:p>
        </w:tc>
        <w:tc>
          <w:tcPr>
            <w:tcW w:w="3118" w:type="dxa"/>
            <w:gridSpan w:val="3"/>
            <w:tcBorders>
              <w:tl2br w:val="nil"/>
              <w:tr2bl w:val="nil"/>
            </w:tcBorders>
            <w:shd w:val="clear" w:color="auto" w:fill="auto"/>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13005509678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3124" w:type="dxa"/>
            <w:gridSpan w:val="2"/>
            <w:tcBorders>
              <w:tl2br w:val="nil"/>
              <w:tr2bl w:val="nil"/>
            </w:tcBorders>
            <w:shd w:val="clear" w:color="auto" w:fill="auto"/>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应急监测组</w:t>
            </w:r>
          </w:p>
        </w:tc>
        <w:tc>
          <w:tcPr>
            <w:tcW w:w="2938" w:type="dxa"/>
            <w:gridSpan w:val="3"/>
            <w:tcBorders>
              <w:tl2br w:val="nil"/>
              <w:tr2bl w:val="nil"/>
            </w:tcBorders>
            <w:shd w:val="clear" w:color="auto" w:fill="auto"/>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魏超</w:t>
            </w:r>
          </w:p>
        </w:tc>
        <w:tc>
          <w:tcPr>
            <w:tcW w:w="3118" w:type="dxa"/>
            <w:gridSpan w:val="3"/>
            <w:tcBorders>
              <w:tl2br w:val="nil"/>
              <w:tr2bl w:val="nil"/>
            </w:tcBorders>
            <w:shd w:val="clear" w:color="auto" w:fill="auto"/>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13425494550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3124" w:type="dxa"/>
            <w:gridSpan w:val="2"/>
            <w:tcBorders>
              <w:tl2br w:val="nil"/>
              <w:tr2bl w:val="nil"/>
            </w:tcBorders>
            <w:shd w:val="clear" w:color="auto" w:fill="auto"/>
          </w:tcPr>
          <w:p>
            <w:pPr>
              <w:spacing w:line="0" w:lineRule="atLeast"/>
              <w:jc w:val="center"/>
              <w:rPr>
                <w:rFonts w:hint="eastAsia" w:ascii="宋体" w:hAnsi="宋体" w:cs="宋体"/>
                <w:spacing w:val="-7"/>
                <w:kern w:val="2"/>
                <w:sz w:val="21"/>
                <w:szCs w:val="24"/>
                <w:lang w:bidi="zh-CN"/>
              </w:rPr>
            </w:pPr>
            <w:r>
              <w:rPr>
                <w:rFonts w:hint="eastAsia" w:ascii="宋体" w:hAnsi="宋体" w:cs="宋体"/>
                <w:spacing w:val="-7"/>
                <w:kern w:val="2"/>
                <w:sz w:val="21"/>
                <w:szCs w:val="24"/>
                <w:lang w:bidi="zh-CN"/>
              </w:rPr>
              <w:t>信息传输组</w:t>
            </w:r>
          </w:p>
        </w:tc>
        <w:tc>
          <w:tcPr>
            <w:tcW w:w="2938" w:type="dxa"/>
            <w:gridSpan w:val="3"/>
            <w:tcBorders>
              <w:tl2br w:val="nil"/>
              <w:tr2bl w:val="nil"/>
            </w:tcBorders>
            <w:shd w:val="clear" w:color="auto" w:fill="auto"/>
          </w:tcPr>
          <w:p>
            <w:pPr>
              <w:spacing w:line="0" w:lineRule="atLeast"/>
              <w:jc w:val="center"/>
              <w:rPr>
                <w:rFonts w:hint="eastAsia" w:ascii="宋体" w:hAnsi="宋体" w:cs="宋体"/>
                <w:spacing w:val="-7"/>
                <w:kern w:val="2"/>
                <w:sz w:val="21"/>
                <w:szCs w:val="24"/>
                <w:lang w:bidi="zh-CN"/>
              </w:rPr>
            </w:pPr>
            <w:r>
              <w:rPr>
                <w:rFonts w:hint="eastAsia" w:ascii="宋体" w:hAnsi="宋体" w:cs="宋体"/>
                <w:spacing w:val="-7"/>
                <w:kern w:val="2"/>
                <w:sz w:val="21"/>
                <w:szCs w:val="24"/>
                <w:lang w:bidi="zh-CN"/>
              </w:rPr>
              <w:t>吴伟业</w:t>
            </w:r>
          </w:p>
        </w:tc>
        <w:tc>
          <w:tcPr>
            <w:tcW w:w="3118" w:type="dxa"/>
            <w:gridSpan w:val="3"/>
            <w:tcBorders>
              <w:tl2br w:val="nil"/>
              <w:tr2bl w:val="nil"/>
            </w:tcBorders>
            <w:shd w:val="clear" w:color="auto" w:fill="auto"/>
          </w:tcPr>
          <w:p>
            <w:pPr>
              <w:spacing w:line="0" w:lineRule="atLeast"/>
              <w:jc w:val="center"/>
              <w:rPr>
                <w:rFonts w:hint="eastAsia" w:ascii="宋体" w:hAnsi="宋体" w:cs="宋体"/>
                <w:spacing w:val="-7"/>
                <w:kern w:val="2"/>
                <w:sz w:val="21"/>
                <w:szCs w:val="24"/>
                <w:lang w:bidi="zh-CN"/>
              </w:rPr>
            </w:pPr>
            <w:r>
              <w:rPr>
                <w:rFonts w:hint="eastAsia" w:ascii="宋体" w:hAnsi="宋体" w:cs="宋体"/>
                <w:spacing w:val="-7"/>
                <w:kern w:val="2"/>
                <w:sz w:val="21"/>
                <w:szCs w:val="24"/>
                <w:lang w:bidi="zh-CN"/>
              </w:rPr>
              <w:t>13702536238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9180" w:type="dxa"/>
            <w:gridSpan w:val="8"/>
            <w:tcBorders>
              <w:tl2br w:val="nil"/>
              <w:tr2bl w:val="nil"/>
            </w:tcBorders>
            <w:shd w:val="clear" w:color="auto" w:fill="auto"/>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外部联系电话</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4590" w:type="dxa"/>
            <w:gridSpan w:val="4"/>
            <w:tcBorders>
              <w:tl2br w:val="nil"/>
              <w:tr2bl w:val="nil"/>
            </w:tcBorders>
            <w:shd w:val="clear" w:color="auto" w:fill="auto"/>
            <w:vAlign w:val="center"/>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医疗救护</w:t>
            </w:r>
          </w:p>
        </w:tc>
        <w:tc>
          <w:tcPr>
            <w:tcW w:w="4590" w:type="dxa"/>
            <w:gridSpan w:val="4"/>
            <w:tcBorders>
              <w:tl2br w:val="nil"/>
              <w:tr2bl w:val="nil"/>
            </w:tcBorders>
            <w:shd w:val="clear" w:color="auto" w:fill="auto"/>
            <w:vAlign w:val="center"/>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120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232" w:hRule="atLeast"/>
          <w:jc w:val="center"/>
        </w:trPr>
        <w:tc>
          <w:tcPr>
            <w:tcW w:w="4590" w:type="dxa"/>
            <w:gridSpan w:val="4"/>
            <w:tcBorders>
              <w:tl2br w:val="nil"/>
              <w:tr2bl w:val="nil"/>
            </w:tcBorders>
            <w:shd w:val="clear" w:color="auto" w:fill="auto"/>
            <w:vAlign w:val="center"/>
          </w:tcPr>
          <w:p>
            <w:pPr>
              <w:spacing w:line="0" w:lineRule="atLeast"/>
              <w:jc w:val="center"/>
              <w:rPr>
                <w:rFonts w:hint="eastAsia" w:ascii="宋体" w:hAnsi="宋体" w:cs="宋体"/>
                <w:spacing w:val="-7"/>
                <w:kern w:val="2"/>
                <w:sz w:val="21"/>
                <w:szCs w:val="24"/>
                <w:lang w:bidi="zh-CN"/>
              </w:rPr>
            </w:pPr>
            <w:r>
              <w:rPr>
                <w:rFonts w:hint="eastAsia" w:ascii="宋体" w:hAnsi="宋体" w:cs="宋体"/>
                <w:spacing w:val="-7"/>
                <w:kern w:val="2"/>
                <w:sz w:val="21"/>
                <w:szCs w:val="24"/>
                <w:lang w:bidi="zh-CN"/>
              </w:rPr>
              <w:t>中山市消防局</w:t>
            </w:r>
          </w:p>
        </w:tc>
        <w:tc>
          <w:tcPr>
            <w:tcW w:w="4590" w:type="dxa"/>
            <w:gridSpan w:val="4"/>
            <w:tcBorders>
              <w:tl2br w:val="nil"/>
              <w:tr2bl w:val="nil"/>
            </w:tcBorders>
            <w:shd w:val="clear" w:color="auto" w:fill="auto"/>
            <w:vAlign w:val="center"/>
          </w:tcPr>
          <w:p>
            <w:pPr>
              <w:spacing w:line="0" w:lineRule="atLeast"/>
              <w:jc w:val="center"/>
              <w:rPr>
                <w:rFonts w:hint="eastAsia" w:ascii="宋体" w:hAnsi="宋体" w:cs="宋体"/>
                <w:spacing w:val="-7"/>
                <w:kern w:val="2"/>
                <w:sz w:val="21"/>
                <w:szCs w:val="24"/>
                <w:lang w:bidi="zh-CN"/>
              </w:rPr>
            </w:pPr>
            <w:r>
              <w:rPr>
                <w:rFonts w:hint="eastAsia" w:ascii="宋体" w:hAnsi="宋体" w:cs="宋体"/>
                <w:spacing w:val="-7"/>
                <w:kern w:val="2"/>
                <w:sz w:val="21"/>
                <w:szCs w:val="24"/>
                <w:lang w:bidi="zh-CN"/>
              </w:rPr>
              <w:t>0760-88822841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4590" w:type="dxa"/>
            <w:gridSpan w:val="4"/>
            <w:tcBorders>
              <w:tl2br w:val="nil"/>
              <w:tr2bl w:val="nil"/>
            </w:tcBorders>
            <w:shd w:val="clear" w:color="auto" w:fill="auto"/>
            <w:vAlign w:val="center"/>
          </w:tcPr>
          <w:p>
            <w:pPr>
              <w:spacing w:line="0" w:lineRule="atLeast"/>
              <w:jc w:val="center"/>
              <w:rPr>
                <w:rFonts w:ascii="宋体" w:hAnsi="宋体" w:cs="宋体"/>
                <w:spacing w:val="-7"/>
                <w:kern w:val="2"/>
                <w:sz w:val="21"/>
                <w:szCs w:val="24"/>
                <w:lang w:bidi="zh-CN"/>
              </w:rPr>
            </w:pPr>
            <w:r>
              <w:rPr>
                <w:rFonts w:ascii="宋体" w:hAnsi="宋体" w:cs="宋体"/>
                <w:spacing w:val="-7"/>
                <w:kern w:val="2"/>
                <w:sz w:val="21"/>
                <w:szCs w:val="24"/>
                <w:lang w:bidi="zh-CN"/>
              </w:rPr>
              <w:t>中山市职业病防治所</w:t>
            </w:r>
          </w:p>
        </w:tc>
        <w:tc>
          <w:tcPr>
            <w:tcW w:w="4590" w:type="dxa"/>
            <w:gridSpan w:val="4"/>
            <w:tcBorders>
              <w:tl2br w:val="nil"/>
              <w:tr2bl w:val="nil"/>
            </w:tcBorders>
            <w:shd w:val="clear" w:color="auto" w:fill="auto"/>
            <w:vAlign w:val="center"/>
          </w:tcPr>
          <w:p>
            <w:pPr>
              <w:spacing w:line="0" w:lineRule="atLeast"/>
              <w:jc w:val="center"/>
              <w:rPr>
                <w:rFonts w:ascii="宋体" w:hAnsi="宋体" w:cs="宋体"/>
                <w:spacing w:val="-7"/>
                <w:kern w:val="2"/>
                <w:sz w:val="21"/>
                <w:szCs w:val="24"/>
                <w:lang w:bidi="zh-CN"/>
              </w:rPr>
            </w:pPr>
            <w:r>
              <w:rPr>
                <w:rFonts w:ascii="宋体" w:hAnsi="宋体" w:cs="宋体"/>
                <w:spacing w:val="-7"/>
                <w:kern w:val="2"/>
                <w:sz w:val="21"/>
                <w:szCs w:val="24"/>
                <w:lang w:bidi="zh-CN"/>
              </w:rPr>
              <w:t>0760-88825075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4590" w:type="dxa"/>
            <w:gridSpan w:val="4"/>
            <w:tcBorders>
              <w:tl2br w:val="nil"/>
              <w:tr2bl w:val="nil"/>
            </w:tcBorders>
            <w:shd w:val="clear" w:color="auto" w:fill="auto"/>
            <w:vAlign w:val="center"/>
          </w:tcPr>
          <w:p>
            <w:pPr>
              <w:spacing w:line="0" w:lineRule="atLeast"/>
              <w:jc w:val="center"/>
              <w:rPr>
                <w:rFonts w:ascii="宋体" w:hAnsi="宋体" w:cs="宋体"/>
                <w:spacing w:val="-7"/>
                <w:kern w:val="2"/>
                <w:sz w:val="21"/>
                <w:szCs w:val="24"/>
                <w:lang w:bidi="zh-CN"/>
              </w:rPr>
            </w:pPr>
            <w:r>
              <w:rPr>
                <w:rFonts w:ascii="宋体" w:hAnsi="宋体" w:cs="宋体"/>
                <w:spacing w:val="-7"/>
                <w:kern w:val="2"/>
                <w:sz w:val="21"/>
                <w:szCs w:val="24"/>
                <w:lang w:bidi="zh-CN"/>
              </w:rPr>
              <w:t>中山市卫生防疫站</w:t>
            </w:r>
          </w:p>
        </w:tc>
        <w:tc>
          <w:tcPr>
            <w:tcW w:w="4590" w:type="dxa"/>
            <w:gridSpan w:val="4"/>
            <w:tcBorders>
              <w:tl2br w:val="nil"/>
              <w:tr2bl w:val="nil"/>
            </w:tcBorders>
            <w:shd w:val="clear" w:color="auto" w:fill="auto"/>
            <w:vAlign w:val="center"/>
          </w:tcPr>
          <w:p>
            <w:pPr>
              <w:spacing w:line="0" w:lineRule="atLeast"/>
              <w:jc w:val="center"/>
              <w:rPr>
                <w:rFonts w:ascii="宋体" w:hAnsi="宋体" w:cs="宋体"/>
                <w:spacing w:val="-7"/>
                <w:kern w:val="2"/>
                <w:sz w:val="21"/>
                <w:szCs w:val="24"/>
                <w:lang w:bidi="zh-CN"/>
              </w:rPr>
            </w:pPr>
            <w:r>
              <w:rPr>
                <w:rFonts w:ascii="宋体" w:hAnsi="宋体" w:cs="宋体"/>
                <w:spacing w:val="-7"/>
                <w:kern w:val="2"/>
                <w:sz w:val="21"/>
                <w:szCs w:val="24"/>
                <w:lang w:bidi="zh-CN"/>
              </w:rPr>
              <w:t>0760-88855964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4590" w:type="dxa"/>
            <w:gridSpan w:val="4"/>
            <w:tcBorders>
              <w:tl2br w:val="nil"/>
              <w:tr2bl w:val="nil"/>
            </w:tcBorders>
            <w:shd w:val="clear" w:color="auto" w:fill="auto"/>
            <w:vAlign w:val="center"/>
          </w:tcPr>
          <w:p>
            <w:pPr>
              <w:spacing w:line="0" w:lineRule="atLeast"/>
              <w:jc w:val="center"/>
              <w:rPr>
                <w:rFonts w:ascii="宋体" w:hAnsi="宋体" w:cs="宋体"/>
                <w:spacing w:val="-7"/>
                <w:kern w:val="2"/>
                <w:sz w:val="21"/>
                <w:szCs w:val="24"/>
                <w:lang w:bidi="zh-CN"/>
              </w:rPr>
            </w:pPr>
            <w:r>
              <w:rPr>
                <w:rFonts w:ascii="宋体" w:hAnsi="宋体" w:cs="宋体"/>
                <w:spacing w:val="-7"/>
                <w:kern w:val="2"/>
                <w:sz w:val="21"/>
                <w:szCs w:val="24"/>
                <w:lang w:bidi="zh-CN"/>
              </w:rPr>
              <w:t>中山市</w:t>
            </w:r>
            <w:r>
              <w:rPr>
                <w:rFonts w:hint="eastAsia" w:ascii="宋体" w:hAnsi="宋体" w:cs="宋体"/>
                <w:spacing w:val="-7"/>
                <w:kern w:val="2"/>
                <w:sz w:val="21"/>
                <w:szCs w:val="24"/>
                <w:lang w:eastAsia="zh-CN" w:bidi="zh-CN"/>
              </w:rPr>
              <w:t>生态环境</w:t>
            </w:r>
            <w:r>
              <w:rPr>
                <w:rFonts w:ascii="宋体" w:hAnsi="宋体" w:cs="宋体"/>
                <w:spacing w:val="-7"/>
                <w:kern w:val="2"/>
                <w:sz w:val="21"/>
                <w:szCs w:val="24"/>
                <w:lang w:bidi="zh-CN"/>
              </w:rPr>
              <w:t>局</w:t>
            </w:r>
          </w:p>
        </w:tc>
        <w:tc>
          <w:tcPr>
            <w:tcW w:w="4590" w:type="dxa"/>
            <w:gridSpan w:val="4"/>
            <w:tcBorders>
              <w:tl2br w:val="nil"/>
              <w:tr2bl w:val="nil"/>
            </w:tcBorders>
            <w:shd w:val="clear" w:color="auto" w:fill="auto"/>
            <w:vAlign w:val="center"/>
          </w:tcPr>
          <w:p>
            <w:pPr>
              <w:spacing w:line="0" w:lineRule="atLeast"/>
              <w:jc w:val="center"/>
              <w:rPr>
                <w:rFonts w:ascii="宋体" w:hAnsi="宋体" w:cs="宋体"/>
                <w:spacing w:val="-7"/>
                <w:kern w:val="2"/>
                <w:sz w:val="21"/>
                <w:szCs w:val="24"/>
                <w:lang w:bidi="zh-CN"/>
              </w:rPr>
            </w:pPr>
            <w:r>
              <w:rPr>
                <w:rFonts w:ascii="宋体" w:hAnsi="宋体" w:cs="宋体"/>
                <w:spacing w:val="-7"/>
                <w:kern w:val="2"/>
                <w:sz w:val="21"/>
                <w:szCs w:val="24"/>
                <w:lang w:bidi="zh-CN"/>
              </w:rPr>
              <w:t>0760-88329817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4590" w:type="dxa"/>
            <w:gridSpan w:val="4"/>
            <w:tcBorders>
              <w:tl2br w:val="nil"/>
              <w:tr2bl w:val="nil"/>
            </w:tcBorders>
            <w:shd w:val="clear" w:color="auto" w:fill="auto"/>
            <w:vAlign w:val="center"/>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eastAsia="zh-CN" w:bidi="zh-CN"/>
              </w:rPr>
              <w:t>民众生态环境</w:t>
            </w:r>
            <w:r>
              <w:rPr>
                <w:rFonts w:hint="eastAsia" w:ascii="宋体" w:hAnsi="宋体" w:cs="宋体"/>
                <w:spacing w:val="-7"/>
                <w:kern w:val="2"/>
                <w:sz w:val="21"/>
                <w:szCs w:val="24"/>
                <w:lang w:bidi="zh-CN"/>
              </w:rPr>
              <w:t>分</w:t>
            </w:r>
            <w:r>
              <w:rPr>
                <w:rFonts w:ascii="宋体" w:hAnsi="宋体" w:cs="宋体"/>
                <w:spacing w:val="-7"/>
                <w:kern w:val="2"/>
                <w:sz w:val="21"/>
                <w:szCs w:val="24"/>
                <w:lang w:bidi="zh-CN"/>
              </w:rPr>
              <w:t>局</w:t>
            </w:r>
          </w:p>
        </w:tc>
        <w:tc>
          <w:tcPr>
            <w:tcW w:w="4590" w:type="dxa"/>
            <w:gridSpan w:val="4"/>
            <w:tcBorders>
              <w:tl2br w:val="nil"/>
              <w:tr2bl w:val="nil"/>
            </w:tcBorders>
            <w:shd w:val="clear" w:color="auto" w:fill="auto"/>
            <w:vAlign w:val="center"/>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0760-85570277</w:t>
            </w:r>
          </w:p>
        </w:tc>
      </w:tr>
    </w:tbl>
    <w:p/>
    <w:p/>
    <w:p/>
    <w:p/>
    <w:p/>
    <w:p>
      <w:pPr>
        <w:jc w:val="center"/>
        <w:rPr>
          <w:rFonts w:hint="eastAsia" w:eastAsia="宋体"/>
          <w:lang w:eastAsia="zh-CN"/>
        </w:rPr>
      </w:pPr>
      <w:r>
        <w:rPr>
          <w:rFonts w:hint="eastAsia"/>
          <w:lang w:eastAsia="zh-CN"/>
        </w:rPr>
        <w:t>废气处理设施事故现场应急处置卡</w:t>
      </w:r>
    </w:p>
    <w:tbl>
      <w:tblPr>
        <w:tblStyle w:val="42"/>
        <w:tblW w:w="9180" w:type="dxa"/>
        <w:jc w:val="cente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Layout w:type="fixed"/>
        <w:tblCellMar>
          <w:top w:w="0" w:type="dxa"/>
          <w:left w:w="0" w:type="dxa"/>
          <w:bottom w:w="0" w:type="dxa"/>
          <w:right w:w="0" w:type="dxa"/>
        </w:tblCellMar>
      </w:tblPr>
      <w:tblGrid>
        <w:gridCol w:w="1475"/>
        <w:gridCol w:w="1649"/>
        <w:gridCol w:w="527"/>
        <w:gridCol w:w="939"/>
        <w:gridCol w:w="1472"/>
        <w:gridCol w:w="284"/>
        <w:gridCol w:w="1032"/>
        <w:gridCol w:w="1802"/>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Layout w:type="fixed"/>
          <w:tblCellMar>
            <w:top w:w="0" w:type="dxa"/>
            <w:left w:w="0" w:type="dxa"/>
            <w:bottom w:w="0" w:type="dxa"/>
            <w:right w:w="0" w:type="dxa"/>
          </w:tblCellMar>
        </w:tblPrEx>
        <w:trPr>
          <w:trHeight w:val="90" w:hRule="atLeast"/>
          <w:jc w:val="center"/>
        </w:trPr>
        <w:tc>
          <w:tcPr>
            <w:tcW w:w="9180" w:type="dxa"/>
            <w:gridSpan w:val="8"/>
            <w:tcBorders>
              <w:tl2br w:val="nil"/>
              <w:tr2bl w:val="nil"/>
            </w:tcBorders>
            <w:shd w:val="clear" w:color="auto" w:fill="auto"/>
          </w:tcPr>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基本情况</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247" w:hRule="atLeast"/>
          <w:jc w:val="center"/>
        </w:trPr>
        <w:tc>
          <w:tcPr>
            <w:tcW w:w="1475" w:type="dxa"/>
            <w:tcBorders>
              <w:tl2br w:val="nil"/>
              <w:tr2bl w:val="nil"/>
            </w:tcBorders>
            <w:shd w:val="clear" w:color="auto" w:fill="auto"/>
          </w:tcPr>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危险物质</w:t>
            </w:r>
          </w:p>
        </w:tc>
        <w:tc>
          <w:tcPr>
            <w:tcW w:w="2176" w:type="dxa"/>
            <w:gridSpan w:val="2"/>
            <w:tcBorders>
              <w:tl2br w:val="nil"/>
              <w:tr2bl w:val="nil"/>
            </w:tcBorders>
            <w:shd w:val="clear" w:color="auto" w:fill="auto"/>
          </w:tcPr>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恶臭污染物</w:t>
            </w:r>
          </w:p>
        </w:tc>
        <w:tc>
          <w:tcPr>
            <w:tcW w:w="2695" w:type="dxa"/>
            <w:gridSpan w:val="3"/>
            <w:tcBorders>
              <w:tl2br w:val="nil"/>
              <w:tr2bl w:val="nil"/>
            </w:tcBorders>
            <w:shd w:val="clear" w:color="auto" w:fill="auto"/>
          </w:tcPr>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可能发生的事故类型</w:t>
            </w:r>
          </w:p>
        </w:tc>
        <w:tc>
          <w:tcPr>
            <w:tcW w:w="2834" w:type="dxa"/>
            <w:gridSpan w:val="2"/>
            <w:tcBorders>
              <w:tl2br w:val="nil"/>
              <w:tr2bl w:val="nil"/>
            </w:tcBorders>
            <w:shd w:val="clear" w:color="auto" w:fill="auto"/>
          </w:tcPr>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废气事故排放</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1475" w:type="dxa"/>
            <w:tcBorders>
              <w:tl2br w:val="nil"/>
              <w:tr2bl w:val="nil"/>
            </w:tcBorders>
            <w:shd w:val="clear" w:color="auto" w:fill="auto"/>
          </w:tcPr>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事故发生区域</w:t>
            </w:r>
          </w:p>
        </w:tc>
        <w:tc>
          <w:tcPr>
            <w:tcW w:w="7705" w:type="dxa"/>
            <w:gridSpan w:val="7"/>
            <w:tcBorders>
              <w:tl2br w:val="nil"/>
              <w:tr2bl w:val="nil"/>
            </w:tcBorders>
            <w:shd w:val="clear" w:color="auto" w:fill="auto"/>
          </w:tcPr>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eastAsia="zh-CN" w:bidi="zh-CN"/>
              </w:rPr>
              <w:t>废气处理设施</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1475" w:type="dxa"/>
            <w:tcBorders>
              <w:tl2br w:val="nil"/>
              <w:tr2bl w:val="nil"/>
            </w:tcBorders>
            <w:shd w:val="clear" w:color="auto" w:fill="auto"/>
          </w:tcPr>
          <w:p>
            <w:pPr>
              <w:spacing w:line="0" w:lineRule="atLeast"/>
              <w:rPr>
                <w:rFonts w:ascii="宋体" w:hAnsi="宋体" w:cs="宋体"/>
                <w:spacing w:val="-7"/>
                <w:kern w:val="2"/>
                <w:sz w:val="21"/>
                <w:szCs w:val="24"/>
                <w:lang w:bidi="zh-CN"/>
              </w:rPr>
            </w:pPr>
          </w:p>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事故危害程度</w:t>
            </w:r>
          </w:p>
        </w:tc>
        <w:tc>
          <w:tcPr>
            <w:tcW w:w="7705" w:type="dxa"/>
            <w:gridSpan w:val="7"/>
            <w:tcBorders>
              <w:tl2br w:val="nil"/>
              <w:tr2bl w:val="nil"/>
            </w:tcBorders>
            <w:shd w:val="clear" w:color="auto" w:fill="auto"/>
          </w:tcPr>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废气事故排放可能对环境空气造成污染，恶臭污染物等随空气受风力作用可能会影响周边企业、居民区人员。</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1475" w:type="dxa"/>
            <w:tcBorders>
              <w:tl2br w:val="nil"/>
              <w:tr2bl w:val="nil"/>
            </w:tcBorders>
            <w:shd w:val="clear" w:color="auto" w:fill="auto"/>
          </w:tcPr>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处置程序</w:t>
            </w:r>
          </w:p>
        </w:tc>
        <w:tc>
          <w:tcPr>
            <w:tcW w:w="5903" w:type="dxa"/>
            <w:gridSpan w:val="6"/>
            <w:tcBorders>
              <w:tl2br w:val="nil"/>
              <w:tr2bl w:val="nil"/>
            </w:tcBorders>
            <w:shd w:val="clear" w:color="auto" w:fill="auto"/>
          </w:tcPr>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处置措施</w:t>
            </w:r>
          </w:p>
        </w:tc>
        <w:tc>
          <w:tcPr>
            <w:tcW w:w="1802" w:type="dxa"/>
            <w:tcBorders>
              <w:tl2br w:val="nil"/>
              <w:tr2bl w:val="nil"/>
            </w:tcBorders>
            <w:shd w:val="clear" w:color="auto" w:fill="auto"/>
          </w:tcPr>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责任人或责任单位</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1475" w:type="dxa"/>
            <w:vMerge w:val="restart"/>
            <w:tcBorders>
              <w:tl2br w:val="nil"/>
              <w:tr2bl w:val="nil"/>
            </w:tcBorders>
            <w:shd w:val="clear" w:color="auto" w:fill="auto"/>
          </w:tcPr>
          <w:p>
            <w:pPr>
              <w:spacing w:line="0" w:lineRule="atLeast"/>
              <w:rPr>
                <w:rFonts w:ascii="宋体" w:hAnsi="宋体" w:cs="宋体"/>
                <w:spacing w:val="-7"/>
                <w:kern w:val="2"/>
                <w:sz w:val="21"/>
                <w:szCs w:val="24"/>
                <w:lang w:bidi="zh-CN"/>
              </w:rPr>
            </w:pPr>
          </w:p>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事故报告</w:t>
            </w:r>
          </w:p>
        </w:tc>
        <w:tc>
          <w:tcPr>
            <w:tcW w:w="5903" w:type="dxa"/>
            <w:gridSpan w:val="6"/>
            <w:tcBorders>
              <w:tl2br w:val="nil"/>
              <w:tr2bl w:val="nil"/>
            </w:tcBorders>
            <w:shd w:val="clear" w:color="auto" w:fill="auto"/>
          </w:tcPr>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向本车间、生产主管报告，内容包括事故地点、类型及影响范围。</w:t>
            </w:r>
          </w:p>
        </w:tc>
        <w:tc>
          <w:tcPr>
            <w:tcW w:w="1802" w:type="dxa"/>
            <w:tcBorders>
              <w:tl2br w:val="nil"/>
              <w:tr2bl w:val="nil"/>
            </w:tcBorders>
            <w:shd w:val="clear" w:color="auto" w:fill="auto"/>
          </w:tcPr>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发现险情人员</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1475" w:type="dxa"/>
            <w:vMerge w:val="continue"/>
            <w:tcBorders>
              <w:tl2br w:val="nil"/>
              <w:tr2bl w:val="nil"/>
            </w:tcBorders>
            <w:shd w:val="clear" w:color="auto" w:fill="auto"/>
          </w:tcPr>
          <w:p>
            <w:pPr>
              <w:spacing w:line="0" w:lineRule="atLeast"/>
              <w:rPr>
                <w:rFonts w:ascii="宋体" w:hAnsi="宋体" w:cs="宋体"/>
                <w:spacing w:val="-7"/>
                <w:kern w:val="2"/>
                <w:sz w:val="21"/>
                <w:szCs w:val="24"/>
                <w:lang w:bidi="zh-CN"/>
              </w:rPr>
            </w:pPr>
          </w:p>
        </w:tc>
        <w:tc>
          <w:tcPr>
            <w:tcW w:w="5903" w:type="dxa"/>
            <w:gridSpan w:val="6"/>
            <w:tcBorders>
              <w:tl2br w:val="nil"/>
              <w:tr2bl w:val="nil"/>
            </w:tcBorders>
            <w:shd w:val="clear" w:color="auto" w:fill="auto"/>
          </w:tcPr>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向公司应急救援指挥部报告，内容包括事故地点、类型影响范围和已采取的应急救援措施。</w:t>
            </w:r>
          </w:p>
        </w:tc>
        <w:tc>
          <w:tcPr>
            <w:tcW w:w="1802" w:type="dxa"/>
            <w:tcBorders>
              <w:tl2br w:val="nil"/>
              <w:tr2bl w:val="nil"/>
            </w:tcBorders>
            <w:shd w:val="clear" w:color="auto" w:fill="auto"/>
          </w:tcPr>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车间、部门主管</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1475" w:type="dxa"/>
            <w:tcBorders>
              <w:tl2br w:val="nil"/>
              <w:tr2bl w:val="nil"/>
            </w:tcBorders>
            <w:shd w:val="clear" w:color="auto" w:fill="auto"/>
          </w:tcPr>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应急准备</w:t>
            </w:r>
          </w:p>
        </w:tc>
        <w:tc>
          <w:tcPr>
            <w:tcW w:w="5903" w:type="dxa"/>
            <w:gridSpan w:val="6"/>
            <w:tcBorders>
              <w:tl2br w:val="nil"/>
              <w:tr2bl w:val="nil"/>
            </w:tcBorders>
            <w:shd w:val="clear" w:color="auto" w:fill="auto"/>
          </w:tcPr>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针对不同事故类型，准备应急抢修物资，组织应急小组人员进行救援。</w:t>
            </w:r>
          </w:p>
        </w:tc>
        <w:tc>
          <w:tcPr>
            <w:tcW w:w="1802" w:type="dxa"/>
            <w:tcBorders>
              <w:tl2br w:val="nil"/>
              <w:tr2bl w:val="nil"/>
            </w:tcBorders>
            <w:shd w:val="clear" w:color="auto" w:fill="auto"/>
          </w:tcPr>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应急指挥部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431" w:hRule="atLeast"/>
          <w:jc w:val="center"/>
        </w:trPr>
        <w:tc>
          <w:tcPr>
            <w:tcW w:w="1475" w:type="dxa"/>
            <w:tcBorders>
              <w:tl2br w:val="nil"/>
              <w:tr2bl w:val="nil"/>
            </w:tcBorders>
            <w:shd w:val="clear" w:color="auto" w:fill="auto"/>
          </w:tcPr>
          <w:p>
            <w:pPr>
              <w:spacing w:line="0" w:lineRule="atLeast"/>
              <w:rPr>
                <w:rFonts w:ascii="宋体" w:hAnsi="宋体" w:cs="宋体"/>
                <w:spacing w:val="-7"/>
                <w:kern w:val="2"/>
                <w:sz w:val="21"/>
                <w:szCs w:val="24"/>
                <w:lang w:bidi="zh-CN"/>
              </w:rPr>
            </w:pPr>
          </w:p>
          <w:p>
            <w:pPr>
              <w:spacing w:line="0" w:lineRule="atLeast"/>
              <w:rPr>
                <w:rFonts w:ascii="宋体" w:hAnsi="宋体" w:cs="宋体"/>
                <w:spacing w:val="-7"/>
                <w:kern w:val="2"/>
                <w:sz w:val="21"/>
                <w:szCs w:val="24"/>
                <w:lang w:bidi="zh-CN"/>
              </w:rPr>
            </w:pPr>
          </w:p>
          <w:p>
            <w:pPr>
              <w:spacing w:line="0" w:lineRule="atLeast"/>
              <w:rPr>
                <w:rFonts w:ascii="宋体" w:hAnsi="宋体" w:cs="宋体"/>
                <w:spacing w:val="-7"/>
                <w:kern w:val="2"/>
                <w:sz w:val="21"/>
                <w:szCs w:val="24"/>
                <w:lang w:bidi="zh-CN"/>
              </w:rPr>
            </w:pPr>
          </w:p>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现场处置</w:t>
            </w:r>
          </w:p>
        </w:tc>
        <w:tc>
          <w:tcPr>
            <w:tcW w:w="7705" w:type="dxa"/>
            <w:gridSpan w:val="7"/>
            <w:tcBorders>
              <w:tl2br w:val="nil"/>
              <w:tr2bl w:val="nil"/>
            </w:tcBorders>
            <w:shd w:val="clear" w:color="auto" w:fill="auto"/>
          </w:tcPr>
          <w:p>
            <w:pPr>
              <w:spacing w:line="0" w:lineRule="atLeast"/>
              <w:rPr>
                <w:rFonts w:hint="eastAsia" w:ascii="宋体" w:hAnsi="宋体" w:cs="宋体"/>
                <w:spacing w:val="-7"/>
                <w:kern w:val="2"/>
                <w:sz w:val="21"/>
                <w:szCs w:val="24"/>
                <w:lang w:bidi="zh-CN"/>
              </w:rPr>
            </w:pPr>
            <w:r>
              <w:rPr>
                <w:rFonts w:hint="eastAsia" w:ascii="宋体" w:hAnsi="宋体" w:cs="宋体"/>
                <w:spacing w:val="-7"/>
                <w:kern w:val="2"/>
                <w:sz w:val="21"/>
                <w:szCs w:val="24"/>
                <w:lang w:bidi="zh-CN"/>
              </w:rPr>
              <w:t>（1）应急抢险人员立即查找事故位置与原因，并对废气治理设施进行调整或检修；</w:t>
            </w:r>
          </w:p>
          <w:p>
            <w:pPr>
              <w:spacing w:line="0" w:lineRule="atLeast"/>
              <w:rPr>
                <w:rFonts w:hint="eastAsia" w:ascii="宋体" w:hAnsi="宋体" w:cs="宋体"/>
                <w:spacing w:val="-7"/>
                <w:kern w:val="2"/>
                <w:sz w:val="21"/>
                <w:szCs w:val="24"/>
                <w:lang w:bidi="zh-CN"/>
              </w:rPr>
            </w:pPr>
            <w:r>
              <w:rPr>
                <w:rFonts w:hint="eastAsia" w:ascii="宋体" w:hAnsi="宋体" w:cs="宋体"/>
                <w:spacing w:val="-7"/>
                <w:kern w:val="2"/>
                <w:sz w:val="21"/>
                <w:szCs w:val="24"/>
                <w:lang w:bidi="zh-CN"/>
              </w:rPr>
              <w:t>（2）废气治理设施进行调整或检修后仍无法进行恢复正常时，按操作规划调整生产负荷，必要时停产；</w:t>
            </w:r>
          </w:p>
          <w:p>
            <w:pPr>
              <w:spacing w:line="0" w:lineRule="atLeast"/>
              <w:rPr>
                <w:rFonts w:ascii="宋体" w:cs="宋体"/>
                <w:spacing w:val="-7"/>
                <w:kern w:val="2"/>
                <w:sz w:val="21"/>
                <w:szCs w:val="24"/>
                <w:lang w:bidi="zh-CN"/>
              </w:rPr>
            </w:pPr>
            <w:r>
              <w:rPr>
                <w:rFonts w:hint="eastAsia" w:ascii="宋体" w:hAnsi="宋体" w:cs="宋体"/>
                <w:spacing w:val="-7"/>
                <w:kern w:val="2"/>
                <w:sz w:val="21"/>
                <w:szCs w:val="24"/>
                <w:lang w:bidi="zh-CN"/>
              </w:rPr>
              <w:t>（4）停止故障设备运行，分析故障原因，并</w:t>
            </w:r>
            <w:r>
              <w:rPr>
                <w:rFonts w:hint="eastAsia" w:ascii="宋体" w:hAnsi="宋体" w:cs="宋体"/>
                <w:spacing w:val="-7"/>
                <w:kern w:val="2"/>
                <w:sz w:val="21"/>
                <w:szCs w:val="24"/>
                <w:lang w:eastAsia="zh-CN" w:bidi="zh-CN"/>
              </w:rPr>
              <w:t>通知后勤保障组</w:t>
            </w:r>
            <w:r>
              <w:rPr>
                <w:rFonts w:hint="eastAsia" w:ascii="宋体" w:hAnsi="宋体" w:cs="宋体"/>
                <w:spacing w:val="-7"/>
                <w:kern w:val="2"/>
                <w:sz w:val="21"/>
                <w:szCs w:val="24"/>
                <w:lang w:bidi="zh-CN"/>
              </w:rPr>
              <w:t>人员检修处理。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200" w:hRule="atLeast"/>
          <w:jc w:val="center"/>
        </w:trPr>
        <w:tc>
          <w:tcPr>
            <w:tcW w:w="9180" w:type="dxa"/>
            <w:gridSpan w:val="8"/>
            <w:tcBorders>
              <w:tl2br w:val="nil"/>
              <w:tr2bl w:val="nil"/>
            </w:tcBorders>
            <w:shd w:val="clear" w:color="auto" w:fill="auto"/>
          </w:tcPr>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应急人员防护、监护措施</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200" w:hRule="atLeast"/>
          <w:jc w:val="center"/>
        </w:trPr>
        <w:tc>
          <w:tcPr>
            <w:tcW w:w="9180" w:type="dxa"/>
            <w:gridSpan w:val="8"/>
            <w:tcBorders>
              <w:tl2br w:val="nil"/>
              <w:tr2bl w:val="nil"/>
            </w:tcBorders>
            <w:shd w:val="clear" w:color="auto" w:fill="auto"/>
          </w:tcPr>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应急人员应佩戴好防护用品，配带好防毒面具。</w:t>
            </w:r>
          </w:p>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提高预防爆炸、烧伤和中毒的警惕性， 避免再生事故的发生。</w:t>
            </w:r>
          </w:p>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应急救援结束后，做好现场检查、人员清点等工作。</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9180" w:type="dxa"/>
            <w:gridSpan w:val="8"/>
            <w:tcBorders>
              <w:tl2br w:val="nil"/>
              <w:tr2bl w:val="nil"/>
            </w:tcBorders>
            <w:shd w:val="clear" w:color="auto" w:fill="auto"/>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内部应急小组联系方式</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3124" w:type="dxa"/>
            <w:gridSpan w:val="2"/>
            <w:tcBorders>
              <w:tl2br w:val="nil"/>
              <w:tr2bl w:val="nil"/>
            </w:tcBorders>
            <w:shd w:val="clear" w:color="auto" w:fill="auto"/>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部门</w:t>
            </w:r>
          </w:p>
        </w:tc>
        <w:tc>
          <w:tcPr>
            <w:tcW w:w="2938" w:type="dxa"/>
            <w:gridSpan w:val="3"/>
            <w:tcBorders>
              <w:tl2br w:val="nil"/>
              <w:tr2bl w:val="nil"/>
            </w:tcBorders>
            <w:shd w:val="clear" w:color="auto" w:fill="auto"/>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负责人</w:t>
            </w:r>
          </w:p>
        </w:tc>
        <w:tc>
          <w:tcPr>
            <w:tcW w:w="3118" w:type="dxa"/>
            <w:gridSpan w:val="3"/>
            <w:tcBorders>
              <w:tl2br w:val="nil"/>
              <w:tr2bl w:val="nil"/>
            </w:tcBorders>
            <w:shd w:val="clear" w:color="auto" w:fill="auto"/>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联系方式</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3124" w:type="dxa"/>
            <w:gridSpan w:val="2"/>
            <w:tcBorders>
              <w:tl2br w:val="nil"/>
              <w:tr2bl w:val="nil"/>
            </w:tcBorders>
            <w:shd w:val="clear" w:color="auto" w:fill="auto"/>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应急抢险组</w:t>
            </w:r>
          </w:p>
        </w:tc>
        <w:tc>
          <w:tcPr>
            <w:tcW w:w="2938" w:type="dxa"/>
            <w:gridSpan w:val="3"/>
            <w:tcBorders>
              <w:tl2br w:val="nil"/>
              <w:tr2bl w:val="nil"/>
            </w:tcBorders>
            <w:shd w:val="clear" w:color="auto" w:fill="auto"/>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张琼</w:t>
            </w:r>
          </w:p>
        </w:tc>
        <w:tc>
          <w:tcPr>
            <w:tcW w:w="3118" w:type="dxa"/>
            <w:gridSpan w:val="3"/>
            <w:tcBorders>
              <w:tl2br w:val="nil"/>
              <w:tr2bl w:val="nil"/>
            </w:tcBorders>
            <w:shd w:val="clear" w:color="auto" w:fill="auto"/>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13528178106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3124" w:type="dxa"/>
            <w:gridSpan w:val="2"/>
            <w:tcBorders>
              <w:tl2br w:val="nil"/>
              <w:tr2bl w:val="nil"/>
            </w:tcBorders>
            <w:shd w:val="clear" w:color="auto" w:fill="auto"/>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警戒疏散组</w:t>
            </w:r>
          </w:p>
        </w:tc>
        <w:tc>
          <w:tcPr>
            <w:tcW w:w="2938" w:type="dxa"/>
            <w:gridSpan w:val="3"/>
            <w:tcBorders>
              <w:tl2br w:val="nil"/>
              <w:tr2bl w:val="nil"/>
            </w:tcBorders>
            <w:shd w:val="clear" w:color="auto" w:fill="auto"/>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杜广宇</w:t>
            </w:r>
          </w:p>
        </w:tc>
        <w:tc>
          <w:tcPr>
            <w:tcW w:w="3118" w:type="dxa"/>
            <w:gridSpan w:val="3"/>
            <w:tcBorders>
              <w:tl2br w:val="nil"/>
              <w:tr2bl w:val="nil"/>
            </w:tcBorders>
            <w:shd w:val="clear" w:color="auto" w:fill="auto"/>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13549870979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3124" w:type="dxa"/>
            <w:gridSpan w:val="2"/>
            <w:tcBorders>
              <w:tl2br w:val="nil"/>
              <w:tr2bl w:val="nil"/>
            </w:tcBorders>
            <w:shd w:val="clear" w:color="auto" w:fill="auto"/>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医疗救助组</w:t>
            </w:r>
          </w:p>
        </w:tc>
        <w:tc>
          <w:tcPr>
            <w:tcW w:w="2938" w:type="dxa"/>
            <w:gridSpan w:val="3"/>
            <w:tcBorders>
              <w:tl2br w:val="nil"/>
              <w:tr2bl w:val="nil"/>
            </w:tcBorders>
            <w:shd w:val="clear" w:color="auto" w:fill="auto"/>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易剑锋</w:t>
            </w:r>
          </w:p>
        </w:tc>
        <w:tc>
          <w:tcPr>
            <w:tcW w:w="3118" w:type="dxa"/>
            <w:gridSpan w:val="3"/>
            <w:tcBorders>
              <w:tl2br w:val="nil"/>
              <w:tr2bl w:val="nil"/>
            </w:tcBorders>
            <w:shd w:val="clear" w:color="auto" w:fill="auto"/>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18802591209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3124" w:type="dxa"/>
            <w:gridSpan w:val="2"/>
            <w:tcBorders>
              <w:tl2br w:val="nil"/>
              <w:tr2bl w:val="nil"/>
            </w:tcBorders>
            <w:shd w:val="clear" w:color="auto" w:fill="auto"/>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后勤保障组</w:t>
            </w:r>
          </w:p>
        </w:tc>
        <w:tc>
          <w:tcPr>
            <w:tcW w:w="2938" w:type="dxa"/>
            <w:gridSpan w:val="3"/>
            <w:tcBorders>
              <w:tl2br w:val="nil"/>
              <w:tr2bl w:val="nil"/>
            </w:tcBorders>
            <w:shd w:val="clear" w:color="auto" w:fill="auto"/>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林志军</w:t>
            </w:r>
          </w:p>
        </w:tc>
        <w:tc>
          <w:tcPr>
            <w:tcW w:w="3118" w:type="dxa"/>
            <w:gridSpan w:val="3"/>
            <w:tcBorders>
              <w:tl2br w:val="nil"/>
              <w:tr2bl w:val="nil"/>
            </w:tcBorders>
            <w:shd w:val="clear" w:color="auto" w:fill="auto"/>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13005509678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3124" w:type="dxa"/>
            <w:gridSpan w:val="2"/>
            <w:tcBorders>
              <w:tl2br w:val="nil"/>
              <w:tr2bl w:val="nil"/>
            </w:tcBorders>
            <w:shd w:val="clear" w:color="auto" w:fill="auto"/>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应急监测组</w:t>
            </w:r>
          </w:p>
        </w:tc>
        <w:tc>
          <w:tcPr>
            <w:tcW w:w="2938" w:type="dxa"/>
            <w:gridSpan w:val="3"/>
            <w:tcBorders>
              <w:tl2br w:val="nil"/>
              <w:tr2bl w:val="nil"/>
            </w:tcBorders>
            <w:shd w:val="clear" w:color="auto" w:fill="auto"/>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魏超</w:t>
            </w:r>
          </w:p>
        </w:tc>
        <w:tc>
          <w:tcPr>
            <w:tcW w:w="3118" w:type="dxa"/>
            <w:gridSpan w:val="3"/>
            <w:tcBorders>
              <w:tl2br w:val="nil"/>
              <w:tr2bl w:val="nil"/>
            </w:tcBorders>
            <w:shd w:val="clear" w:color="auto" w:fill="auto"/>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13425494550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3124" w:type="dxa"/>
            <w:gridSpan w:val="2"/>
            <w:tcBorders>
              <w:tl2br w:val="nil"/>
              <w:tr2bl w:val="nil"/>
            </w:tcBorders>
            <w:shd w:val="clear" w:color="auto" w:fill="auto"/>
          </w:tcPr>
          <w:p>
            <w:pPr>
              <w:spacing w:line="0" w:lineRule="atLeast"/>
              <w:jc w:val="center"/>
              <w:rPr>
                <w:rFonts w:hint="eastAsia" w:ascii="宋体" w:hAnsi="宋体" w:cs="宋体"/>
                <w:spacing w:val="-7"/>
                <w:kern w:val="2"/>
                <w:sz w:val="21"/>
                <w:szCs w:val="24"/>
                <w:lang w:bidi="zh-CN"/>
              </w:rPr>
            </w:pPr>
            <w:r>
              <w:rPr>
                <w:rFonts w:hint="eastAsia" w:ascii="宋体" w:hAnsi="宋体" w:cs="宋体"/>
                <w:spacing w:val="-7"/>
                <w:kern w:val="2"/>
                <w:sz w:val="21"/>
                <w:szCs w:val="24"/>
                <w:lang w:bidi="zh-CN"/>
              </w:rPr>
              <w:t>信息传输组</w:t>
            </w:r>
          </w:p>
        </w:tc>
        <w:tc>
          <w:tcPr>
            <w:tcW w:w="2938" w:type="dxa"/>
            <w:gridSpan w:val="3"/>
            <w:tcBorders>
              <w:tl2br w:val="nil"/>
              <w:tr2bl w:val="nil"/>
            </w:tcBorders>
            <w:shd w:val="clear" w:color="auto" w:fill="auto"/>
          </w:tcPr>
          <w:p>
            <w:pPr>
              <w:spacing w:line="0" w:lineRule="atLeast"/>
              <w:jc w:val="center"/>
              <w:rPr>
                <w:rFonts w:hint="eastAsia" w:ascii="宋体" w:hAnsi="宋体" w:cs="宋体"/>
                <w:spacing w:val="-7"/>
                <w:kern w:val="2"/>
                <w:sz w:val="21"/>
                <w:szCs w:val="24"/>
                <w:lang w:bidi="zh-CN"/>
              </w:rPr>
            </w:pPr>
            <w:r>
              <w:rPr>
                <w:rFonts w:hint="eastAsia" w:ascii="宋体" w:hAnsi="宋体" w:cs="宋体"/>
                <w:spacing w:val="-7"/>
                <w:kern w:val="2"/>
                <w:sz w:val="21"/>
                <w:szCs w:val="24"/>
                <w:lang w:bidi="zh-CN"/>
              </w:rPr>
              <w:t>吴伟业</w:t>
            </w:r>
          </w:p>
        </w:tc>
        <w:tc>
          <w:tcPr>
            <w:tcW w:w="3118" w:type="dxa"/>
            <w:gridSpan w:val="3"/>
            <w:tcBorders>
              <w:tl2br w:val="nil"/>
              <w:tr2bl w:val="nil"/>
            </w:tcBorders>
            <w:shd w:val="clear" w:color="auto" w:fill="auto"/>
          </w:tcPr>
          <w:p>
            <w:pPr>
              <w:spacing w:line="0" w:lineRule="atLeast"/>
              <w:jc w:val="center"/>
              <w:rPr>
                <w:rFonts w:hint="eastAsia" w:ascii="宋体" w:hAnsi="宋体" w:cs="宋体"/>
                <w:spacing w:val="-7"/>
                <w:kern w:val="2"/>
                <w:sz w:val="21"/>
                <w:szCs w:val="24"/>
                <w:lang w:bidi="zh-CN"/>
              </w:rPr>
            </w:pPr>
            <w:r>
              <w:rPr>
                <w:rFonts w:hint="eastAsia" w:ascii="宋体" w:hAnsi="宋体" w:cs="宋体"/>
                <w:spacing w:val="-7"/>
                <w:kern w:val="2"/>
                <w:sz w:val="21"/>
                <w:szCs w:val="24"/>
                <w:lang w:bidi="zh-CN"/>
              </w:rPr>
              <w:t>13702536238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9180" w:type="dxa"/>
            <w:gridSpan w:val="8"/>
            <w:tcBorders>
              <w:tl2br w:val="nil"/>
              <w:tr2bl w:val="nil"/>
            </w:tcBorders>
            <w:shd w:val="clear" w:color="auto" w:fill="auto"/>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外部联系电话</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4590" w:type="dxa"/>
            <w:gridSpan w:val="4"/>
            <w:tcBorders>
              <w:tl2br w:val="nil"/>
              <w:tr2bl w:val="nil"/>
            </w:tcBorders>
            <w:shd w:val="clear" w:color="auto" w:fill="auto"/>
            <w:vAlign w:val="center"/>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医疗救护</w:t>
            </w:r>
          </w:p>
        </w:tc>
        <w:tc>
          <w:tcPr>
            <w:tcW w:w="4590" w:type="dxa"/>
            <w:gridSpan w:val="4"/>
            <w:tcBorders>
              <w:tl2br w:val="nil"/>
              <w:tr2bl w:val="nil"/>
            </w:tcBorders>
            <w:shd w:val="clear" w:color="auto" w:fill="auto"/>
            <w:vAlign w:val="center"/>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120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4590" w:type="dxa"/>
            <w:gridSpan w:val="4"/>
            <w:tcBorders>
              <w:tl2br w:val="nil"/>
              <w:tr2bl w:val="nil"/>
            </w:tcBorders>
            <w:shd w:val="clear" w:color="auto" w:fill="auto"/>
            <w:vAlign w:val="center"/>
          </w:tcPr>
          <w:p>
            <w:pPr>
              <w:spacing w:line="0" w:lineRule="atLeast"/>
              <w:jc w:val="center"/>
              <w:rPr>
                <w:rFonts w:ascii="宋体" w:hAnsi="宋体" w:cs="宋体"/>
                <w:spacing w:val="-7"/>
                <w:kern w:val="2"/>
                <w:sz w:val="21"/>
                <w:szCs w:val="24"/>
                <w:lang w:bidi="zh-CN"/>
              </w:rPr>
            </w:pPr>
            <w:r>
              <w:rPr>
                <w:rFonts w:ascii="宋体" w:hAnsi="宋体" w:cs="宋体"/>
                <w:spacing w:val="-7"/>
                <w:kern w:val="2"/>
                <w:sz w:val="21"/>
                <w:szCs w:val="24"/>
                <w:lang w:bidi="zh-CN"/>
              </w:rPr>
              <w:t>中山市职业病防治所</w:t>
            </w:r>
          </w:p>
        </w:tc>
        <w:tc>
          <w:tcPr>
            <w:tcW w:w="4590" w:type="dxa"/>
            <w:gridSpan w:val="4"/>
            <w:tcBorders>
              <w:tl2br w:val="nil"/>
              <w:tr2bl w:val="nil"/>
            </w:tcBorders>
            <w:shd w:val="clear" w:color="auto" w:fill="auto"/>
            <w:vAlign w:val="center"/>
          </w:tcPr>
          <w:p>
            <w:pPr>
              <w:spacing w:line="0" w:lineRule="atLeast"/>
              <w:jc w:val="center"/>
              <w:rPr>
                <w:rFonts w:ascii="宋体" w:hAnsi="宋体" w:cs="宋体"/>
                <w:spacing w:val="-7"/>
                <w:kern w:val="2"/>
                <w:sz w:val="21"/>
                <w:szCs w:val="24"/>
                <w:lang w:bidi="zh-CN"/>
              </w:rPr>
            </w:pPr>
            <w:r>
              <w:rPr>
                <w:rFonts w:ascii="宋体" w:hAnsi="宋体" w:cs="宋体"/>
                <w:spacing w:val="-7"/>
                <w:kern w:val="2"/>
                <w:sz w:val="21"/>
                <w:szCs w:val="24"/>
                <w:lang w:bidi="zh-CN"/>
              </w:rPr>
              <w:t>0760-88825075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4590" w:type="dxa"/>
            <w:gridSpan w:val="4"/>
            <w:tcBorders>
              <w:tl2br w:val="nil"/>
              <w:tr2bl w:val="nil"/>
            </w:tcBorders>
            <w:shd w:val="clear" w:color="auto" w:fill="auto"/>
            <w:vAlign w:val="center"/>
          </w:tcPr>
          <w:p>
            <w:pPr>
              <w:spacing w:line="0" w:lineRule="atLeast"/>
              <w:jc w:val="center"/>
              <w:rPr>
                <w:rFonts w:ascii="宋体" w:hAnsi="宋体" w:cs="宋体"/>
                <w:spacing w:val="-7"/>
                <w:kern w:val="2"/>
                <w:sz w:val="21"/>
                <w:szCs w:val="24"/>
                <w:lang w:bidi="zh-CN"/>
              </w:rPr>
            </w:pPr>
            <w:r>
              <w:rPr>
                <w:rFonts w:ascii="宋体" w:hAnsi="宋体" w:cs="宋体"/>
                <w:spacing w:val="-7"/>
                <w:kern w:val="2"/>
                <w:sz w:val="21"/>
                <w:szCs w:val="24"/>
                <w:lang w:bidi="zh-CN"/>
              </w:rPr>
              <w:t>中山市卫生防疫站</w:t>
            </w:r>
          </w:p>
        </w:tc>
        <w:tc>
          <w:tcPr>
            <w:tcW w:w="4590" w:type="dxa"/>
            <w:gridSpan w:val="4"/>
            <w:tcBorders>
              <w:tl2br w:val="nil"/>
              <w:tr2bl w:val="nil"/>
            </w:tcBorders>
            <w:shd w:val="clear" w:color="auto" w:fill="auto"/>
            <w:vAlign w:val="center"/>
          </w:tcPr>
          <w:p>
            <w:pPr>
              <w:spacing w:line="0" w:lineRule="atLeast"/>
              <w:jc w:val="center"/>
              <w:rPr>
                <w:rFonts w:ascii="宋体" w:hAnsi="宋体" w:cs="宋体"/>
                <w:spacing w:val="-7"/>
                <w:kern w:val="2"/>
                <w:sz w:val="21"/>
                <w:szCs w:val="24"/>
                <w:lang w:bidi="zh-CN"/>
              </w:rPr>
            </w:pPr>
            <w:r>
              <w:rPr>
                <w:rFonts w:ascii="宋体" w:hAnsi="宋体" w:cs="宋体"/>
                <w:spacing w:val="-7"/>
                <w:kern w:val="2"/>
                <w:sz w:val="21"/>
                <w:szCs w:val="24"/>
                <w:lang w:bidi="zh-CN"/>
              </w:rPr>
              <w:t>0760-88855964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4590" w:type="dxa"/>
            <w:gridSpan w:val="4"/>
            <w:tcBorders>
              <w:tl2br w:val="nil"/>
              <w:tr2bl w:val="nil"/>
            </w:tcBorders>
            <w:shd w:val="clear" w:color="auto" w:fill="auto"/>
            <w:vAlign w:val="center"/>
          </w:tcPr>
          <w:p>
            <w:pPr>
              <w:spacing w:line="0" w:lineRule="atLeast"/>
              <w:jc w:val="center"/>
              <w:rPr>
                <w:rFonts w:ascii="宋体" w:hAnsi="宋体" w:cs="宋体"/>
                <w:spacing w:val="-7"/>
                <w:kern w:val="2"/>
                <w:sz w:val="21"/>
                <w:szCs w:val="24"/>
                <w:lang w:bidi="zh-CN"/>
              </w:rPr>
            </w:pPr>
            <w:r>
              <w:rPr>
                <w:rFonts w:ascii="宋体" w:hAnsi="宋体" w:cs="宋体"/>
                <w:spacing w:val="-7"/>
                <w:kern w:val="2"/>
                <w:sz w:val="21"/>
                <w:szCs w:val="24"/>
                <w:lang w:bidi="zh-CN"/>
              </w:rPr>
              <w:t>中山市</w:t>
            </w:r>
            <w:r>
              <w:rPr>
                <w:rFonts w:hint="eastAsia" w:ascii="宋体" w:hAnsi="宋体" w:cs="宋体"/>
                <w:spacing w:val="-7"/>
                <w:kern w:val="2"/>
                <w:sz w:val="21"/>
                <w:szCs w:val="24"/>
                <w:lang w:eastAsia="zh-CN" w:bidi="zh-CN"/>
              </w:rPr>
              <w:t>生态环境</w:t>
            </w:r>
            <w:r>
              <w:rPr>
                <w:rFonts w:ascii="宋体" w:hAnsi="宋体" w:cs="宋体"/>
                <w:spacing w:val="-7"/>
                <w:kern w:val="2"/>
                <w:sz w:val="21"/>
                <w:szCs w:val="24"/>
                <w:lang w:bidi="zh-CN"/>
              </w:rPr>
              <w:t>局</w:t>
            </w:r>
          </w:p>
        </w:tc>
        <w:tc>
          <w:tcPr>
            <w:tcW w:w="4590" w:type="dxa"/>
            <w:gridSpan w:val="4"/>
            <w:tcBorders>
              <w:tl2br w:val="nil"/>
              <w:tr2bl w:val="nil"/>
            </w:tcBorders>
            <w:shd w:val="clear" w:color="auto" w:fill="auto"/>
            <w:vAlign w:val="center"/>
          </w:tcPr>
          <w:p>
            <w:pPr>
              <w:spacing w:line="0" w:lineRule="atLeast"/>
              <w:jc w:val="center"/>
              <w:rPr>
                <w:rFonts w:ascii="宋体" w:hAnsi="宋体" w:cs="宋体"/>
                <w:spacing w:val="-7"/>
                <w:kern w:val="2"/>
                <w:sz w:val="21"/>
                <w:szCs w:val="24"/>
                <w:lang w:bidi="zh-CN"/>
              </w:rPr>
            </w:pPr>
            <w:r>
              <w:rPr>
                <w:rFonts w:ascii="宋体" w:hAnsi="宋体" w:cs="宋体"/>
                <w:spacing w:val="-7"/>
                <w:kern w:val="2"/>
                <w:sz w:val="21"/>
                <w:szCs w:val="24"/>
                <w:lang w:bidi="zh-CN"/>
              </w:rPr>
              <w:t>0760-88329817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4590" w:type="dxa"/>
            <w:gridSpan w:val="4"/>
            <w:tcBorders>
              <w:tl2br w:val="nil"/>
              <w:tr2bl w:val="nil"/>
            </w:tcBorders>
            <w:shd w:val="clear" w:color="auto" w:fill="auto"/>
            <w:vAlign w:val="center"/>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eastAsia="zh-CN" w:bidi="zh-CN"/>
              </w:rPr>
              <w:t>民众生态环境</w:t>
            </w:r>
            <w:r>
              <w:rPr>
                <w:rFonts w:hint="eastAsia" w:ascii="宋体" w:hAnsi="宋体" w:cs="宋体"/>
                <w:spacing w:val="-7"/>
                <w:kern w:val="2"/>
                <w:sz w:val="21"/>
                <w:szCs w:val="24"/>
                <w:lang w:bidi="zh-CN"/>
              </w:rPr>
              <w:t>分</w:t>
            </w:r>
            <w:r>
              <w:rPr>
                <w:rFonts w:ascii="宋体" w:hAnsi="宋体" w:cs="宋体"/>
                <w:spacing w:val="-7"/>
                <w:kern w:val="2"/>
                <w:sz w:val="21"/>
                <w:szCs w:val="24"/>
                <w:lang w:bidi="zh-CN"/>
              </w:rPr>
              <w:t>局</w:t>
            </w:r>
          </w:p>
        </w:tc>
        <w:tc>
          <w:tcPr>
            <w:tcW w:w="4590" w:type="dxa"/>
            <w:gridSpan w:val="4"/>
            <w:tcBorders>
              <w:tl2br w:val="nil"/>
              <w:tr2bl w:val="nil"/>
            </w:tcBorders>
            <w:shd w:val="clear" w:color="auto" w:fill="auto"/>
            <w:vAlign w:val="center"/>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0760-85570277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4590" w:type="dxa"/>
            <w:gridSpan w:val="4"/>
            <w:tcBorders>
              <w:tl2br w:val="nil"/>
              <w:tr2bl w:val="nil"/>
            </w:tcBorders>
            <w:shd w:val="clear" w:color="auto" w:fill="auto"/>
            <w:vAlign w:val="center"/>
          </w:tcPr>
          <w:p>
            <w:pPr>
              <w:spacing w:line="0" w:lineRule="atLeast"/>
              <w:jc w:val="center"/>
              <w:rPr>
                <w:rFonts w:hint="eastAsia" w:ascii="宋体" w:hAnsi="宋体" w:cs="宋体"/>
                <w:spacing w:val="-7"/>
                <w:kern w:val="2"/>
                <w:sz w:val="21"/>
                <w:szCs w:val="24"/>
                <w:lang w:eastAsia="zh-CN" w:bidi="zh-CN"/>
              </w:rPr>
            </w:pPr>
            <w:r>
              <w:rPr>
                <w:rFonts w:hint="eastAsia" w:ascii="宋体" w:hAnsi="宋体" w:cs="宋体"/>
                <w:spacing w:val="-7"/>
                <w:kern w:val="2"/>
                <w:sz w:val="21"/>
                <w:szCs w:val="24"/>
                <w:lang w:eastAsia="zh-CN" w:bidi="zh-CN"/>
              </w:rPr>
              <w:t>广东嬴胜节能有限公司</w:t>
            </w:r>
          </w:p>
        </w:tc>
        <w:tc>
          <w:tcPr>
            <w:tcW w:w="4590" w:type="dxa"/>
            <w:gridSpan w:val="4"/>
            <w:tcBorders>
              <w:tl2br w:val="nil"/>
              <w:tr2bl w:val="nil"/>
            </w:tcBorders>
            <w:shd w:val="clear" w:color="auto" w:fill="auto"/>
            <w:vAlign w:val="center"/>
          </w:tcPr>
          <w:p>
            <w:pPr>
              <w:spacing w:line="0" w:lineRule="atLeast"/>
              <w:jc w:val="center"/>
              <w:rPr>
                <w:rFonts w:hint="eastAsia" w:ascii="宋体" w:hAnsi="宋体" w:cs="宋体"/>
                <w:spacing w:val="-7"/>
                <w:kern w:val="2"/>
                <w:sz w:val="21"/>
                <w:szCs w:val="24"/>
                <w:lang w:bidi="zh-CN"/>
              </w:rPr>
            </w:pPr>
            <w:r>
              <w:rPr>
                <w:rFonts w:hint="eastAsia" w:ascii="宋体" w:hAnsi="宋体" w:cs="宋体"/>
                <w:spacing w:val="-7"/>
                <w:kern w:val="2"/>
                <w:sz w:val="21"/>
                <w:szCs w:val="24"/>
                <w:lang w:eastAsia="zh-CN" w:bidi="zh-CN"/>
              </w:rPr>
              <w:t>18961017567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4590" w:type="dxa"/>
            <w:gridSpan w:val="4"/>
            <w:tcBorders>
              <w:tl2br w:val="nil"/>
              <w:tr2bl w:val="nil"/>
            </w:tcBorders>
            <w:shd w:val="clear" w:color="auto" w:fill="auto"/>
            <w:vAlign w:val="center"/>
          </w:tcPr>
          <w:p>
            <w:pPr>
              <w:spacing w:line="0" w:lineRule="atLeast"/>
              <w:jc w:val="center"/>
              <w:rPr>
                <w:rFonts w:hint="eastAsia" w:ascii="宋体" w:hAnsi="宋体" w:cs="宋体"/>
                <w:spacing w:val="-7"/>
                <w:kern w:val="2"/>
                <w:sz w:val="21"/>
                <w:szCs w:val="24"/>
                <w:lang w:eastAsia="zh-CN" w:bidi="zh-CN"/>
              </w:rPr>
            </w:pPr>
            <w:r>
              <w:rPr>
                <w:rFonts w:hint="eastAsia" w:ascii="宋体" w:hAnsi="宋体" w:cs="宋体"/>
                <w:spacing w:val="-7"/>
                <w:kern w:val="2"/>
                <w:sz w:val="21"/>
                <w:szCs w:val="24"/>
                <w:lang w:eastAsia="zh-CN" w:bidi="zh-CN"/>
              </w:rPr>
              <w:t>中山市德马汽车零部件有限公司</w:t>
            </w:r>
          </w:p>
        </w:tc>
        <w:tc>
          <w:tcPr>
            <w:tcW w:w="4590" w:type="dxa"/>
            <w:gridSpan w:val="4"/>
            <w:tcBorders>
              <w:tl2br w:val="nil"/>
              <w:tr2bl w:val="nil"/>
            </w:tcBorders>
            <w:shd w:val="clear" w:color="auto" w:fill="auto"/>
            <w:vAlign w:val="center"/>
          </w:tcPr>
          <w:p>
            <w:pPr>
              <w:spacing w:line="0" w:lineRule="atLeast"/>
              <w:jc w:val="center"/>
              <w:rPr>
                <w:rFonts w:hint="eastAsia" w:ascii="宋体" w:hAnsi="宋体" w:cs="宋体"/>
                <w:spacing w:val="-7"/>
                <w:kern w:val="2"/>
                <w:sz w:val="21"/>
                <w:szCs w:val="24"/>
                <w:lang w:bidi="zh-CN"/>
              </w:rPr>
            </w:pPr>
            <w:r>
              <w:rPr>
                <w:rFonts w:hint="eastAsia" w:ascii="宋体" w:hAnsi="宋体" w:cs="宋体"/>
                <w:spacing w:val="-7"/>
                <w:kern w:val="2"/>
                <w:sz w:val="21"/>
                <w:szCs w:val="24"/>
                <w:lang w:eastAsia="zh-CN" w:bidi="zh-CN"/>
              </w:rPr>
              <w:t>0760-85550222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4590" w:type="dxa"/>
            <w:gridSpan w:val="4"/>
            <w:tcBorders>
              <w:tl2br w:val="nil"/>
              <w:tr2bl w:val="nil"/>
            </w:tcBorders>
            <w:shd w:val="clear" w:color="auto" w:fill="auto"/>
            <w:vAlign w:val="center"/>
          </w:tcPr>
          <w:p>
            <w:pPr>
              <w:spacing w:line="0" w:lineRule="atLeast"/>
              <w:jc w:val="center"/>
              <w:rPr>
                <w:rFonts w:hint="eastAsia" w:ascii="宋体" w:hAnsi="宋体" w:cs="宋体"/>
                <w:spacing w:val="-7"/>
                <w:kern w:val="2"/>
                <w:sz w:val="21"/>
                <w:szCs w:val="24"/>
                <w:lang w:eastAsia="zh-CN" w:bidi="zh-CN"/>
              </w:rPr>
            </w:pPr>
            <w:r>
              <w:rPr>
                <w:rFonts w:hint="eastAsia" w:ascii="宋体" w:hAnsi="宋体" w:cs="宋体"/>
                <w:spacing w:val="-7"/>
                <w:kern w:val="2"/>
                <w:sz w:val="21"/>
                <w:szCs w:val="24"/>
                <w:lang w:eastAsia="zh-CN" w:bidi="zh-CN"/>
              </w:rPr>
              <w:t>中山沙仔社区</w:t>
            </w:r>
          </w:p>
        </w:tc>
        <w:tc>
          <w:tcPr>
            <w:tcW w:w="4590" w:type="dxa"/>
            <w:gridSpan w:val="4"/>
            <w:tcBorders>
              <w:tl2br w:val="nil"/>
              <w:tr2bl w:val="nil"/>
            </w:tcBorders>
            <w:shd w:val="clear" w:color="auto" w:fill="auto"/>
            <w:vAlign w:val="center"/>
          </w:tcPr>
          <w:p>
            <w:pPr>
              <w:spacing w:line="0" w:lineRule="atLeast"/>
              <w:jc w:val="center"/>
              <w:rPr>
                <w:rFonts w:hint="eastAsia" w:ascii="宋体" w:hAnsi="宋体" w:cs="宋体"/>
                <w:spacing w:val="-7"/>
                <w:kern w:val="2"/>
                <w:sz w:val="21"/>
                <w:szCs w:val="24"/>
                <w:lang w:bidi="zh-CN"/>
              </w:rPr>
            </w:pPr>
            <w:r>
              <w:rPr>
                <w:rFonts w:hint="eastAsia" w:ascii="宋体" w:hAnsi="宋体" w:cs="宋体"/>
                <w:spacing w:val="-7"/>
                <w:kern w:val="2"/>
                <w:sz w:val="21"/>
                <w:szCs w:val="24"/>
                <w:lang w:bidi="zh-CN"/>
              </w:rPr>
              <w:t>杨</w:t>
            </w:r>
            <w:r>
              <w:rPr>
                <w:rFonts w:hint="eastAsia" w:ascii="宋体" w:hAnsi="宋体" w:cs="宋体"/>
                <w:spacing w:val="-7"/>
                <w:kern w:val="2"/>
                <w:sz w:val="21"/>
                <w:szCs w:val="24"/>
                <w:lang w:eastAsia="zh-CN" w:bidi="zh-CN"/>
              </w:rPr>
              <w:t>先生：</w:t>
            </w:r>
            <w:r>
              <w:rPr>
                <w:rFonts w:hint="eastAsia" w:ascii="宋体" w:hAnsi="宋体" w:cs="宋体"/>
                <w:spacing w:val="-7"/>
                <w:kern w:val="2"/>
                <w:sz w:val="21"/>
                <w:szCs w:val="24"/>
                <w:lang w:bidi="zh-CN"/>
              </w:rPr>
              <w:t>13928120968</w:t>
            </w:r>
          </w:p>
          <w:p>
            <w:pPr>
              <w:spacing w:line="0" w:lineRule="atLeast"/>
              <w:jc w:val="center"/>
              <w:rPr>
                <w:rFonts w:hint="eastAsia" w:ascii="宋体" w:hAnsi="宋体" w:cs="宋体"/>
                <w:spacing w:val="-7"/>
                <w:kern w:val="2"/>
                <w:sz w:val="21"/>
                <w:szCs w:val="24"/>
                <w:lang w:bidi="zh-CN"/>
              </w:rPr>
            </w:pPr>
            <w:r>
              <w:rPr>
                <w:rFonts w:hint="eastAsia" w:ascii="宋体" w:hAnsi="宋体" w:cs="宋体"/>
                <w:spacing w:val="-7"/>
                <w:kern w:val="2"/>
                <w:sz w:val="21"/>
                <w:szCs w:val="24"/>
                <w:lang w:bidi="zh-CN"/>
              </w:rPr>
              <w:t>吴</w:t>
            </w:r>
            <w:r>
              <w:rPr>
                <w:rFonts w:hint="eastAsia" w:ascii="宋体" w:hAnsi="宋体" w:cs="宋体"/>
                <w:spacing w:val="-7"/>
                <w:kern w:val="2"/>
                <w:sz w:val="21"/>
                <w:szCs w:val="24"/>
                <w:lang w:eastAsia="zh-CN" w:bidi="zh-CN"/>
              </w:rPr>
              <w:t>小姐：</w:t>
            </w:r>
            <w:r>
              <w:rPr>
                <w:rFonts w:hint="eastAsia" w:ascii="宋体" w:hAnsi="宋体" w:cs="宋体"/>
                <w:spacing w:val="-7"/>
                <w:kern w:val="2"/>
                <w:sz w:val="21"/>
                <w:szCs w:val="24"/>
                <w:lang w:bidi="zh-CN"/>
              </w:rPr>
              <w:t>13702512817</w:t>
            </w:r>
          </w:p>
        </w:tc>
      </w:tr>
    </w:tbl>
    <w:p/>
    <w:p/>
    <w:p/>
    <w:p/>
    <w:p/>
    <w:p/>
    <w:p/>
    <w:p/>
    <w:p/>
    <w:p/>
    <w:p/>
    <w:p>
      <w:pPr>
        <w:jc w:val="center"/>
        <w:rPr>
          <w:rFonts w:hint="eastAsia" w:eastAsia="宋体"/>
          <w:lang w:eastAsia="zh-CN"/>
        </w:rPr>
      </w:pPr>
      <w:r>
        <w:rPr>
          <w:rFonts w:hint="eastAsia"/>
          <w:lang w:eastAsia="zh-CN"/>
        </w:rPr>
        <w:t>废水收集暂存设施事故现场应急处置卡</w:t>
      </w:r>
    </w:p>
    <w:tbl>
      <w:tblPr>
        <w:tblStyle w:val="42"/>
        <w:tblW w:w="9180" w:type="dxa"/>
        <w:jc w:val="cente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Layout w:type="fixed"/>
        <w:tblCellMar>
          <w:top w:w="0" w:type="dxa"/>
          <w:left w:w="0" w:type="dxa"/>
          <w:bottom w:w="0" w:type="dxa"/>
          <w:right w:w="0" w:type="dxa"/>
        </w:tblCellMar>
      </w:tblPr>
      <w:tblGrid>
        <w:gridCol w:w="1475"/>
        <w:gridCol w:w="1649"/>
        <w:gridCol w:w="527"/>
        <w:gridCol w:w="939"/>
        <w:gridCol w:w="1472"/>
        <w:gridCol w:w="284"/>
        <w:gridCol w:w="1032"/>
        <w:gridCol w:w="1802"/>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Layout w:type="fixed"/>
          <w:tblCellMar>
            <w:top w:w="0" w:type="dxa"/>
            <w:left w:w="0" w:type="dxa"/>
            <w:bottom w:w="0" w:type="dxa"/>
            <w:right w:w="0" w:type="dxa"/>
          </w:tblCellMar>
        </w:tblPrEx>
        <w:trPr>
          <w:trHeight w:val="90" w:hRule="atLeast"/>
          <w:jc w:val="center"/>
        </w:trPr>
        <w:tc>
          <w:tcPr>
            <w:tcW w:w="9180" w:type="dxa"/>
            <w:gridSpan w:val="8"/>
            <w:tcBorders>
              <w:tl2br w:val="nil"/>
              <w:tr2bl w:val="nil"/>
            </w:tcBorders>
            <w:shd w:val="clear" w:color="auto" w:fill="auto"/>
          </w:tcPr>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基本情况</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247" w:hRule="atLeast"/>
          <w:jc w:val="center"/>
        </w:trPr>
        <w:tc>
          <w:tcPr>
            <w:tcW w:w="1475" w:type="dxa"/>
            <w:tcBorders>
              <w:tl2br w:val="nil"/>
              <w:tr2bl w:val="nil"/>
            </w:tcBorders>
            <w:shd w:val="clear" w:color="auto" w:fill="auto"/>
          </w:tcPr>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危险物质</w:t>
            </w:r>
          </w:p>
        </w:tc>
        <w:tc>
          <w:tcPr>
            <w:tcW w:w="2176" w:type="dxa"/>
            <w:gridSpan w:val="2"/>
            <w:tcBorders>
              <w:tl2br w:val="nil"/>
              <w:tr2bl w:val="nil"/>
            </w:tcBorders>
            <w:shd w:val="clear" w:color="auto" w:fill="auto"/>
          </w:tcPr>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消化液、沼液</w:t>
            </w:r>
          </w:p>
        </w:tc>
        <w:tc>
          <w:tcPr>
            <w:tcW w:w="2695" w:type="dxa"/>
            <w:gridSpan w:val="3"/>
            <w:tcBorders>
              <w:tl2br w:val="nil"/>
              <w:tr2bl w:val="nil"/>
            </w:tcBorders>
            <w:shd w:val="clear" w:color="auto" w:fill="auto"/>
          </w:tcPr>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可能发生的事故类型</w:t>
            </w:r>
          </w:p>
        </w:tc>
        <w:tc>
          <w:tcPr>
            <w:tcW w:w="2834" w:type="dxa"/>
            <w:gridSpan w:val="2"/>
            <w:tcBorders>
              <w:tl2br w:val="nil"/>
              <w:tr2bl w:val="nil"/>
            </w:tcBorders>
            <w:shd w:val="clear" w:color="auto" w:fill="auto"/>
          </w:tcPr>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废水事故排放</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1475" w:type="dxa"/>
            <w:tcBorders>
              <w:tl2br w:val="nil"/>
              <w:tr2bl w:val="nil"/>
            </w:tcBorders>
            <w:shd w:val="clear" w:color="auto" w:fill="auto"/>
          </w:tcPr>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事故发生区域</w:t>
            </w:r>
          </w:p>
        </w:tc>
        <w:tc>
          <w:tcPr>
            <w:tcW w:w="7705" w:type="dxa"/>
            <w:gridSpan w:val="7"/>
            <w:tcBorders>
              <w:tl2br w:val="nil"/>
              <w:tr2bl w:val="nil"/>
            </w:tcBorders>
            <w:shd w:val="clear" w:color="auto" w:fill="auto"/>
          </w:tcPr>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eastAsia="zh-CN" w:bidi="zh-CN"/>
              </w:rPr>
              <w:t>废水输送管道、消化液、沼液缓冲池</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1475" w:type="dxa"/>
            <w:tcBorders>
              <w:tl2br w:val="nil"/>
              <w:tr2bl w:val="nil"/>
            </w:tcBorders>
            <w:shd w:val="clear" w:color="auto" w:fill="auto"/>
          </w:tcPr>
          <w:p>
            <w:pPr>
              <w:spacing w:line="0" w:lineRule="atLeast"/>
              <w:rPr>
                <w:rFonts w:ascii="宋体" w:hAnsi="宋体" w:cs="宋体"/>
                <w:spacing w:val="-7"/>
                <w:kern w:val="2"/>
                <w:sz w:val="21"/>
                <w:szCs w:val="24"/>
                <w:lang w:bidi="zh-CN"/>
              </w:rPr>
            </w:pPr>
          </w:p>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事故危害程度</w:t>
            </w:r>
          </w:p>
        </w:tc>
        <w:tc>
          <w:tcPr>
            <w:tcW w:w="7705" w:type="dxa"/>
            <w:gridSpan w:val="7"/>
            <w:tcBorders>
              <w:tl2br w:val="nil"/>
              <w:tr2bl w:val="nil"/>
            </w:tcBorders>
            <w:shd w:val="clear" w:color="auto" w:fill="auto"/>
          </w:tcPr>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废水事故排放可能对周边水环境造成污染，恶臭污染物等随空气受风力作用可能会影响周边企业、居民区人员。</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1475" w:type="dxa"/>
            <w:tcBorders>
              <w:tl2br w:val="nil"/>
              <w:tr2bl w:val="nil"/>
            </w:tcBorders>
            <w:shd w:val="clear" w:color="auto" w:fill="auto"/>
          </w:tcPr>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处置程序</w:t>
            </w:r>
          </w:p>
        </w:tc>
        <w:tc>
          <w:tcPr>
            <w:tcW w:w="5903" w:type="dxa"/>
            <w:gridSpan w:val="6"/>
            <w:tcBorders>
              <w:tl2br w:val="nil"/>
              <w:tr2bl w:val="nil"/>
            </w:tcBorders>
            <w:shd w:val="clear" w:color="auto" w:fill="auto"/>
          </w:tcPr>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处置措施</w:t>
            </w:r>
          </w:p>
        </w:tc>
        <w:tc>
          <w:tcPr>
            <w:tcW w:w="1802" w:type="dxa"/>
            <w:tcBorders>
              <w:tl2br w:val="nil"/>
              <w:tr2bl w:val="nil"/>
            </w:tcBorders>
            <w:shd w:val="clear" w:color="auto" w:fill="auto"/>
          </w:tcPr>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责任人或责任单位</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1475" w:type="dxa"/>
            <w:vMerge w:val="restart"/>
            <w:tcBorders>
              <w:tl2br w:val="nil"/>
              <w:tr2bl w:val="nil"/>
            </w:tcBorders>
            <w:shd w:val="clear" w:color="auto" w:fill="auto"/>
          </w:tcPr>
          <w:p>
            <w:pPr>
              <w:spacing w:line="0" w:lineRule="atLeast"/>
              <w:rPr>
                <w:rFonts w:ascii="宋体" w:hAnsi="宋体" w:cs="宋体"/>
                <w:spacing w:val="-7"/>
                <w:kern w:val="2"/>
                <w:sz w:val="21"/>
                <w:szCs w:val="24"/>
                <w:lang w:bidi="zh-CN"/>
              </w:rPr>
            </w:pPr>
          </w:p>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事故报告</w:t>
            </w:r>
          </w:p>
        </w:tc>
        <w:tc>
          <w:tcPr>
            <w:tcW w:w="5903" w:type="dxa"/>
            <w:gridSpan w:val="6"/>
            <w:tcBorders>
              <w:tl2br w:val="nil"/>
              <w:tr2bl w:val="nil"/>
            </w:tcBorders>
            <w:shd w:val="clear" w:color="auto" w:fill="auto"/>
          </w:tcPr>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向本车间、生产主管报告，内容包括事故地点、类型及影响范围。</w:t>
            </w:r>
          </w:p>
        </w:tc>
        <w:tc>
          <w:tcPr>
            <w:tcW w:w="1802" w:type="dxa"/>
            <w:tcBorders>
              <w:tl2br w:val="nil"/>
              <w:tr2bl w:val="nil"/>
            </w:tcBorders>
            <w:shd w:val="clear" w:color="auto" w:fill="auto"/>
          </w:tcPr>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发现险情人员</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1475" w:type="dxa"/>
            <w:vMerge w:val="continue"/>
            <w:tcBorders>
              <w:tl2br w:val="nil"/>
              <w:tr2bl w:val="nil"/>
            </w:tcBorders>
            <w:shd w:val="clear" w:color="auto" w:fill="auto"/>
          </w:tcPr>
          <w:p>
            <w:pPr>
              <w:spacing w:line="0" w:lineRule="atLeast"/>
              <w:rPr>
                <w:rFonts w:ascii="宋体" w:hAnsi="宋体" w:cs="宋体"/>
                <w:spacing w:val="-7"/>
                <w:kern w:val="2"/>
                <w:sz w:val="21"/>
                <w:szCs w:val="24"/>
                <w:lang w:bidi="zh-CN"/>
              </w:rPr>
            </w:pPr>
          </w:p>
        </w:tc>
        <w:tc>
          <w:tcPr>
            <w:tcW w:w="5903" w:type="dxa"/>
            <w:gridSpan w:val="6"/>
            <w:tcBorders>
              <w:tl2br w:val="nil"/>
              <w:tr2bl w:val="nil"/>
            </w:tcBorders>
            <w:shd w:val="clear" w:color="auto" w:fill="auto"/>
          </w:tcPr>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向公司应急救援指挥部报告，内容包括事故地点、类型影响范围和已采取的应急救援措施。</w:t>
            </w:r>
          </w:p>
        </w:tc>
        <w:tc>
          <w:tcPr>
            <w:tcW w:w="1802" w:type="dxa"/>
            <w:tcBorders>
              <w:tl2br w:val="nil"/>
              <w:tr2bl w:val="nil"/>
            </w:tcBorders>
            <w:shd w:val="clear" w:color="auto" w:fill="auto"/>
          </w:tcPr>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车间、部门主管</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1475" w:type="dxa"/>
            <w:tcBorders>
              <w:tl2br w:val="nil"/>
              <w:tr2bl w:val="nil"/>
            </w:tcBorders>
            <w:shd w:val="clear" w:color="auto" w:fill="auto"/>
          </w:tcPr>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应急准备</w:t>
            </w:r>
          </w:p>
        </w:tc>
        <w:tc>
          <w:tcPr>
            <w:tcW w:w="5903" w:type="dxa"/>
            <w:gridSpan w:val="6"/>
            <w:tcBorders>
              <w:tl2br w:val="nil"/>
              <w:tr2bl w:val="nil"/>
            </w:tcBorders>
            <w:shd w:val="clear" w:color="auto" w:fill="auto"/>
          </w:tcPr>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针对不同事故类型，准备应急抢修物资，组织应急小组人员进行救援。</w:t>
            </w:r>
          </w:p>
        </w:tc>
        <w:tc>
          <w:tcPr>
            <w:tcW w:w="1802" w:type="dxa"/>
            <w:tcBorders>
              <w:tl2br w:val="nil"/>
              <w:tr2bl w:val="nil"/>
            </w:tcBorders>
            <w:shd w:val="clear" w:color="auto" w:fill="auto"/>
          </w:tcPr>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应急指挥部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431" w:hRule="atLeast"/>
          <w:jc w:val="center"/>
        </w:trPr>
        <w:tc>
          <w:tcPr>
            <w:tcW w:w="1475" w:type="dxa"/>
            <w:tcBorders>
              <w:tl2br w:val="nil"/>
              <w:tr2bl w:val="nil"/>
            </w:tcBorders>
            <w:shd w:val="clear" w:color="auto" w:fill="auto"/>
          </w:tcPr>
          <w:p>
            <w:pPr>
              <w:spacing w:line="0" w:lineRule="atLeast"/>
              <w:rPr>
                <w:rFonts w:ascii="宋体" w:hAnsi="宋体" w:cs="宋体"/>
                <w:spacing w:val="-7"/>
                <w:kern w:val="2"/>
                <w:sz w:val="21"/>
                <w:szCs w:val="24"/>
                <w:lang w:bidi="zh-CN"/>
              </w:rPr>
            </w:pPr>
          </w:p>
          <w:p>
            <w:pPr>
              <w:spacing w:line="0" w:lineRule="atLeast"/>
              <w:rPr>
                <w:rFonts w:ascii="宋体" w:hAnsi="宋体" w:cs="宋体"/>
                <w:spacing w:val="-7"/>
                <w:kern w:val="2"/>
                <w:sz w:val="21"/>
                <w:szCs w:val="24"/>
                <w:lang w:bidi="zh-CN"/>
              </w:rPr>
            </w:pPr>
          </w:p>
          <w:p>
            <w:pPr>
              <w:spacing w:line="0" w:lineRule="atLeast"/>
              <w:rPr>
                <w:rFonts w:ascii="宋体" w:hAnsi="宋体" w:cs="宋体"/>
                <w:spacing w:val="-7"/>
                <w:kern w:val="2"/>
                <w:sz w:val="21"/>
                <w:szCs w:val="24"/>
                <w:lang w:bidi="zh-CN"/>
              </w:rPr>
            </w:pPr>
          </w:p>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现场处置</w:t>
            </w:r>
          </w:p>
        </w:tc>
        <w:tc>
          <w:tcPr>
            <w:tcW w:w="7705" w:type="dxa"/>
            <w:gridSpan w:val="7"/>
            <w:tcBorders>
              <w:tl2br w:val="nil"/>
              <w:tr2bl w:val="nil"/>
            </w:tcBorders>
            <w:shd w:val="clear" w:color="auto" w:fill="auto"/>
          </w:tcPr>
          <w:p>
            <w:pPr>
              <w:numPr>
                <w:ilvl w:val="0"/>
                <w:numId w:val="0"/>
              </w:numPr>
              <w:spacing w:line="0" w:lineRule="atLeast"/>
              <w:rPr>
                <w:rFonts w:hint="eastAsia" w:ascii="宋体" w:hAnsi="宋体" w:cs="宋体"/>
                <w:spacing w:val="-7"/>
                <w:kern w:val="2"/>
                <w:sz w:val="21"/>
                <w:szCs w:val="24"/>
                <w:lang w:bidi="zh-CN"/>
              </w:rPr>
            </w:pPr>
            <w:r>
              <w:rPr>
                <w:rFonts w:hint="eastAsia" w:ascii="宋体" w:hAnsi="宋体" w:cs="宋体"/>
                <w:spacing w:val="-7"/>
                <w:kern w:val="2"/>
                <w:sz w:val="21"/>
                <w:szCs w:val="24"/>
                <w:lang w:bidi="zh-CN"/>
              </w:rPr>
              <w:t>废水输送管道出现泄漏时</w:t>
            </w:r>
          </w:p>
          <w:p>
            <w:pPr>
              <w:numPr>
                <w:ilvl w:val="0"/>
                <w:numId w:val="0"/>
              </w:numPr>
              <w:spacing w:line="0" w:lineRule="atLeast"/>
              <w:rPr>
                <w:rFonts w:hint="eastAsia" w:ascii="宋体" w:hAnsi="宋体" w:cs="宋体"/>
                <w:spacing w:val="-7"/>
                <w:kern w:val="2"/>
                <w:sz w:val="21"/>
                <w:szCs w:val="24"/>
                <w:lang w:eastAsia="zh-CN" w:bidi="zh-CN"/>
              </w:rPr>
            </w:pPr>
            <w:r>
              <w:rPr>
                <w:rFonts w:hint="eastAsia" w:ascii="宋体" w:hAnsi="宋体" w:cs="宋体"/>
                <w:spacing w:val="-7"/>
                <w:kern w:val="2"/>
                <w:sz w:val="21"/>
                <w:szCs w:val="24"/>
                <w:lang w:bidi="zh-CN"/>
              </w:rPr>
              <w:t>（</w:t>
            </w:r>
            <w:r>
              <w:rPr>
                <w:rFonts w:hint="eastAsia" w:ascii="宋体" w:hAnsi="宋体" w:cs="宋体"/>
                <w:spacing w:val="-7"/>
                <w:kern w:val="2"/>
                <w:sz w:val="21"/>
                <w:szCs w:val="24"/>
                <w:lang w:val="en-US" w:bidi="zh-CN"/>
              </w:rPr>
              <w:t>1</w:t>
            </w:r>
            <w:r>
              <w:rPr>
                <w:rFonts w:hint="eastAsia" w:ascii="宋体" w:hAnsi="宋体" w:cs="宋体"/>
                <w:spacing w:val="-7"/>
                <w:kern w:val="2"/>
                <w:sz w:val="21"/>
                <w:szCs w:val="24"/>
                <w:lang w:bidi="zh-CN"/>
              </w:rPr>
              <w:t>）当班人员</w:t>
            </w:r>
            <w:r>
              <w:rPr>
                <w:rFonts w:hint="eastAsia" w:ascii="宋体" w:hAnsi="宋体" w:cs="宋体"/>
                <w:spacing w:val="-7"/>
                <w:kern w:val="2"/>
                <w:sz w:val="21"/>
                <w:szCs w:val="24"/>
                <w:lang w:eastAsia="zh-CN" w:bidi="zh-CN"/>
              </w:rPr>
              <w:t>应立即停止相关作业，关闭相关设备及阀门；</w:t>
            </w:r>
          </w:p>
          <w:p>
            <w:pPr>
              <w:spacing w:line="0" w:lineRule="atLeast"/>
              <w:rPr>
                <w:rFonts w:hint="eastAsia" w:ascii="宋体" w:hAnsi="宋体" w:cs="宋体"/>
                <w:spacing w:val="-7"/>
                <w:kern w:val="2"/>
                <w:sz w:val="21"/>
                <w:szCs w:val="24"/>
                <w:lang w:bidi="zh-CN"/>
              </w:rPr>
            </w:pPr>
            <w:r>
              <w:rPr>
                <w:rFonts w:hint="eastAsia" w:ascii="宋体" w:hAnsi="宋体" w:cs="宋体"/>
                <w:spacing w:val="-7"/>
                <w:kern w:val="2"/>
                <w:sz w:val="21"/>
                <w:szCs w:val="24"/>
                <w:lang w:eastAsia="zh-CN" w:bidi="zh-CN"/>
              </w:rPr>
              <w:t>（</w:t>
            </w:r>
            <w:r>
              <w:rPr>
                <w:rFonts w:hint="eastAsia" w:ascii="宋体" w:hAnsi="宋体" w:cs="宋体"/>
                <w:spacing w:val="-7"/>
                <w:kern w:val="2"/>
                <w:sz w:val="21"/>
                <w:szCs w:val="24"/>
                <w:lang w:val="en-US" w:eastAsia="zh-CN" w:bidi="zh-CN"/>
              </w:rPr>
              <w:t>2</w:t>
            </w:r>
            <w:r>
              <w:rPr>
                <w:rFonts w:hint="eastAsia" w:ascii="宋体" w:hAnsi="宋体" w:cs="宋体"/>
                <w:spacing w:val="-7"/>
                <w:kern w:val="2"/>
                <w:sz w:val="21"/>
                <w:szCs w:val="24"/>
                <w:lang w:eastAsia="zh-CN" w:bidi="zh-CN"/>
              </w:rPr>
              <w:t>）应急救援人员</w:t>
            </w:r>
            <w:r>
              <w:rPr>
                <w:rFonts w:hint="eastAsia" w:ascii="宋体" w:hAnsi="宋体" w:cs="宋体"/>
                <w:spacing w:val="-7"/>
                <w:kern w:val="2"/>
                <w:sz w:val="21"/>
                <w:szCs w:val="24"/>
                <w:lang w:bidi="zh-CN"/>
              </w:rPr>
              <w:t>应在避免与泄漏物直接接触的前提下，</w:t>
            </w:r>
            <w:r>
              <w:rPr>
                <w:rFonts w:hint="eastAsia" w:ascii="宋体" w:hAnsi="宋体" w:cs="宋体"/>
                <w:spacing w:val="-7"/>
                <w:kern w:val="2"/>
                <w:sz w:val="21"/>
                <w:szCs w:val="24"/>
                <w:lang w:eastAsia="zh-CN" w:bidi="zh-CN"/>
              </w:rPr>
              <w:t>对泄露区域进行围堵，并尽快修复管道；</w:t>
            </w:r>
          </w:p>
          <w:p>
            <w:pPr>
              <w:spacing w:line="0" w:lineRule="atLeast"/>
              <w:rPr>
                <w:rFonts w:hint="eastAsia" w:ascii="宋体" w:hAnsi="宋体" w:cs="宋体"/>
                <w:spacing w:val="-7"/>
                <w:kern w:val="2"/>
                <w:sz w:val="21"/>
                <w:szCs w:val="24"/>
                <w:lang w:eastAsia="zh-CN" w:bidi="zh-CN"/>
              </w:rPr>
            </w:pPr>
            <w:r>
              <w:rPr>
                <w:rFonts w:hint="eastAsia" w:ascii="宋体" w:hAnsi="宋体" w:cs="宋体"/>
                <w:spacing w:val="-7"/>
                <w:kern w:val="2"/>
                <w:sz w:val="21"/>
                <w:szCs w:val="24"/>
                <w:lang w:bidi="zh-CN"/>
              </w:rPr>
              <w:t>（</w:t>
            </w:r>
            <w:r>
              <w:rPr>
                <w:rFonts w:hint="eastAsia" w:ascii="宋体" w:hAnsi="宋体" w:cs="宋体"/>
                <w:spacing w:val="-7"/>
                <w:kern w:val="2"/>
                <w:sz w:val="21"/>
                <w:szCs w:val="24"/>
                <w:lang w:val="en-US" w:eastAsia="zh-CN" w:bidi="zh-CN"/>
              </w:rPr>
              <w:t>3</w:t>
            </w:r>
            <w:r>
              <w:rPr>
                <w:rFonts w:hint="eastAsia" w:ascii="宋体" w:hAnsi="宋体" w:cs="宋体"/>
                <w:spacing w:val="-7"/>
                <w:kern w:val="2"/>
                <w:sz w:val="21"/>
                <w:szCs w:val="24"/>
                <w:lang w:bidi="zh-CN"/>
              </w:rPr>
              <w:t>）对泄漏区域进行清</w:t>
            </w:r>
            <w:r>
              <w:rPr>
                <w:rFonts w:hint="eastAsia" w:ascii="宋体" w:hAnsi="宋体" w:cs="宋体"/>
                <w:spacing w:val="-7"/>
                <w:kern w:val="2"/>
                <w:sz w:val="21"/>
                <w:szCs w:val="24"/>
                <w:lang w:eastAsia="zh-CN" w:bidi="zh-CN"/>
              </w:rPr>
              <w:t>洗，洗消废水暂存至事故应急池内，</w:t>
            </w:r>
            <w:r>
              <w:rPr>
                <w:rFonts w:hint="eastAsia" w:ascii="宋体" w:hAnsi="宋体" w:cs="宋体"/>
                <w:spacing w:val="-7"/>
                <w:kern w:val="2"/>
                <w:sz w:val="21"/>
                <w:szCs w:val="24"/>
                <w:lang w:bidi="zh-CN"/>
              </w:rPr>
              <w:t>待事故得到控制后，再将泄漏</w:t>
            </w:r>
            <w:r>
              <w:rPr>
                <w:rFonts w:hint="eastAsia" w:ascii="宋体" w:hAnsi="宋体" w:cs="宋体"/>
                <w:spacing w:val="-7"/>
                <w:kern w:val="2"/>
                <w:sz w:val="21"/>
                <w:szCs w:val="24"/>
                <w:lang w:eastAsia="zh-CN" w:bidi="zh-CN"/>
              </w:rPr>
              <w:t>物</w:t>
            </w:r>
            <w:r>
              <w:rPr>
                <w:rFonts w:hint="eastAsia" w:ascii="宋体" w:hAnsi="宋体" w:cs="宋体"/>
                <w:spacing w:val="-7"/>
                <w:kern w:val="2"/>
                <w:sz w:val="21"/>
                <w:szCs w:val="24"/>
                <w:lang w:bidi="zh-CN"/>
              </w:rPr>
              <w:t>作进一步处理</w:t>
            </w:r>
            <w:r>
              <w:rPr>
                <w:rFonts w:hint="eastAsia" w:ascii="宋体" w:hAnsi="宋体" w:cs="宋体"/>
                <w:spacing w:val="-7"/>
                <w:kern w:val="2"/>
                <w:sz w:val="21"/>
                <w:szCs w:val="24"/>
                <w:lang w:eastAsia="zh-CN" w:bidi="zh-CN"/>
              </w:rPr>
              <w:t>；</w:t>
            </w:r>
          </w:p>
          <w:p>
            <w:pPr>
              <w:numPr>
                <w:ilvl w:val="0"/>
                <w:numId w:val="0"/>
              </w:numPr>
              <w:spacing w:line="0" w:lineRule="atLeast"/>
              <w:rPr>
                <w:rFonts w:hint="eastAsia" w:ascii="宋体" w:hAnsi="宋体" w:cs="宋体"/>
                <w:spacing w:val="-7"/>
                <w:kern w:val="2"/>
                <w:sz w:val="21"/>
                <w:szCs w:val="24"/>
                <w:lang w:bidi="zh-CN"/>
              </w:rPr>
            </w:pPr>
            <w:r>
              <w:rPr>
                <w:rFonts w:hint="eastAsia" w:ascii="宋体" w:hAnsi="宋体" w:cs="宋体"/>
                <w:spacing w:val="-7"/>
                <w:kern w:val="2"/>
                <w:sz w:val="21"/>
                <w:szCs w:val="24"/>
                <w:lang w:bidi="zh-CN"/>
              </w:rPr>
              <w:t>废水输送管道出现泄漏时</w:t>
            </w:r>
          </w:p>
          <w:p>
            <w:pPr>
              <w:spacing w:line="0" w:lineRule="atLeast"/>
              <w:rPr>
                <w:rFonts w:hint="eastAsia" w:ascii="宋体" w:hAnsi="宋体" w:cs="宋体"/>
                <w:spacing w:val="-7"/>
                <w:kern w:val="2"/>
                <w:sz w:val="21"/>
                <w:szCs w:val="24"/>
                <w:lang w:eastAsia="zh-CN" w:bidi="zh-CN"/>
              </w:rPr>
            </w:pPr>
            <w:r>
              <w:rPr>
                <w:rFonts w:hint="eastAsia" w:ascii="宋体" w:hAnsi="宋体" w:cs="宋体"/>
                <w:spacing w:val="-7"/>
                <w:kern w:val="2"/>
                <w:sz w:val="21"/>
                <w:szCs w:val="24"/>
                <w:lang w:eastAsia="zh-CN" w:bidi="zh-CN"/>
              </w:rPr>
              <w:t>消化液或沼液缓冲池出现泄露时</w:t>
            </w:r>
          </w:p>
          <w:p>
            <w:pPr>
              <w:numPr>
                <w:ilvl w:val="0"/>
                <w:numId w:val="16"/>
              </w:numPr>
              <w:spacing w:line="0" w:lineRule="atLeast"/>
              <w:rPr>
                <w:rFonts w:hint="eastAsia" w:ascii="宋体" w:hAnsi="宋体" w:cs="宋体"/>
                <w:spacing w:val="-7"/>
                <w:kern w:val="2"/>
                <w:sz w:val="21"/>
                <w:szCs w:val="24"/>
                <w:lang w:eastAsia="zh-CN" w:bidi="zh-CN"/>
              </w:rPr>
            </w:pPr>
            <w:r>
              <w:rPr>
                <w:rFonts w:hint="eastAsia" w:ascii="宋体" w:hAnsi="宋体" w:cs="宋体"/>
                <w:spacing w:val="-7"/>
                <w:kern w:val="2"/>
                <w:sz w:val="21"/>
                <w:szCs w:val="24"/>
                <w:lang w:eastAsia="zh-CN" w:bidi="zh-CN"/>
              </w:rPr>
              <w:t>当班人员应立即停止相关作业，关闭相关设备及阀门；</w:t>
            </w:r>
          </w:p>
          <w:p>
            <w:pPr>
              <w:numPr>
                <w:ilvl w:val="0"/>
                <w:numId w:val="16"/>
              </w:numPr>
              <w:spacing w:line="0" w:lineRule="atLeast"/>
              <w:ind w:left="0" w:leftChars="0" w:firstLine="0" w:firstLineChars="0"/>
              <w:rPr>
                <w:rFonts w:hint="eastAsia" w:ascii="宋体" w:hAnsi="宋体" w:cs="宋体"/>
                <w:spacing w:val="-7"/>
                <w:kern w:val="2"/>
                <w:sz w:val="21"/>
                <w:szCs w:val="24"/>
                <w:lang w:eastAsia="zh-CN" w:bidi="zh-CN"/>
              </w:rPr>
            </w:pPr>
            <w:r>
              <w:rPr>
                <w:rFonts w:hint="eastAsia" w:ascii="宋体" w:hAnsi="宋体" w:cs="宋体"/>
                <w:spacing w:val="-7"/>
                <w:kern w:val="2"/>
                <w:sz w:val="21"/>
                <w:szCs w:val="24"/>
                <w:lang w:eastAsia="zh-CN" w:bidi="zh-CN"/>
              </w:rPr>
              <w:t>应急救援人员应立即关闭雨水总排口阀门；</w:t>
            </w:r>
          </w:p>
          <w:p>
            <w:pPr>
              <w:numPr>
                <w:ilvl w:val="0"/>
                <w:numId w:val="16"/>
              </w:numPr>
              <w:spacing w:line="0" w:lineRule="atLeast"/>
              <w:ind w:left="0" w:leftChars="0" w:firstLine="0" w:firstLineChars="0"/>
              <w:rPr>
                <w:rFonts w:hint="eastAsia" w:ascii="宋体" w:hAnsi="宋体" w:cs="宋体"/>
                <w:spacing w:val="-7"/>
                <w:kern w:val="2"/>
                <w:sz w:val="21"/>
                <w:szCs w:val="24"/>
                <w:lang w:eastAsia="zh-CN" w:bidi="zh-CN"/>
              </w:rPr>
            </w:pPr>
            <w:r>
              <w:rPr>
                <w:rFonts w:hint="eastAsia" w:ascii="宋体" w:hAnsi="宋体" w:cs="宋体"/>
                <w:spacing w:val="-7"/>
                <w:kern w:val="2"/>
                <w:sz w:val="21"/>
                <w:szCs w:val="24"/>
                <w:lang w:eastAsia="zh-CN" w:bidi="zh-CN"/>
              </w:rPr>
              <w:t>在避免与泄漏物直接接触的前提下，将缓冲池内消化液或沼液，及雨水管网内泄漏物质，泵至事故应急池内，</w:t>
            </w:r>
          </w:p>
          <w:p>
            <w:pPr>
              <w:numPr>
                <w:ilvl w:val="0"/>
                <w:numId w:val="16"/>
              </w:numPr>
              <w:spacing w:line="0" w:lineRule="atLeast"/>
              <w:ind w:left="0" w:leftChars="0" w:firstLine="0" w:firstLineChars="0"/>
              <w:rPr>
                <w:rFonts w:hint="eastAsia" w:ascii="宋体" w:hAnsi="宋体" w:cs="宋体"/>
                <w:spacing w:val="-7"/>
                <w:kern w:val="2"/>
                <w:sz w:val="21"/>
                <w:szCs w:val="24"/>
                <w:lang w:eastAsia="zh-CN" w:bidi="zh-CN"/>
              </w:rPr>
            </w:pPr>
            <w:r>
              <w:rPr>
                <w:rFonts w:hint="eastAsia" w:ascii="宋体" w:hAnsi="宋体" w:cs="宋体"/>
                <w:spacing w:val="-7"/>
                <w:kern w:val="2"/>
                <w:sz w:val="21"/>
                <w:szCs w:val="24"/>
                <w:lang w:eastAsia="zh-CN" w:bidi="zh-CN"/>
              </w:rPr>
              <w:t>尽快修复缓冲池；</w:t>
            </w:r>
          </w:p>
          <w:p>
            <w:pPr>
              <w:spacing w:line="0" w:lineRule="atLeast"/>
              <w:rPr>
                <w:rFonts w:hint="default" w:ascii="宋体" w:hAnsi="宋体" w:cs="宋体"/>
                <w:spacing w:val="-7"/>
                <w:kern w:val="2"/>
                <w:sz w:val="21"/>
                <w:szCs w:val="24"/>
                <w:lang w:val="en-US" w:eastAsia="zh-CN" w:bidi="zh-CN"/>
              </w:rPr>
            </w:pPr>
            <w:r>
              <w:rPr>
                <w:rFonts w:hint="eastAsia" w:ascii="宋体" w:hAnsi="宋体" w:cs="宋体"/>
                <w:spacing w:val="-7"/>
                <w:kern w:val="2"/>
                <w:sz w:val="21"/>
                <w:szCs w:val="24"/>
                <w:lang w:eastAsia="zh-CN" w:bidi="zh-CN"/>
              </w:rPr>
              <w:t>（</w:t>
            </w:r>
            <w:r>
              <w:rPr>
                <w:rFonts w:hint="eastAsia" w:ascii="宋体" w:hAnsi="宋体" w:cs="宋体"/>
                <w:spacing w:val="-7"/>
                <w:kern w:val="2"/>
                <w:sz w:val="21"/>
                <w:szCs w:val="24"/>
                <w:lang w:val="en-US" w:eastAsia="zh-CN" w:bidi="zh-CN"/>
              </w:rPr>
              <w:t>5</w:t>
            </w:r>
            <w:r>
              <w:rPr>
                <w:rFonts w:hint="eastAsia" w:ascii="宋体" w:hAnsi="宋体" w:cs="宋体"/>
                <w:spacing w:val="-7"/>
                <w:kern w:val="2"/>
                <w:sz w:val="21"/>
                <w:szCs w:val="24"/>
                <w:lang w:eastAsia="zh-CN" w:bidi="zh-CN"/>
              </w:rPr>
              <w:t>）对泄漏区域进行清洗，洗消废水暂存至事故应急池内，待事故得到控制后，再将事故应急池内泄漏物作进一步处理。</w:t>
            </w:r>
          </w:p>
          <w:p>
            <w:pPr>
              <w:spacing w:line="0" w:lineRule="atLeast"/>
              <w:rPr>
                <w:rFonts w:ascii="宋体" w:cs="宋体"/>
                <w:spacing w:val="-7"/>
                <w:kern w:val="2"/>
                <w:sz w:val="21"/>
                <w:szCs w:val="24"/>
                <w:lang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200" w:hRule="atLeast"/>
          <w:jc w:val="center"/>
        </w:trPr>
        <w:tc>
          <w:tcPr>
            <w:tcW w:w="9180" w:type="dxa"/>
            <w:gridSpan w:val="8"/>
            <w:tcBorders>
              <w:tl2br w:val="nil"/>
              <w:tr2bl w:val="nil"/>
            </w:tcBorders>
            <w:shd w:val="clear" w:color="auto" w:fill="auto"/>
          </w:tcPr>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应急人员防护、监护措施</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200" w:hRule="atLeast"/>
          <w:jc w:val="center"/>
        </w:trPr>
        <w:tc>
          <w:tcPr>
            <w:tcW w:w="9180" w:type="dxa"/>
            <w:gridSpan w:val="8"/>
            <w:tcBorders>
              <w:tl2br w:val="nil"/>
              <w:tr2bl w:val="nil"/>
            </w:tcBorders>
            <w:shd w:val="clear" w:color="auto" w:fill="auto"/>
          </w:tcPr>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应急人员应佩戴好防护用品，配带好防毒面具。</w:t>
            </w:r>
          </w:p>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提高预防爆炸、烧伤和中毒的警惕性， 避免再生事故的发生。</w:t>
            </w:r>
          </w:p>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应急救援结束后，做好现场检查、人员清点等工作。</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9180" w:type="dxa"/>
            <w:gridSpan w:val="8"/>
            <w:tcBorders>
              <w:tl2br w:val="nil"/>
              <w:tr2bl w:val="nil"/>
            </w:tcBorders>
            <w:shd w:val="clear" w:color="auto" w:fill="auto"/>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内部应急小组联系方式</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3124" w:type="dxa"/>
            <w:gridSpan w:val="2"/>
            <w:tcBorders>
              <w:tl2br w:val="nil"/>
              <w:tr2bl w:val="nil"/>
            </w:tcBorders>
            <w:shd w:val="clear" w:color="auto" w:fill="auto"/>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部门</w:t>
            </w:r>
          </w:p>
        </w:tc>
        <w:tc>
          <w:tcPr>
            <w:tcW w:w="2938" w:type="dxa"/>
            <w:gridSpan w:val="3"/>
            <w:tcBorders>
              <w:tl2br w:val="nil"/>
              <w:tr2bl w:val="nil"/>
            </w:tcBorders>
            <w:shd w:val="clear" w:color="auto" w:fill="auto"/>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负责人</w:t>
            </w:r>
          </w:p>
        </w:tc>
        <w:tc>
          <w:tcPr>
            <w:tcW w:w="3118" w:type="dxa"/>
            <w:gridSpan w:val="3"/>
            <w:tcBorders>
              <w:tl2br w:val="nil"/>
              <w:tr2bl w:val="nil"/>
            </w:tcBorders>
            <w:shd w:val="clear" w:color="auto" w:fill="auto"/>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联系方式</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3124" w:type="dxa"/>
            <w:gridSpan w:val="2"/>
            <w:tcBorders>
              <w:tl2br w:val="nil"/>
              <w:tr2bl w:val="nil"/>
            </w:tcBorders>
            <w:shd w:val="clear" w:color="auto" w:fill="auto"/>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应急抢险组</w:t>
            </w:r>
          </w:p>
        </w:tc>
        <w:tc>
          <w:tcPr>
            <w:tcW w:w="2938" w:type="dxa"/>
            <w:gridSpan w:val="3"/>
            <w:tcBorders>
              <w:tl2br w:val="nil"/>
              <w:tr2bl w:val="nil"/>
            </w:tcBorders>
            <w:shd w:val="clear" w:color="auto" w:fill="auto"/>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张琼</w:t>
            </w:r>
          </w:p>
        </w:tc>
        <w:tc>
          <w:tcPr>
            <w:tcW w:w="3118" w:type="dxa"/>
            <w:gridSpan w:val="3"/>
            <w:tcBorders>
              <w:tl2br w:val="nil"/>
              <w:tr2bl w:val="nil"/>
            </w:tcBorders>
            <w:shd w:val="clear" w:color="auto" w:fill="auto"/>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13528178106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3124" w:type="dxa"/>
            <w:gridSpan w:val="2"/>
            <w:tcBorders>
              <w:tl2br w:val="nil"/>
              <w:tr2bl w:val="nil"/>
            </w:tcBorders>
            <w:shd w:val="clear" w:color="auto" w:fill="auto"/>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警戒疏散组</w:t>
            </w:r>
          </w:p>
        </w:tc>
        <w:tc>
          <w:tcPr>
            <w:tcW w:w="2938" w:type="dxa"/>
            <w:gridSpan w:val="3"/>
            <w:tcBorders>
              <w:tl2br w:val="nil"/>
              <w:tr2bl w:val="nil"/>
            </w:tcBorders>
            <w:shd w:val="clear" w:color="auto" w:fill="auto"/>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杜广宇</w:t>
            </w:r>
          </w:p>
        </w:tc>
        <w:tc>
          <w:tcPr>
            <w:tcW w:w="3118" w:type="dxa"/>
            <w:gridSpan w:val="3"/>
            <w:tcBorders>
              <w:tl2br w:val="nil"/>
              <w:tr2bl w:val="nil"/>
            </w:tcBorders>
            <w:shd w:val="clear" w:color="auto" w:fill="auto"/>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13549870979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3124" w:type="dxa"/>
            <w:gridSpan w:val="2"/>
            <w:tcBorders>
              <w:tl2br w:val="nil"/>
              <w:tr2bl w:val="nil"/>
            </w:tcBorders>
            <w:shd w:val="clear" w:color="auto" w:fill="auto"/>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医疗救助组</w:t>
            </w:r>
          </w:p>
        </w:tc>
        <w:tc>
          <w:tcPr>
            <w:tcW w:w="2938" w:type="dxa"/>
            <w:gridSpan w:val="3"/>
            <w:tcBorders>
              <w:tl2br w:val="nil"/>
              <w:tr2bl w:val="nil"/>
            </w:tcBorders>
            <w:shd w:val="clear" w:color="auto" w:fill="auto"/>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易剑锋</w:t>
            </w:r>
          </w:p>
        </w:tc>
        <w:tc>
          <w:tcPr>
            <w:tcW w:w="3118" w:type="dxa"/>
            <w:gridSpan w:val="3"/>
            <w:tcBorders>
              <w:tl2br w:val="nil"/>
              <w:tr2bl w:val="nil"/>
            </w:tcBorders>
            <w:shd w:val="clear" w:color="auto" w:fill="auto"/>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18802591209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3124" w:type="dxa"/>
            <w:gridSpan w:val="2"/>
            <w:tcBorders>
              <w:tl2br w:val="nil"/>
              <w:tr2bl w:val="nil"/>
            </w:tcBorders>
            <w:shd w:val="clear" w:color="auto" w:fill="auto"/>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后勤保障组</w:t>
            </w:r>
          </w:p>
        </w:tc>
        <w:tc>
          <w:tcPr>
            <w:tcW w:w="2938" w:type="dxa"/>
            <w:gridSpan w:val="3"/>
            <w:tcBorders>
              <w:tl2br w:val="nil"/>
              <w:tr2bl w:val="nil"/>
            </w:tcBorders>
            <w:shd w:val="clear" w:color="auto" w:fill="auto"/>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林志军</w:t>
            </w:r>
          </w:p>
        </w:tc>
        <w:tc>
          <w:tcPr>
            <w:tcW w:w="3118" w:type="dxa"/>
            <w:gridSpan w:val="3"/>
            <w:tcBorders>
              <w:tl2br w:val="nil"/>
              <w:tr2bl w:val="nil"/>
            </w:tcBorders>
            <w:shd w:val="clear" w:color="auto" w:fill="auto"/>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13005509678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3124" w:type="dxa"/>
            <w:gridSpan w:val="2"/>
            <w:tcBorders>
              <w:tl2br w:val="nil"/>
              <w:tr2bl w:val="nil"/>
            </w:tcBorders>
            <w:shd w:val="clear" w:color="auto" w:fill="auto"/>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应急监测组</w:t>
            </w:r>
          </w:p>
        </w:tc>
        <w:tc>
          <w:tcPr>
            <w:tcW w:w="2938" w:type="dxa"/>
            <w:gridSpan w:val="3"/>
            <w:tcBorders>
              <w:tl2br w:val="nil"/>
              <w:tr2bl w:val="nil"/>
            </w:tcBorders>
            <w:shd w:val="clear" w:color="auto" w:fill="auto"/>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魏超</w:t>
            </w:r>
          </w:p>
        </w:tc>
        <w:tc>
          <w:tcPr>
            <w:tcW w:w="3118" w:type="dxa"/>
            <w:gridSpan w:val="3"/>
            <w:tcBorders>
              <w:tl2br w:val="nil"/>
              <w:tr2bl w:val="nil"/>
            </w:tcBorders>
            <w:shd w:val="clear" w:color="auto" w:fill="auto"/>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13425494550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3124" w:type="dxa"/>
            <w:gridSpan w:val="2"/>
            <w:tcBorders>
              <w:tl2br w:val="nil"/>
              <w:tr2bl w:val="nil"/>
            </w:tcBorders>
            <w:shd w:val="clear" w:color="auto" w:fill="auto"/>
          </w:tcPr>
          <w:p>
            <w:pPr>
              <w:spacing w:line="0" w:lineRule="atLeast"/>
              <w:jc w:val="center"/>
              <w:rPr>
                <w:rFonts w:hint="eastAsia" w:ascii="宋体" w:hAnsi="宋体" w:cs="宋体"/>
                <w:spacing w:val="-7"/>
                <w:kern w:val="2"/>
                <w:sz w:val="21"/>
                <w:szCs w:val="24"/>
                <w:lang w:bidi="zh-CN"/>
              </w:rPr>
            </w:pPr>
            <w:r>
              <w:rPr>
                <w:rFonts w:hint="eastAsia" w:ascii="宋体" w:hAnsi="宋体" w:cs="宋体"/>
                <w:spacing w:val="-7"/>
                <w:kern w:val="2"/>
                <w:sz w:val="21"/>
                <w:szCs w:val="24"/>
                <w:lang w:bidi="zh-CN"/>
              </w:rPr>
              <w:t>信息传输组</w:t>
            </w:r>
          </w:p>
        </w:tc>
        <w:tc>
          <w:tcPr>
            <w:tcW w:w="2938" w:type="dxa"/>
            <w:gridSpan w:val="3"/>
            <w:tcBorders>
              <w:tl2br w:val="nil"/>
              <w:tr2bl w:val="nil"/>
            </w:tcBorders>
            <w:shd w:val="clear" w:color="auto" w:fill="auto"/>
          </w:tcPr>
          <w:p>
            <w:pPr>
              <w:spacing w:line="0" w:lineRule="atLeast"/>
              <w:jc w:val="center"/>
              <w:rPr>
                <w:rFonts w:hint="eastAsia" w:ascii="宋体" w:hAnsi="宋体" w:cs="宋体"/>
                <w:spacing w:val="-7"/>
                <w:kern w:val="2"/>
                <w:sz w:val="21"/>
                <w:szCs w:val="24"/>
                <w:lang w:bidi="zh-CN"/>
              </w:rPr>
            </w:pPr>
            <w:r>
              <w:rPr>
                <w:rFonts w:hint="eastAsia" w:ascii="宋体" w:hAnsi="宋体" w:cs="宋体"/>
                <w:spacing w:val="-7"/>
                <w:kern w:val="2"/>
                <w:sz w:val="21"/>
                <w:szCs w:val="24"/>
                <w:lang w:bidi="zh-CN"/>
              </w:rPr>
              <w:t>吴伟业</w:t>
            </w:r>
          </w:p>
        </w:tc>
        <w:tc>
          <w:tcPr>
            <w:tcW w:w="3118" w:type="dxa"/>
            <w:gridSpan w:val="3"/>
            <w:tcBorders>
              <w:tl2br w:val="nil"/>
              <w:tr2bl w:val="nil"/>
            </w:tcBorders>
            <w:shd w:val="clear" w:color="auto" w:fill="auto"/>
          </w:tcPr>
          <w:p>
            <w:pPr>
              <w:spacing w:line="0" w:lineRule="atLeast"/>
              <w:jc w:val="center"/>
              <w:rPr>
                <w:rFonts w:hint="eastAsia" w:ascii="宋体" w:hAnsi="宋体" w:cs="宋体"/>
                <w:spacing w:val="-7"/>
                <w:kern w:val="2"/>
                <w:sz w:val="21"/>
                <w:szCs w:val="24"/>
                <w:lang w:bidi="zh-CN"/>
              </w:rPr>
            </w:pPr>
            <w:r>
              <w:rPr>
                <w:rFonts w:hint="eastAsia" w:ascii="宋体" w:hAnsi="宋体" w:cs="宋体"/>
                <w:spacing w:val="-7"/>
                <w:kern w:val="2"/>
                <w:sz w:val="21"/>
                <w:szCs w:val="24"/>
                <w:lang w:bidi="zh-CN"/>
              </w:rPr>
              <w:t>13702536238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9180" w:type="dxa"/>
            <w:gridSpan w:val="8"/>
            <w:tcBorders>
              <w:tl2br w:val="nil"/>
              <w:tr2bl w:val="nil"/>
            </w:tcBorders>
            <w:shd w:val="clear" w:color="auto" w:fill="auto"/>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外部联系电话</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4590" w:type="dxa"/>
            <w:gridSpan w:val="4"/>
            <w:tcBorders>
              <w:tl2br w:val="nil"/>
              <w:tr2bl w:val="nil"/>
            </w:tcBorders>
            <w:shd w:val="clear" w:color="auto" w:fill="auto"/>
            <w:vAlign w:val="center"/>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医疗救护</w:t>
            </w:r>
          </w:p>
        </w:tc>
        <w:tc>
          <w:tcPr>
            <w:tcW w:w="4590" w:type="dxa"/>
            <w:gridSpan w:val="4"/>
            <w:tcBorders>
              <w:tl2br w:val="nil"/>
              <w:tr2bl w:val="nil"/>
            </w:tcBorders>
            <w:shd w:val="clear" w:color="auto" w:fill="auto"/>
            <w:vAlign w:val="center"/>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120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4590" w:type="dxa"/>
            <w:gridSpan w:val="4"/>
            <w:tcBorders>
              <w:tl2br w:val="nil"/>
              <w:tr2bl w:val="nil"/>
            </w:tcBorders>
            <w:shd w:val="clear" w:color="auto" w:fill="auto"/>
            <w:vAlign w:val="center"/>
          </w:tcPr>
          <w:p>
            <w:pPr>
              <w:spacing w:line="0" w:lineRule="atLeast"/>
              <w:jc w:val="center"/>
              <w:rPr>
                <w:rFonts w:ascii="宋体" w:hAnsi="宋体" w:cs="宋体"/>
                <w:spacing w:val="-7"/>
                <w:kern w:val="2"/>
                <w:sz w:val="21"/>
                <w:szCs w:val="24"/>
                <w:lang w:bidi="zh-CN"/>
              </w:rPr>
            </w:pPr>
            <w:r>
              <w:rPr>
                <w:rFonts w:ascii="宋体" w:hAnsi="宋体" w:cs="宋体"/>
                <w:spacing w:val="-7"/>
                <w:kern w:val="2"/>
                <w:sz w:val="21"/>
                <w:szCs w:val="24"/>
                <w:lang w:bidi="zh-CN"/>
              </w:rPr>
              <w:t>中山市职业病防治所</w:t>
            </w:r>
          </w:p>
        </w:tc>
        <w:tc>
          <w:tcPr>
            <w:tcW w:w="4590" w:type="dxa"/>
            <w:gridSpan w:val="4"/>
            <w:tcBorders>
              <w:tl2br w:val="nil"/>
              <w:tr2bl w:val="nil"/>
            </w:tcBorders>
            <w:shd w:val="clear" w:color="auto" w:fill="auto"/>
            <w:vAlign w:val="center"/>
          </w:tcPr>
          <w:p>
            <w:pPr>
              <w:spacing w:line="0" w:lineRule="atLeast"/>
              <w:jc w:val="center"/>
              <w:rPr>
                <w:rFonts w:ascii="宋体" w:hAnsi="宋体" w:cs="宋体"/>
                <w:spacing w:val="-7"/>
                <w:kern w:val="2"/>
                <w:sz w:val="21"/>
                <w:szCs w:val="24"/>
                <w:lang w:bidi="zh-CN"/>
              </w:rPr>
            </w:pPr>
            <w:r>
              <w:rPr>
                <w:rFonts w:ascii="宋体" w:hAnsi="宋体" w:cs="宋体"/>
                <w:spacing w:val="-7"/>
                <w:kern w:val="2"/>
                <w:sz w:val="21"/>
                <w:szCs w:val="24"/>
                <w:lang w:bidi="zh-CN"/>
              </w:rPr>
              <w:t>0760-88825075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4590" w:type="dxa"/>
            <w:gridSpan w:val="4"/>
            <w:tcBorders>
              <w:tl2br w:val="nil"/>
              <w:tr2bl w:val="nil"/>
            </w:tcBorders>
            <w:shd w:val="clear" w:color="auto" w:fill="auto"/>
            <w:vAlign w:val="center"/>
          </w:tcPr>
          <w:p>
            <w:pPr>
              <w:spacing w:line="0" w:lineRule="atLeast"/>
              <w:jc w:val="center"/>
              <w:rPr>
                <w:rFonts w:ascii="宋体" w:hAnsi="宋体" w:cs="宋体"/>
                <w:spacing w:val="-7"/>
                <w:kern w:val="2"/>
                <w:sz w:val="21"/>
                <w:szCs w:val="24"/>
                <w:lang w:bidi="zh-CN"/>
              </w:rPr>
            </w:pPr>
            <w:r>
              <w:rPr>
                <w:rFonts w:ascii="宋体" w:hAnsi="宋体" w:cs="宋体"/>
                <w:spacing w:val="-7"/>
                <w:kern w:val="2"/>
                <w:sz w:val="21"/>
                <w:szCs w:val="24"/>
                <w:lang w:bidi="zh-CN"/>
              </w:rPr>
              <w:t>中山市卫生防疫站</w:t>
            </w:r>
          </w:p>
        </w:tc>
        <w:tc>
          <w:tcPr>
            <w:tcW w:w="4590" w:type="dxa"/>
            <w:gridSpan w:val="4"/>
            <w:tcBorders>
              <w:tl2br w:val="nil"/>
              <w:tr2bl w:val="nil"/>
            </w:tcBorders>
            <w:shd w:val="clear" w:color="auto" w:fill="auto"/>
            <w:vAlign w:val="center"/>
          </w:tcPr>
          <w:p>
            <w:pPr>
              <w:spacing w:line="0" w:lineRule="atLeast"/>
              <w:jc w:val="center"/>
              <w:rPr>
                <w:rFonts w:ascii="宋体" w:hAnsi="宋体" w:cs="宋体"/>
                <w:spacing w:val="-7"/>
                <w:kern w:val="2"/>
                <w:sz w:val="21"/>
                <w:szCs w:val="24"/>
                <w:lang w:bidi="zh-CN"/>
              </w:rPr>
            </w:pPr>
            <w:r>
              <w:rPr>
                <w:rFonts w:ascii="宋体" w:hAnsi="宋体" w:cs="宋体"/>
                <w:spacing w:val="-7"/>
                <w:kern w:val="2"/>
                <w:sz w:val="21"/>
                <w:szCs w:val="24"/>
                <w:lang w:bidi="zh-CN"/>
              </w:rPr>
              <w:t>0760-88855964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4590" w:type="dxa"/>
            <w:gridSpan w:val="4"/>
            <w:tcBorders>
              <w:tl2br w:val="nil"/>
              <w:tr2bl w:val="nil"/>
            </w:tcBorders>
            <w:shd w:val="clear" w:color="auto" w:fill="auto"/>
            <w:vAlign w:val="center"/>
          </w:tcPr>
          <w:p>
            <w:pPr>
              <w:spacing w:line="0" w:lineRule="atLeast"/>
              <w:jc w:val="center"/>
              <w:rPr>
                <w:rFonts w:ascii="宋体" w:hAnsi="宋体" w:cs="宋体"/>
                <w:spacing w:val="-7"/>
                <w:kern w:val="2"/>
                <w:sz w:val="21"/>
                <w:szCs w:val="24"/>
                <w:lang w:bidi="zh-CN"/>
              </w:rPr>
            </w:pPr>
            <w:r>
              <w:rPr>
                <w:rFonts w:ascii="宋体" w:hAnsi="宋体" w:cs="宋体"/>
                <w:spacing w:val="-7"/>
                <w:kern w:val="2"/>
                <w:sz w:val="21"/>
                <w:szCs w:val="24"/>
                <w:lang w:bidi="zh-CN"/>
              </w:rPr>
              <w:t>中山市</w:t>
            </w:r>
            <w:r>
              <w:rPr>
                <w:rFonts w:hint="eastAsia" w:ascii="宋体" w:hAnsi="宋体" w:cs="宋体"/>
                <w:spacing w:val="-7"/>
                <w:kern w:val="2"/>
                <w:sz w:val="21"/>
                <w:szCs w:val="24"/>
                <w:lang w:eastAsia="zh-CN" w:bidi="zh-CN"/>
              </w:rPr>
              <w:t>生态环境</w:t>
            </w:r>
            <w:r>
              <w:rPr>
                <w:rFonts w:ascii="宋体" w:hAnsi="宋体" w:cs="宋体"/>
                <w:spacing w:val="-7"/>
                <w:kern w:val="2"/>
                <w:sz w:val="21"/>
                <w:szCs w:val="24"/>
                <w:lang w:bidi="zh-CN"/>
              </w:rPr>
              <w:t>局</w:t>
            </w:r>
          </w:p>
        </w:tc>
        <w:tc>
          <w:tcPr>
            <w:tcW w:w="4590" w:type="dxa"/>
            <w:gridSpan w:val="4"/>
            <w:tcBorders>
              <w:tl2br w:val="nil"/>
              <w:tr2bl w:val="nil"/>
            </w:tcBorders>
            <w:shd w:val="clear" w:color="auto" w:fill="auto"/>
            <w:vAlign w:val="center"/>
          </w:tcPr>
          <w:p>
            <w:pPr>
              <w:spacing w:line="0" w:lineRule="atLeast"/>
              <w:jc w:val="center"/>
              <w:rPr>
                <w:rFonts w:ascii="宋体" w:hAnsi="宋体" w:cs="宋体"/>
                <w:spacing w:val="-7"/>
                <w:kern w:val="2"/>
                <w:sz w:val="21"/>
                <w:szCs w:val="24"/>
                <w:lang w:bidi="zh-CN"/>
              </w:rPr>
            </w:pPr>
            <w:r>
              <w:rPr>
                <w:rFonts w:ascii="宋体" w:hAnsi="宋体" w:cs="宋体"/>
                <w:spacing w:val="-7"/>
                <w:kern w:val="2"/>
                <w:sz w:val="21"/>
                <w:szCs w:val="24"/>
                <w:lang w:bidi="zh-CN"/>
              </w:rPr>
              <w:t>0760-88329817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4590" w:type="dxa"/>
            <w:gridSpan w:val="4"/>
            <w:tcBorders>
              <w:tl2br w:val="nil"/>
              <w:tr2bl w:val="nil"/>
            </w:tcBorders>
            <w:shd w:val="clear" w:color="auto" w:fill="auto"/>
            <w:vAlign w:val="center"/>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eastAsia="zh-CN" w:bidi="zh-CN"/>
              </w:rPr>
              <w:t>民众生态环境</w:t>
            </w:r>
            <w:r>
              <w:rPr>
                <w:rFonts w:hint="eastAsia" w:ascii="宋体" w:hAnsi="宋体" w:cs="宋体"/>
                <w:spacing w:val="-7"/>
                <w:kern w:val="2"/>
                <w:sz w:val="21"/>
                <w:szCs w:val="24"/>
                <w:lang w:bidi="zh-CN"/>
              </w:rPr>
              <w:t>分</w:t>
            </w:r>
            <w:r>
              <w:rPr>
                <w:rFonts w:ascii="宋体" w:hAnsi="宋体" w:cs="宋体"/>
                <w:spacing w:val="-7"/>
                <w:kern w:val="2"/>
                <w:sz w:val="21"/>
                <w:szCs w:val="24"/>
                <w:lang w:bidi="zh-CN"/>
              </w:rPr>
              <w:t>局</w:t>
            </w:r>
          </w:p>
        </w:tc>
        <w:tc>
          <w:tcPr>
            <w:tcW w:w="4590" w:type="dxa"/>
            <w:gridSpan w:val="4"/>
            <w:tcBorders>
              <w:tl2br w:val="nil"/>
              <w:tr2bl w:val="nil"/>
            </w:tcBorders>
            <w:shd w:val="clear" w:color="auto" w:fill="auto"/>
            <w:vAlign w:val="center"/>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0760-85570277</w:t>
            </w:r>
          </w:p>
        </w:tc>
      </w:tr>
    </w:tbl>
    <w:p/>
    <w:p/>
    <w:p/>
    <w:p/>
    <w:p>
      <w:pPr>
        <w:jc w:val="center"/>
        <w:rPr>
          <w:rFonts w:hint="eastAsia" w:eastAsia="宋体"/>
          <w:lang w:eastAsia="zh-CN"/>
        </w:rPr>
      </w:pPr>
      <w:r>
        <w:rPr>
          <w:rFonts w:hint="eastAsia"/>
          <w:lang w:eastAsia="zh-CN"/>
        </w:rPr>
        <w:t>沼液装卸过程事故现场应急处置卡</w:t>
      </w:r>
    </w:p>
    <w:tbl>
      <w:tblPr>
        <w:tblStyle w:val="42"/>
        <w:tblW w:w="9180" w:type="dxa"/>
        <w:jc w:val="cente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Layout w:type="fixed"/>
        <w:tblCellMar>
          <w:top w:w="0" w:type="dxa"/>
          <w:left w:w="0" w:type="dxa"/>
          <w:bottom w:w="0" w:type="dxa"/>
          <w:right w:w="0" w:type="dxa"/>
        </w:tblCellMar>
      </w:tblPr>
      <w:tblGrid>
        <w:gridCol w:w="1475"/>
        <w:gridCol w:w="1649"/>
        <w:gridCol w:w="527"/>
        <w:gridCol w:w="939"/>
        <w:gridCol w:w="1472"/>
        <w:gridCol w:w="284"/>
        <w:gridCol w:w="1032"/>
        <w:gridCol w:w="1802"/>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Layout w:type="fixed"/>
          <w:tblCellMar>
            <w:top w:w="0" w:type="dxa"/>
            <w:left w:w="0" w:type="dxa"/>
            <w:bottom w:w="0" w:type="dxa"/>
            <w:right w:w="0" w:type="dxa"/>
          </w:tblCellMar>
        </w:tblPrEx>
        <w:trPr>
          <w:trHeight w:val="90" w:hRule="atLeast"/>
          <w:jc w:val="center"/>
        </w:trPr>
        <w:tc>
          <w:tcPr>
            <w:tcW w:w="9180" w:type="dxa"/>
            <w:gridSpan w:val="8"/>
            <w:tcBorders>
              <w:tl2br w:val="nil"/>
              <w:tr2bl w:val="nil"/>
            </w:tcBorders>
            <w:shd w:val="clear" w:color="auto" w:fill="auto"/>
          </w:tcPr>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基本情况</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247" w:hRule="atLeast"/>
          <w:jc w:val="center"/>
        </w:trPr>
        <w:tc>
          <w:tcPr>
            <w:tcW w:w="1475" w:type="dxa"/>
            <w:tcBorders>
              <w:tl2br w:val="nil"/>
              <w:tr2bl w:val="nil"/>
            </w:tcBorders>
            <w:shd w:val="clear" w:color="auto" w:fill="auto"/>
          </w:tcPr>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危险物质</w:t>
            </w:r>
          </w:p>
        </w:tc>
        <w:tc>
          <w:tcPr>
            <w:tcW w:w="2176" w:type="dxa"/>
            <w:gridSpan w:val="2"/>
            <w:tcBorders>
              <w:tl2br w:val="nil"/>
              <w:tr2bl w:val="nil"/>
            </w:tcBorders>
            <w:shd w:val="clear" w:color="auto" w:fill="auto"/>
          </w:tcPr>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沼液</w:t>
            </w:r>
          </w:p>
        </w:tc>
        <w:tc>
          <w:tcPr>
            <w:tcW w:w="2695" w:type="dxa"/>
            <w:gridSpan w:val="3"/>
            <w:tcBorders>
              <w:tl2br w:val="nil"/>
              <w:tr2bl w:val="nil"/>
            </w:tcBorders>
            <w:shd w:val="clear" w:color="auto" w:fill="auto"/>
          </w:tcPr>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可能发生的事故类型</w:t>
            </w:r>
          </w:p>
        </w:tc>
        <w:tc>
          <w:tcPr>
            <w:tcW w:w="2834" w:type="dxa"/>
            <w:gridSpan w:val="2"/>
            <w:tcBorders>
              <w:tl2br w:val="nil"/>
              <w:tr2bl w:val="nil"/>
            </w:tcBorders>
            <w:shd w:val="clear" w:color="auto" w:fill="auto"/>
          </w:tcPr>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废水事故排放</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1475" w:type="dxa"/>
            <w:tcBorders>
              <w:tl2br w:val="nil"/>
              <w:tr2bl w:val="nil"/>
            </w:tcBorders>
            <w:shd w:val="clear" w:color="auto" w:fill="auto"/>
          </w:tcPr>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事故发生区域</w:t>
            </w:r>
          </w:p>
        </w:tc>
        <w:tc>
          <w:tcPr>
            <w:tcW w:w="7705" w:type="dxa"/>
            <w:gridSpan w:val="7"/>
            <w:tcBorders>
              <w:tl2br w:val="nil"/>
              <w:tr2bl w:val="nil"/>
            </w:tcBorders>
            <w:shd w:val="clear" w:color="auto" w:fill="auto"/>
          </w:tcPr>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eastAsia="zh-CN" w:bidi="zh-CN"/>
              </w:rPr>
              <w:t>沼液输送管道</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1475" w:type="dxa"/>
            <w:tcBorders>
              <w:tl2br w:val="nil"/>
              <w:tr2bl w:val="nil"/>
            </w:tcBorders>
            <w:shd w:val="clear" w:color="auto" w:fill="auto"/>
          </w:tcPr>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事故危害程度</w:t>
            </w:r>
          </w:p>
        </w:tc>
        <w:tc>
          <w:tcPr>
            <w:tcW w:w="7705" w:type="dxa"/>
            <w:gridSpan w:val="7"/>
            <w:tcBorders>
              <w:tl2br w:val="nil"/>
              <w:tr2bl w:val="nil"/>
            </w:tcBorders>
            <w:shd w:val="clear" w:color="auto" w:fill="auto"/>
          </w:tcPr>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沼液事故排放可能对周边水环境造成污染。</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1475" w:type="dxa"/>
            <w:tcBorders>
              <w:tl2br w:val="nil"/>
              <w:tr2bl w:val="nil"/>
            </w:tcBorders>
            <w:shd w:val="clear" w:color="auto" w:fill="auto"/>
          </w:tcPr>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处置程序</w:t>
            </w:r>
          </w:p>
        </w:tc>
        <w:tc>
          <w:tcPr>
            <w:tcW w:w="5903" w:type="dxa"/>
            <w:gridSpan w:val="6"/>
            <w:tcBorders>
              <w:tl2br w:val="nil"/>
              <w:tr2bl w:val="nil"/>
            </w:tcBorders>
            <w:shd w:val="clear" w:color="auto" w:fill="auto"/>
          </w:tcPr>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处置措施</w:t>
            </w:r>
          </w:p>
        </w:tc>
        <w:tc>
          <w:tcPr>
            <w:tcW w:w="1802" w:type="dxa"/>
            <w:tcBorders>
              <w:tl2br w:val="nil"/>
              <w:tr2bl w:val="nil"/>
            </w:tcBorders>
            <w:shd w:val="clear" w:color="auto" w:fill="auto"/>
          </w:tcPr>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责任人或责任单位</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1475" w:type="dxa"/>
            <w:vMerge w:val="restart"/>
            <w:tcBorders>
              <w:tl2br w:val="nil"/>
              <w:tr2bl w:val="nil"/>
            </w:tcBorders>
            <w:shd w:val="clear" w:color="auto" w:fill="auto"/>
          </w:tcPr>
          <w:p>
            <w:pPr>
              <w:spacing w:line="0" w:lineRule="atLeast"/>
              <w:rPr>
                <w:rFonts w:ascii="宋体" w:hAnsi="宋体" w:cs="宋体"/>
                <w:spacing w:val="-7"/>
                <w:kern w:val="2"/>
                <w:sz w:val="21"/>
                <w:szCs w:val="24"/>
                <w:lang w:bidi="zh-CN"/>
              </w:rPr>
            </w:pPr>
          </w:p>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事故报告</w:t>
            </w:r>
          </w:p>
        </w:tc>
        <w:tc>
          <w:tcPr>
            <w:tcW w:w="5903" w:type="dxa"/>
            <w:gridSpan w:val="6"/>
            <w:tcBorders>
              <w:tl2br w:val="nil"/>
              <w:tr2bl w:val="nil"/>
            </w:tcBorders>
            <w:shd w:val="clear" w:color="auto" w:fill="auto"/>
          </w:tcPr>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向本车间、生产主管报告，内容包括事故地点、类型及影响范围。</w:t>
            </w:r>
          </w:p>
        </w:tc>
        <w:tc>
          <w:tcPr>
            <w:tcW w:w="1802" w:type="dxa"/>
            <w:tcBorders>
              <w:tl2br w:val="nil"/>
              <w:tr2bl w:val="nil"/>
            </w:tcBorders>
            <w:shd w:val="clear" w:color="auto" w:fill="auto"/>
          </w:tcPr>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发现险情人员</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1475" w:type="dxa"/>
            <w:vMerge w:val="continue"/>
            <w:tcBorders>
              <w:tl2br w:val="nil"/>
              <w:tr2bl w:val="nil"/>
            </w:tcBorders>
            <w:shd w:val="clear" w:color="auto" w:fill="auto"/>
          </w:tcPr>
          <w:p>
            <w:pPr>
              <w:spacing w:line="0" w:lineRule="atLeast"/>
              <w:rPr>
                <w:rFonts w:ascii="宋体" w:hAnsi="宋体" w:cs="宋体"/>
                <w:spacing w:val="-7"/>
                <w:kern w:val="2"/>
                <w:sz w:val="21"/>
                <w:szCs w:val="24"/>
                <w:lang w:bidi="zh-CN"/>
              </w:rPr>
            </w:pPr>
          </w:p>
        </w:tc>
        <w:tc>
          <w:tcPr>
            <w:tcW w:w="5903" w:type="dxa"/>
            <w:gridSpan w:val="6"/>
            <w:tcBorders>
              <w:tl2br w:val="nil"/>
              <w:tr2bl w:val="nil"/>
            </w:tcBorders>
            <w:shd w:val="clear" w:color="auto" w:fill="auto"/>
          </w:tcPr>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向公司应急救援指挥部报告，内容包括事故地点、类型影响范围和已采取的应急救援措施。</w:t>
            </w:r>
          </w:p>
        </w:tc>
        <w:tc>
          <w:tcPr>
            <w:tcW w:w="1802" w:type="dxa"/>
            <w:tcBorders>
              <w:tl2br w:val="nil"/>
              <w:tr2bl w:val="nil"/>
            </w:tcBorders>
            <w:shd w:val="clear" w:color="auto" w:fill="auto"/>
          </w:tcPr>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车间、部门主管</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1475" w:type="dxa"/>
            <w:tcBorders>
              <w:tl2br w:val="nil"/>
              <w:tr2bl w:val="nil"/>
            </w:tcBorders>
            <w:shd w:val="clear" w:color="auto" w:fill="auto"/>
          </w:tcPr>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应急准备</w:t>
            </w:r>
          </w:p>
        </w:tc>
        <w:tc>
          <w:tcPr>
            <w:tcW w:w="5903" w:type="dxa"/>
            <w:gridSpan w:val="6"/>
            <w:tcBorders>
              <w:tl2br w:val="nil"/>
              <w:tr2bl w:val="nil"/>
            </w:tcBorders>
            <w:shd w:val="clear" w:color="auto" w:fill="auto"/>
          </w:tcPr>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针对不同事故类型，准备应急抢修物资，组织应急小组人员进行救援。</w:t>
            </w:r>
          </w:p>
        </w:tc>
        <w:tc>
          <w:tcPr>
            <w:tcW w:w="1802" w:type="dxa"/>
            <w:tcBorders>
              <w:tl2br w:val="nil"/>
              <w:tr2bl w:val="nil"/>
            </w:tcBorders>
            <w:shd w:val="clear" w:color="auto" w:fill="auto"/>
          </w:tcPr>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应急指挥部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431" w:hRule="atLeast"/>
          <w:jc w:val="center"/>
        </w:trPr>
        <w:tc>
          <w:tcPr>
            <w:tcW w:w="1475" w:type="dxa"/>
            <w:tcBorders>
              <w:tl2br w:val="nil"/>
              <w:tr2bl w:val="nil"/>
            </w:tcBorders>
            <w:shd w:val="clear" w:color="auto" w:fill="auto"/>
          </w:tcPr>
          <w:p>
            <w:pPr>
              <w:spacing w:line="0" w:lineRule="atLeast"/>
              <w:rPr>
                <w:rFonts w:ascii="宋体" w:hAnsi="宋体" w:cs="宋体"/>
                <w:spacing w:val="-7"/>
                <w:kern w:val="2"/>
                <w:sz w:val="21"/>
                <w:szCs w:val="24"/>
                <w:lang w:bidi="zh-CN"/>
              </w:rPr>
            </w:pPr>
          </w:p>
          <w:p>
            <w:pPr>
              <w:spacing w:line="0" w:lineRule="atLeast"/>
              <w:rPr>
                <w:rFonts w:ascii="宋体" w:hAnsi="宋体" w:cs="宋体"/>
                <w:spacing w:val="-7"/>
                <w:kern w:val="2"/>
                <w:sz w:val="21"/>
                <w:szCs w:val="24"/>
                <w:lang w:bidi="zh-CN"/>
              </w:rPr>
            </w:pPr>
          </w:p>
          <w:p>
            <w:pPr>
              <w:spacing w:line="0" w:lineRule="atLeast"/>
              <w:rPr>
                <w:rFonts w:ascii="宋体" w:hAnsi="宋体" w:cs="宋体"/>
                <w:spacing w:val="-7"/>
                <w:kern w:val="2"/>
                <w:sz w:val="21"/>
                <w:szCs w:val="24"/>
                <w:lang w:bidi="zh-CN"/>
              </w:rPr>
            </w:pPr>
          </w:p>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现场处置</w:t>
            </w:r>
          </w:p>
        </w:tc>
        <w:tc>
          <w:tcPr>
            <w:tcW w:w="7705" w:type="dxa"/>
            <w:gridSpan w:val="7"/>
            <w:tcBorders>
              <w:tl2br w:val="nil"/>
              <w:tr2bl w:val="nil"/>
            </w:tcBorders>
            <w:shd w:val="clear" w:color="auto" w:fill="auto"/>
          </w:tcPr>
          <w:p>
            <w:pPr>
              <w:numPr>
                <w:ilvl w:val="0"/>
                <w:numId w:val="0"/>
              </w:numPr>
              <w:spacing w:line="0" w:lineRule="atLeast"/>
              <w:rPr>
                <w:rFonts w:hint="eastAsia" w:ascii="宋体" w:hAnsi="宋体" w:cs="宋体"/>
                <w:spacing w:val="-7"/>
                <w:kern w:val="2"/>
                <w:sz w:val="21"/>
                <w:szCs w:val="24"/>
                <w:lang w:eastAsia="zh-CN" w:bidi="zh-CN"/>
              </w:rPr>
            </w:pPr>
            <w:r>
              <w:rPr>
                <w:rFonts w:hint="eastAsia" w:ascii="宋体" w:hAnsi="宋体" w:cs="宋体"/>
                <w:spacing w:val="-7"/>
                <w:kern w:val="2"/>
                <w:sz w:val="21"/>
                <w:szCs w:val="24"/>
                <w:lang w:bidi="zh-CN"/>
              </w:rPr>
              <w:t>（</w:t>
            </w:r>
            <w:r>
              <w:rPr>
                <w:rFonts w:hint="eastAsia" w:ascii="宋体" w:hAnsi="宋体" w:cs="宋体"/>
                <w:spacing w:val="-7"/>
                <w:kern w:val="2"/>
                <w:sz w:val="21"/>
                <w:szCs w:val="24"/>
                <w:lang w:val="en-US" w:bidi="zh-CN"/>
              </w:rPr>
              <w:t>1</w:t>
            </w:r>
            <w:r>
              <w:rPr>
                <w:rFonts w:hint="eastAsia" w:ascii="宋体" w:hAnsi="宋体" w:cs="宋体"/>
                <w:spacing w:val="-7"/>
                <w:kern w:val="2"/>
                <w:sz w:val="21"/>
                <w:szCs w:val="24"/>
                <w:lang w:bidi="zh-CN"/>
              </w:rPr>
              <w:t>）当班人员</w:t>
            </w:r>
            <w:r>
              <w:rPr>
                <w:rFonts w:hint="eastAsia" w:ascii="宋体" w:hAnsi="宋体" w:cs="宋体"/>
                <w:spacing w:val="-7"/>
                <w:kern w:val="2"/>
                <w:sz w:val="21"/>
                <w:szCs w:val="24"/>
                <w:lang w:eastAsia="zh-CN" w:bidi="zh-CN"/>
              </w:rPr>
              <w:t>应立即停止相关作业，关闭相关设备及阀门；</w:t>
            </w:r>
          </w:p>
          <w:p>
            <w:pPr>
              <w:spacing w:line="0" w:lineRule="atLeast"/>
              <w:rPr>
                <w:rFonts w:hint="eastAsia" w:ascii="宋体" w:hAnsi="宋体" w:cs="宋体"/>
                <w:spacing w:val="-7"/>
                <w:kern w:val="2"/>
                <w:sz w:val="21"/>
                <w:szCs w:val="24"/>
                <w:lang w:eastAsia="zh-CN" w:bidi="zh-CN"/>
              </w:rPr>
            </w:pPr>
            <w:r>
              <w:rPr>
                <w:rFonts w:hint="eastAsia" w:ascii="宋体" w:hAnsi="宋体" w:cs="宋体"/>
                <w:spacing w:val="-7"/>
                <w:kern w:val="2"/>
                <w:sz w:val="21"/>
                <w:szCs w:val="24"/>
                <w:lang w:bidi="zh-CN"/>
              </w:rPr>
              <w:t>（</w:t>
            </w:r>
            <w:r>
              <w:rPr>
                <w:rFonts w:hint="eastAsia" w:ascii="宋体" w:hAnsi="宋体" w:cs="宋体"/>
                <w:spacing w:val="-7"/>
                <w:kern w:val="2"/>
                <w:sz w:val="21"/>
                <w:szCs w:val="24"/>
                <w:lang w:val="en-US" w:eastAsia="zh-CN" w:bidi="zh-CN"/>
              </w:rPr>
              <w:t>2</w:t>
            </w:r>
            <w:r>
              <w:rPr>
                <w:rFonts w:hint="eastAsia" w:ascii="宋体" w:hAnsi="宋体" w:cs="宋体"/>
                <w:spacing w:val="-7"/>
                <w:kern w:val="2"/>
                <w:sz w:val="21"/>
                <w:szCs w:val="24"/>
                <w:lang w:bidi="zh-CN"/>
              </w:rPr>
              <w:t>）</w:t>
            </w:r>
            <w:r>
              <w:rPr>
                <w:rFonts w:hint="eastAsia" w:ascii="宋体" w:hAnsi="宋体" w:cs="宋体"/>
                <w:spacing w:val="-7"/>
                <w:kern w:val="2"/>
                <w:sz w:val="21"/>
                <w:szCs w:val="24"/>
                <w:lang w:eastAsia="zh-CN" w:bidi="zh-CN"/>
              </w:rPr>
              <w:t>对废水输送设备设备及人员操作进行排查，找出污染物超标的原因并整改；</w:t>
            </w:r>
          </w:p>
          <w:p>
            <w:pPr>
              <w:spacing w:line="0" w:lineRule="atLeast"/>
              <w:rPr>
                <w:rFonts w:hint="eastAsia" w:ascii="宋体" w:hAnsi="宋体" w:cs="宋体"/>
                <w:spacing w:val="-7"/>
                <w:kern w:val="2"/>
                <w:sz w:val="21"/>
                <w:szCs w:val="24"/>
                <w:lang w:eastAsia="zh-CN" w:bidi="zh-CN"/>
              </w:rPr>
            </w:pPr>
            <w:r>
              <w:rPr>
                <w:rFonts w:hint="eastAsia" w:ascii="宋体" w:hAnsi="宋体" w:cs="宋体"/>
                <w:spacing w:val="-7"/>
                <w:kern w:val="2"/>
                <w:sz w:val="21"/>
                <w:szCs w:val="24"/>
                <w:lang w:eastAsia="zh-CN" w:bidi="zh-CN"/>
              </w:rPr>
              <w:t>（</w:t>
            </w:r>
            <w:r>
              <w:rPr>
                <w:rFonts w:hint="eastAsia" w:ascii="宋体" w:hAnsi="宋体" w:cs="宋体"/>
                <w:spacing w:val="-7"/>
                <w:kern w:val="2"/>
                <w:sz w:val="21"/>
                <w:szCs w:val="24"/>
                <w:lang w:val="en-US" w:eastAsia="zh-CN" w:bidi="zh-CN"/>
              </w:rPr>
              <w:t>3</w:t>
            </w:r>
            <w:r>
              <w:rPr>
                <w:rFonts w:hint="eastAsia" w:ascii="宋体" w:hAnsi="宋体" w:cs="宋体"/>
                <w:spacing w:val="-7"/>
                <w:kern w:val="2"/>
                <w:sz w:val="21"/>
                <w:szCs w:val="24"/>
                <w:lang w:eastAsia="zh-CN" w:bidi="zh-CN"/>
              </w:rPr>
              <w:t>）应急指挥部将泄露情况通报民众镇应急管理部门、民众生态环境分局，水利部门等有关部门；</w:t>
            </w:r>
          </w:p>
          <w:p>
            <w:pPr>
              <w:spacing w:line="0" w:lineRule="atLeast"/>
              <w:rPr>
                <w:rFonts w:hint="default" w:ascii="宋体" w:hAnsi="宋体" w:cs="宋体"/>
                <w:spacing w:val="-7"/>
                <w:kern w:val="2"/>
                <w:sz w:val="21"/>
                <w:szCs w:val="24"/>
                <w:lang w:val="en-US" w:eastAsia="zh-CN" w:bidi="zh-CN"/>
              </w:rPr>
            </w:pPr>
            <w:r>
              <w:rPr>
                <w:rFonts w:hint="eastAsia" w:ascii="宋体" w:hAnsi="宋体" w:cs="宋体"/>
                <w:spacing w:val="-7"/>
                <w:kern w:val="2"/>
                <w:sz w:val="21"/>
                <w:szCs w:val="24"/>
                <w:lang w:eastAsia="zh-CN" w:bidi="zh-CN"/>
              </w:rPr>
              <w:t>（</w:t>
            </w:r>
            <w:r>
              <w:rPr>
                <w:rFonts w:hint="eastAsia" w:ascii="宋体" w:hAnsi="宋体" w:cs="宋体"/>
                <w:spacing w:val="-7"/>
                <w:kern w:val="2"/>
                <w:sz w:val="21"/>
                <w:szCs w:val="24"/>
                <w:lang w:val="en-US" w:eastAsia="zh-CN" w:bidi="zh-CN"/>
              </w:rPr>
              <w:t>4</w:t>
            </w:r>
            <w:r>
              <w:rPr>
                <w:rFonts w:hint="eastAsia" w:ascii="宋体" w:hAnsi="宋体" w:cs="宋体"/>
                <w:spacing w:val="-7"/>
                <w:kern w:val="2"/>
                <w:sz w:val="21"/>
                <w:szCs w:val="24"/>
                <w:lang w:eastAsia="zh-CN" w:bidi="zh-CN"/>
              </w:rPr>
              <w:t>）应急指挥部积极配合政府相关管理部门作</w:t>
            </w:r>
            <w:r>
              <w:rPr>
                <w:rFonts w:hint="eastAsia" w:ascii="宋体" w:hAnsi="宋体" w:cs="宋体"/>
                <w:spacing w:val="-7"/>
                <w:kern w:val="2"/>
                <w:sz w:val="21"/>
                <w:szCs w:val="24"/>
                <w:lang w:bidi="zh-CN"/>
              </w:rPr>
              <w:t>进一步处理</w:t>
            </w:r>
            <w:r>
              <w:rPr>
                <w:rFonts w:hint="eastAsia" w:ascii="宋体" w:hAnsi="宋体" w:cs="宋体"/>
                <w:spacing w:val="-7"/>
                <w:kern w:val="2"/>
                <w:sz w:val="21"/>
                <w:szCs w:val="24"/>
                <w:lang w:eastAsia="zh-CN" w:bidi="zh-CN"/>
              </w:rPr>
              <w:t>。</w:t>
            </w:r>
          </w:p>
          <w:p>
            <w:pPr>
              <w:spacing w:line="0" w:lineRule="atLeast"/>
              <w:rPr>
                <w:rFonts w:ascii="宋体" w:cs="宋体"/>
                <w:spacing w:val="-7"/>
                <w:kern w:val="2"/>
                <w:sz w:val="21"/>
                <w:szCs w:val="24"/>
                <w:lang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9180" w:type="dxa"/>
            <w:gridSpan w:val="8"/>
            <w:tcBorders>
              <w:tl2br w:val="nil"/>
              <w:tr2bl w:val="nil"/>
            </w:tcBorders>
            <w:shd w:val="clear" w:color="auto" w:fill="auto"/>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内部应急小组联系方式</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3124" w:type="dxa"/>
            <w:gridSpan w:val="2"/>
            <w:tcBorders>
              <w:tl2br w:val="nil"/>
              <w:tr2bl w:val="nil"/>
            </w:tcBorders>
            <w:shd w:val="clear" w:color="auto" w:fill="auto"/>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部门</w:t>
            </w:r>
          </w:p>
        </w:tc>
        <w:tc>
          <w:tcPr>
            <w:tcW w:w="2938" w:type="dxa"/>
            <w:gridSpan w:val="3"/>
            <w:tcBorders>
              <w:tl2br w:val="nil"/>
              <w:tr2bl w:val="nil"/>
            </w:tcBorders>
            <w:shd w:val="clear" w:color="auto" w:fill="auto"/>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负责人</w:t>
            </w:r>
          </w:p>
        </w:tc>
        <w:tc>
          <w:tcPr>
            <w:tcW w:w="3118" w:type="dxa"/>
            <w:gridSpan w:val="3"/>
            <w:tcBorders>
              <w:tl2br w:val="nil"/>
              <w:tr2bl w:val="nil"/>
            </w:tcBorders>
            <w:shd w:val="clear" w:color="auto" w:fill="auto"/>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联系方式</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3124" w:type="dxa"/>
            <w:gridSpan w:val="2"/>
            <w:tcBorders>
              <w:tl2br w:val="nil"/>
              <w:tr2bl w:val="nil"/>
            </w:tcBorders>
            <w:shd w:val="clear" w:color="auto" w:fill="auto"/>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应急抢险组</w:t>
            </w:r>
          </w:p>
        </w:tc>
        <w:tc>
          <w:tcPr>
            <w:tcW w:w="2938" w:type="dxa"/>
            <w:gridSpan w:val="3"/>
            <w:tcBorders>
              <w:tl2br w:val="nil"/>
              <w:tr2bl w:val="nil"/>
            </w:tcBorders>
            <w:shd w:val="clear" w:color="auto" w:fill="auto"/>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张琼</w:t>
            </w:r>
          </w:p>
        </w:tc>
        <w:tc>
          <w:tcPr>
            <w:tcW w:w="3118" w:type="dxa"/>
            <w:gridSpan w:val="3"/>
            <w:tcBorders>
              <w:tl2br w:val="nil"/>
              <w:tr2bl w:val="nil"/>
            </w:tcBorders>
            <w:shd w:val="clear" w:color="auto" w:fill="auto"/>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13528178106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3124" w:type="dxa"/>
            <w:gridSpan w:val="2"/>
            <w:tcBorders>
              <w:tl2br w:val="nil"/>
              <w:tr2bl w:val="nil"/>
            </w:tcBorders>
            <w:shd w:val="clear" w:color="auto" w:fill="auto"/>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警戒疏散组</w:t>
            </w:r>
          </w:p>
        </w:tc>
        <w:tc>
          <w:tcPr>
            <w:tcW w:w="2938" w:type="dxa"/>
            <w:gridSpan w:val="3"/>
            <w:tcBorders>
              <w:tl2br w:val="nil"/>
              <w:tr2bl w:val="nil"/>
            </w:tcBorders>
            <w:shd w:val="clear" w:color="auto" w:fill="auto"/>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杜广宇</w:t>
            </w:r>
          </w:p>
        </w:tc>
        <w:tc>
          <w:tcPr>
            <w:tcW w:w="3118" w:type="dxa"/>
            <w:gridSpan w:val="3"/>
            <w:tcBorders>
              <w:tl2br w:val="nil"/>
              <w:tr2bl w:val="nil"/>
            </w:tcBorders>
            <w:shd w:val="clear" w:color="auto" w:fill="auto"/>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13549870979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3124" w:type="dxa"/>
            <w:gridSpan w:val="2"/>
            <w:tcBorders>
              <w:tl2br w:val="nil"/>
              <w:tr2bl w:val="nil"/>
            </w:tcBorders>
            <w:shd w:val="clear" w:color="auto" w:fill="auto"/>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医疗救助组</w:t>
            </w:r>
          </w:p>
        </w:tc>
        <w:tc>
          <w:tcPr>
            <w:tcW w:w="2938" w:type="dxa"/>
            <w:gridSpan w:val="3"/>
            <w:tcBorders>
              <w:tl2br w:val="nil"/>
              <w:tr2bl w:val="nil"/>
            </w:tcBorders>
            <w:shd w:val="clear" w:color="auto" w:fill="auto"/>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易剑锋</w:t>
            </w:r>
          </w:p>
        </w:tc>
        <w:tc>
          <w:tcPr>
            <w:tcW w:w="3118" w:type="dxa"/>
            <w:gridSpan w:val="3"/>
            <w:tcBorders>
              <w:tl2br w:val="nil"/>
              <w:tr2bl w:val="nil"/>
            </w:tcBorders>
            <w:shd w:val="clear" w:color="auto" w:fill="auto"/>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18802591209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3124" w:type="dxa"/>
            <w:gridSpan w:val="2"/>
            <w:tcBorders>
              <w:tl2br w:val="nil"/>
              <w:tr2bl w:val="nil"/>
            </w:tcBorders>
            <w:shd w:val="clear" w:color="auto" w:fill="auto"/>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后勤保障组</w:t>
            </w:r>
          </w:p>
        </w:tc>
        <w:tc>
          <w:tcPr>
            <w:tcW w:w="2938" w:type="dxa"/>
            <w:gridSpan w:val="3"/>
            <w:tcBorders>
              <w:tl2br w:val="nil"/>
              <w:tr2bl w:val="nil"/>
            </w:tcBorders>
            <w:shd w:val="clear" w:color="auto" w:fill="auto"/>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林志军</w:t>
            </w:r>
          </w:p>
        </w:tc>
        <w:tc>
          <w:tcPr>
            <w:tcW w:w="3118" w:type="dxa"/>
            <w:gridSpan w:val="3"/>
            <w:tcBorders>
              <w:tl2br w:val="nil"/>
              <w:tr2bl w:val="nil"/>
            </w:tcBorders>
            <w:shd w:val="clear" w:color="auto" w:fill="auto"/>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13005509678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3124" w:type="dxa"/>
            <w:gridSpan w:val="2"/>
            <w:tcBorders>
              <w:tl2br w:val="nil"/>
              <w:tr2bl w:val="nil"/>
            </w:tcBorders>
            <w:shd w:val="clear" w:color="auto" w:fill="auto"/>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应急监测组</w:t>
            </w:r>
          </w:p>
        </w:tc>
        <w:tc>
          <w:tcPr>
            <w:tcW w:w="2938" w:type="dxa"/>
            <w:gridSpan w:val="3"/>
            <w:tcBorders>
              <w:tl2br w:val="nil"/>
              <w:tr2bl w:val="nil"/>
            </w:tcBorders>
            <w:shd w:val="clear" w:color="auto" w:fill="auto"/>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魏超</w:t>
            </w:r>
          </w:p>
        </w:tc>
        <w:tc>
          <w:tcPr>
            <w:tcW w:w="3118" w:type="dxa"/>
            <w:gridSpan w:val="3"/>
            <w:tcBorders>
              <w:tl2br w:val="nil"/>
              <w:tr2bl w:val="nil"/>
            </w:tcBorders>
            <w:shd w:val="clear" w:color="auto" w:fill="auto"/>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13425494550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3124" w:type="dxa"/>
            <w:gridSpan w:val="2"/>
            <w:tcBorders>
              <w:tl2br w:val="nil"/>
              <w:tr2bl w:val="nil"/>
            </w:tcBorders>
            <w:shd w:val="clear" w:color="auto" w:fill="auto"/>
          </w:tcPr>
          <w:p>
            <w:pPr>
              <w:spacing w:line="0" w:lineRule="atLeast"/>
              <w:jc w:val="center"/>
              <w:rPr>
                <w:rFonts w:hint="eastAsia" w:ascii="宋体" w:hAnsi="宋体" w:cs="宋体"/>
                <w:spacing w:val="-7"/>
                <w:kern w:val="2"/>
                <w:sz w:val="21"/>
                <w:szCs w:val="24"/>
                <w:lang w:bidi="zh-CN"/>
              </w:rPr>
            </w:pPr>
            <w:r>
              <w:rPr>
                <w:rFonts w:hint="eastAsia" w:ascii="宋体" w:hAnsi="宋体" w:cs="宋体"/>
                <w:spacing w:val="-7"/>
                <w:kern w:val="2"/>
                <w:sz w:val="21"/>
                <w:szCs w:val="24"/>
                <w:lang w:bidi="zh-CN"/>
              </w:rPr>
              <w:t>信息传输组</w:t>
            </w:r>
          </w:p>
        </w:tc>
        <w:tc>
          <w:tcPr>
            <w:tcW w:w="2938" w:type="dxa"/>
            <w:gridSpan w:val="3"/>
            <w:tcBorders>
              <w:tl2br w:val="nil"/>
              <w:tr2bl w:val="nil"/>
            </w:tcBorders>
            <w:shd w:val="clear" w:color="auto" w:fill="auto"/>
          </w:tcPr>
          <w:p>
            <w:pPr>
              <w:spacing w:line="0" w:lineRule="atLeast"/>
              <w:jc w:val="center"/>
              <w:rPr>
                <w:rFonts w:hint="eastAsia" w:ascii="宋体" w:hAnsi="宋体" w:cs="宋体"/>
                <w:spacing w:val="-7"/>
                <w:kern w:val="2"/>
                <w:sz w:val="21"/>
                <w:szCs w:val="24"/>
                <w:lang w:bidi="zh-CN"/>
              </w:rPr>
            </w:pPr>
            <w:r>
              <w:rPr>
                <w:rFonts w:hint="eastAsia" w:ascii="宋体" w:hAnsi="宋体" w:cs="宋体"/>
                <w:spacing w:val="-7"/>
                <w:kern w:val="2"/>
                <w:sz w:val="21"/>
                <w:szCs w:val="24"/>
                <w:lang w:bidi="zh-CN"/>
              </w:rPr>
              <w:t>吴伟业</w:t>
            </w:r>
          </w:p>
        </w:tc>
        <w:tc>
          <w:tcPr>
            <w:tcW w:w="3118" w:type="dxa"/>
            <w:gridSpan w:val="3"/>
            <w:tcBorders>
              <w:tl2br w:val="nil"/>
              <w:tr2bl w:val="nil"/>
            </w:tcBorders>
            <w:shd w:val="clear" w:color="auto" w:fill="auto"/>
          </w:tcPr>
          <w:p>
            <w:pPr>
              <w:spacing w:line="0" w:lineRule="atLeast"/>
              <w:jc w:val="center"/>
              <w:rPr>
                <w:rFonts w:hint="eastAsia" w:ascii="宋体" w:hAnsi="宋体" w:cs="宋体"/>
                <w:spacing w:val="-7"/>
                <w:kern w:val="2"/>
                <w:sz w:val="21"/>
                <w:szCs w:val="24"/>
                <w:lang w:bidi="zh-CN"/>
              </w:rPr>
            </w:pPr>
            <w:r>
              <w:rPr>
                <w:rFonts w:hint="eastAsia" w:ascii="宋体" w:hAnsi="宋体" w:cs="宋体"/>
                <w:spacing w:val="-7"/>
                <w:kern w:val="2"/>
                <w:sz w:val="21"/>
                <w:szCs w:val="24"/>
                <w:lang w:bidi="zh-CN"/>
              </w:rPr>
              <w:t>13702536238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9180" w:type="dxa"/>
            <w:gridSpan w:val="8"/>
            <w:tcBorders>
              <w:tl2br w:val="nil"/>
              <w:tr2bl w:val="nil"/>
            </w:tcBorders>
            <w:shd w:val="clear" w:color="auto" w:fill="auto"/>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外部联系电话</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4590" w:type="dxa"/>
            <w:gridSpan w:val="4"/>
            <w:tcBorders>
              <w:tl2br w:val="nil"/>
              <w:tr2bl w:val="nil"/>
            </w:tcBorders>
            <w:shd w:val="clear" w:color="auto" w:fill="auto"/>
            <w:vAlign w:val="center"/>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医疗救护</w:t>
            </w:r>
          </w:p>
        </w:tc>
        <w:tc>
          <w:tcPr>
            <w:tcW w:w="4590" w:type="dxa"/>
            <w:gridSpan w:val="4"/>
            <w:tcBorders>
              <w:tl2br w:val="nil"/>
              <w:tr2bl w:val="nil"/>
            </w:tcBorders>
            <w:shd w:val="clear" w:color="auto" w:fill="auto"/>
            <w:vAlign w:val="center"/>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120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4590" w:type="dxa"/>
            <w:gridSpan w:val="4"/>
            <w:tcBorders>
              <w:tl2br w:val="nil"/>
              <w:tr2bl w:val="nil"/>
            </w:tcBorders>
            <w:shd w:val="clear" w:color="auto" w:fill="auto"/>
            <w:vAlign w:val="center"/>
          </w:tcPr>
          <w:p>
            <w:pPr>
              <w:spacing w:line="0" w:lineRule="atLeast"/>
              <w:jc w:val="center"/>
              <w:rPr>
                <w:rFonts w:ascii="宋体" w:hAnsi="宋体" w:cs="宋体"/>
                <w:spacing w:val="-7"/>
                <w:kern w:val="2"/>
                <w:sz w:val="21"/>
                <w:szCs w:val="24"/>
                <w:lang w:bidi="zh-CN"/>
              </w:rPr>
            </w:pPr>
            <w:r>
              <w:rPr>
                <w:rFonts w:ascii="宋体" w:hAnsi="宋体" w:cs="宋体"/>
                <w:spacing w:val="-7"/>
                <w:kern w:val="2"/>
                <w:sz w:val="21"/>
                <w:szCs w:val="24"/>
                <w:lang w:bidi="zh-CN"/>
              </w:rPr>
              <w:t>中山市职业病防治所</w:t>
            </w:r>
          </w:p>
        </w:tc>
        <w:tc>
          <w:tcPr>
            <w:tcW w:w="4590" w:type="dxa"/>
            <w:gridSpan w:val="4"/>
            <w:tcBorders>
              <w:tl2br w:val="nil"/>
              <w:tr2bl w:val="nil"/>
            </w:tcBorders>
            <w:shd w:val="clear" w:color="auto" w:fill="auto"/>
            <w:vAlign w:val="center"/>
          </w:tcPr>
          <w:p>
            <w:pPr>
              <w:spacing w:line="0" w:lineRule="atLeast"/>
              <w:jc w:val="center"/>
              <w:rPr>
                <w:rFonts w:ascii="宋体" w:hAnsi="宋体" w:cs="宋体"/>
                <w:spacing w:val="-7"/>
                <w:kern w:val="2"/>
                <w:sz w:val="21"/>
                <w:szCs w:val="24"/>
                <w:lang w:bidi="zh-CN"/>
              </w:rPr>
            </w:pPr>
            <w:r>
              <w:rPr>
                <w:rFonts w:ascii="宋体" w:hAnsi="宋体" w:cs="宋体"/>
                <w:spacing w:val="-7"/>
                <w:kern w:val="2"/>
                <w:sz w:val="21"/>
                <w:szCs w:val="24"/>
                <w:lang w:bidi="zh-CN"/>
              </w:rPr>
              <w:t>0760-88825075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4590" w:type="dxa"/>
            <w:gridSpan w:val="4"/>
            <w:tcBorders>
              <w:tl2br w:val="nil"/>
              <w:tr2bl w:val="nil"/>
            </w:tcBorders>
            <w:shd w:val="clear" w:color="auto" w:fill="auto"/>
            <w:vAlign w:val="center"/>
          </w:tcPr>
          <w:p>
            <w:pPr>
              <w:spacing w:line="0" w:lineRule="atLeast"/>
              <w:jc w:val="center"/>
              <w:rPr>
                <w:rFonts w:ascii="宋体" w:hAnsi="宋体" w:cs="宋体"/>
                <w:spacing w:val="-7"/>
                <w:kern w:val="2"/>
                <w:sz w:val="21"/>
                <w:szCs w:val="24"/>
                <w:lang w:bidi="zh-CN"/>
              </w:rPr>
            </w:pPr>
            <w:r>
              <w:rPr>
                <w:rFonts w:ascii="宋体" w:hAnsi="宋体" w:cs="宋体"/>
                <w:spacing w:val="-7"/>
                <w:kern w:val="2"/>
                <w:sz w:val="21"/>
                <w:szCs w:val="24"/>
                <w:lang w:bidi="zh-CN"/>
              </w:rPr>
              <w:t>中山市卫生防疫站</w:t>
            </w:r>
          </w:p>
        </w:tc>
        <w:tc>
          <w:tcPr>
            <w:tcW w:w="4590" w:type="dxa"/>
            <w:gridSpan w:val="4"/>
            <w:tcBorders>
              <w:tl2br w:val="nil"/>
              <w:tr2bl w:val="nil"/>
            </w:tcBorders>
            <w:shd w:val="clear" w:color="auto" w:fill="auto"/>
            <w:vAlign w:val="center"/>
          </w:tcPr>
          <w:p>
            <w:pPr>
              <w:spacing w:line="0" w:lineRule="atLeast"/>
              <w:jc w:val="center"/>
              <w:rPr>
                <w:rFonts w:ascii="宋体" w:hAnsi="宋体" w:cs="宋体"/>
                <w:spacing w:val="-7"/>
                <w:kern w:val="2"/>
                <w:sz w:val="21"/>
                <w:szCs w:val="24"/>
                <w:lang w:bidi="zh-CN"/>
              </w:rPr>
            </w:pPr>
            <w:r>
              <w:rPr>
                <w:rFonts w:ascii="宋体" w:hAnsi="宋体" w:cs="宋体"/>
                <w:spacing w:val="-7"/>
                <w:kern w:val="2"/>
                <w:sz w:val="21"/>
                <w:szCs w:val="24"/>
                <w:lang w:bidi="zh-CN"/>
              </w:rPr>
              <w:t>0760-88855964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4590" w:type="dxa"/>
            <w:gridSpan w:val="4"/>
            <w:tcBorders>
              <w:tl2br w:val="nil"/>
              <w:tr2bl w:val="nil"/>
            </w:tcBorders>
            <w:shd w:val="clear" w:color="auto" w:fill="auto"/>
            <w:vAlign w:val="center"/>
          </w:tcPr>
          <w:p>
            <w:pPr>
              <w:spacing w:line="0" w:lineRule="atLeast"/>
              <w:jc w:val="center"/>
              <w:rPr>
                <w:rFonts w:ascii="宋体" w:hAnsi="宋体" w:cs="宋体"/>
                <w:spacing w:val="-7"/>
                <w:kern w:val="2"/>
                <w:sz w:val="21"/>
                <w:szCs w:val="24"/>
                <w:lang w:bidi="zh-CN"/>
              </w:rPr>
            </w:pPr>
            <w:r>
              <w:rPr>
                <w:rFonts w:ascii="宋体" w:hAnsi="宋体" w:cs="宋体"/>
                <w:spacing w:val="-7"/>
                <w:kern w:val="2"/>
                <w:sz w:val="21"/>
                <w:szCs w:val="24"/>
                <w:lang w:bidi="zh-CN"/>
              </w:rPr>
              <w:t>中山市</w:t>
            </w:r>
            <w:r>
              <w:rPr>
                <w:rFonts w:hint="eastAsia" w:ascii="宋体" w:hAnsi="宋体" w:cs="宋体"/>
                <w:spacing w:val="-7"/>
                <w:kern w:val="2"/>
                <w:sz w:val="21"/>
                <w:szCs w:val="24"/>
                <w:lang w:eastAsia="zh-CN" w:bidi="zh-CN"/>
              </w:rPr>
              <w:t>生态环境</w:t>
            </w:r>
            <w:r>
              <w:rPr>
                <w:rFonts w:ascii="宋体" w:hAnsi="宋体" w:cs="宋体"/>
                <w:spacing w:val="-7"/>
                <w:kern w:val="2"/>
                <w:sz w:val="21"/>
                <w:szCs w:val="24"/>
                <w:lang w:bidi="zh-CN"/>
              </w:rPr>
              <w:t>局</w:t>
            </w:r>
          </w:p>
        </w:tc>
        <w:tc>
          <w:tcPr>
            <w:tcW w:w="4590" w:type="dxa"/>
            <w:gridSpan w:val="4"/>
            <w:tcBorders>
              <w:tl2br w:val="nil"/>
              <w:tr2bl w:val="nil"/>
            </w:tcBorders>
            <w:shd w:val="clear" w:color="auto" w:fill="auto"/>
            <w:vAlign w:val="center"/>
          </w:tcPr>
          <w:p>
            <w:pPr>
              <w:spacing w:line="0" w:lineRule="atLeast"/>
              <w:jc w:val="center"/>
              <w:rPr>
                <w:rFonts w:ascii="宋体" w:hAnsi="宋体" w:cs="宋体"/>
                <w:spacing w:val="-7"/>
                <w:kern w:val="2"/>
                <w:sz w:val="21"/>
                <w:szCs w:val="24"/>
                <w:lang w:bidi="zh-CN"/>
              </w:rPr>
            </w:pPr>
            <w:r>
              <w:rPr>
                <w:rFonts w:ascii="宋体" w:hAnsi="宋体" w:cs="宋体"/>
                <w:spacing w:val="-7"/>
                <w:kern w:val="2"/>
                <w:sz w:val="21"/>
                <w:szCs w:val="24"/>
                <w:lang w:bidi="zh-CN"/>
              </w:rPr>
              <w:t>0760-88329817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4590" w:type="dxa"/>
            <w:gridSpan w:val="4"/>
            <w:tcBorders>
              <w:tl2br w:val="nil"/>
              <w:tr2bl w:val="nil"/>
            </w:tcBorders>
            <w:shd w:val="clear" w:color="auto" w:fill="auto"/>
            <w:vAlign w:val="center"/>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eastAsia="zh-CN" w:bidi="zh-CN"/>
              </w:rPr>
              <w:t>民众生态环境</w:t>
            </w:r>
            <w:r>
              <w:rPr>
                <w:rFonts w:hint="eastAsia" w:ascii="宋体" w:hAnsi="宋体" w:cs="宋体"/>
                <w:spacing w:val="-7"/>
                <w:kern w:val="2"/>
                <w:sz w:val="21"/>
                <w:szCs w:val="24"/>
                <w:lang w:bidi="zh-CN"/>
              </w:rPr>
              <w:t>分</w:t>
            </w:r>
            <w:r>
              <w:rPr>
                <w:rFonts w:ascii="宋体" w:hAnsi="宋体" w:cs="宋体"/>
                <w:spacing w:val="-7"/>
                <w:kern w:val="2"/>
                <w:sz w:val="21"/>
                <w:szCs w:val="24"/>
                <w:lang w:bidi="zh-CN"/>
              </w:rPr>
              <w:t>局</w:t>
            </w:r>
          </w:p>
        </w:tc>
        <w:tc>
          <w:tcPr>
            <w:tcW w:w="4590" w:type="dxa"/>
            <w:gridSpan w:val="4"/>
            <w:tcBorders>
              <w:tl2br w:val="nil"/>
              <w:tr2bl w:val="nil"/>
            </w:tcBorders>
            <w:shd w:val="clear" w:color="auto" w:fill="auto"/>
            <w:vAlign w:val="center"/>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0760-85570277</w:t>
            </w:r>
          </w:p>
        </w:tc>
      </w:tr>
    </w:tbl>
    <w:p/>
    <w:p/>
    <w:p/>
    <w:p/>
    <w:p/>
    <w:p/>
    <w:p/>
    <w:p/>
    <w:p/>
    <w:p/>
    <w:p/>
    <w:p/>
    <w:p/>
    <w:p/>
    <w:p/>
    <w:p/>
    <w:p/>
    <w:p>
      <w:pPr>
        <w:jc w:val="center"/>
        <w:rPr>
          <w:rFonts w:hint="eastAsia" w:eastAsia="宋体"/>
          <w:lang w:eastAsia="zh-CN"/>
        </w:rPr>
      </w:pPr>
      <w:r>
        <w:rPr>
          <w:rFonts w:hint="eastAsia"/>
          <w:lang w:eastAsia="zh-CN"/>
        </w:rPr>
        <w:t>沼气泄漏事故现场应急处置卡</w:t>
      </w:r>
    </w:p>
    <w:tbl>
      <w:tblPr>
        <w:tblStyle w:val="42"/>
        <w:tblW w:w="9180" w:type="dxa"/>
        <w:jc w:val="cente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Layout w:type="fixed"/>
        <w:tblCellMar>
          <w:top w:w="0" w:type="dxa"/>
          <w:left w:w="0" w:type="dxa"/>
          <w:bottom w:w="0" w:type="dxa"/>
          <w:right w:w="0" w:type="dxa"/>
        </w:tblCellMar>
      </w:tblPr>
      <w:tblGrid>
        <w:gridCol w:w="1475"/>
        <w:gridCol w:w="1649"/>
        <w:gridCol w:w="527"/>
        <w:gridCol w:w="939"/>
        <w:gridCol w:w="1472"/>
        <w:gridCol w:w="284"/>
        <w:gridCol w:w="1032"/>
        <w:gridCol w:w="1802"/>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Layout w:type="fixed"/>
          <w:tblCellMar>
            <w:top w:w="0" w:type="dxa"/>
            <w:left w:w="0" w:type="dxa"/>
            <w:bottom w:w="0" w:type="dxa"/>
            <w:right w:w="0" w:type="dxa"/>
          </w:tblCellMar>
        </w:tblPrEx>
        <w:trPr>
          <w:trHeight w:val="90" w:hRule="atLeast"/>
          <w:jc w:val="center"/>
        </w:trPr>
        <w:tc>
          <w:tcPr>
            <w:tcW w:w="9180" w:type="dxa"/>
            <w:gridSpan w:val="8"/>
            <w:tcBorders>
              <w:tl2br w:val="nil"/>
              <w:tr2bl w:val="nil"/>
            </w:tcBorders>
            <w:shd w:val="clear" w:color="auto" w:fill="auto"/>
          </w:tcPr>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基本情况</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247" w:hRule="atLeast"/>
          <w:jc w:val="center"/>
        </w:trPr>
        <w:tc>
          <w:tcPr>
            <w:tcW w:w="1475" w:type="dxa"/>
            <w:tcBorders>
              <w:tl2br w:val="nil"/>
              <w:tr2bl w:val="nil"/>
            </w:tcBorders>
            <w:shd w:val="clear" w:color="auto" w:fill="auto"/>
          </w:tcPr>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危险物质</w:t>
            </w:r>
          </w:p>
        </w:tc>
        <w:tc>
          <w:tcPr>
            <w:tcW w:w="2176" w:type="dxa"/>
            <w:gridSpan w:val="2"/>
            <w:tcBorders>
              <w:tl2br w:val="nil"/>
              <w:tr2bl w:val="nil"/>
            </w:tcBorders>
            <w:shd w:val="clear" w:color="auto" w:fill="auto"/>
          </w:tcPr>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沼气</w:t>
            </w:r>
          </w:p>
        </w:tc>
        <w:tc>
          <w:tcPr>
            <w:tcW w:w="2695" w:type="dxa"/>
            <w:gridSpan w:val="3"/>
            <w:tcBorders>
              <w:tl2br w:val="nil"/>
              <w:tr2bl w:val="nil"/>
            </w:tcBorders>
            <w:shd w:val="clear" w:color="auto" w:fill="auto"/>
          </w:tcPr>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可能发生的事故类型</w:t>
            </w:r>
          </w:p>
        </w:tc>
        <w:tc>
          <w:tcPr>
            <w:tcW w:w="2834" w:type="dxa"/>
            <w:gridSpan w:val="2"/>
            <w:tcBorders>
              <w:tl2br w:val="nil"/>
              <w:tr2bl w:val="nil"/>
            </w:tcBorders>
            <w:shd w:val="clear" w:color="auto" w:fill="auto"/>
          </w:tcPr>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沼气事故排放、火灾</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1475" w:type="dxa"/>
            <w:tcBorders>
              <w:tl2br w:val="nil"/>
              <w:tr2bl w:val="nil"/>
            </w:tcBorders>
            <w:shd w:val="clear" w:color="auto" w:fill="auto"/>
          </w:tcPr>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事故发生区域</w:t>
            </w:r>
          </w:p>
        </w:tc>
        <w:tc>
          <w:tcPr>
            <w:tcW w:w="7705" w:type="dxa"/>
            <w:gridSpan w:val="7"/>
            <w:tcBorders>
              <w:tl2br w:val="nil"/>
              <w:tr2bl w:val="nil"/>
            </w:tcBorders>
            <w:shd w:val="clear" w:color="auto" w:fill="auto"/>
          </w:tcPr>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eastAsia="zh-CN" w:bidi="zh-CN"/>
              </w:rPr>
              <w:t>消化储罐区沼气集气囊，沼气输送管道</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1475" w:type="dxa"/>
            <w:tcBorders>
              <w:tl2br w:val="nil"/>
              <w:tr2bl w:val="nil"/>
            </w:tcBorders>
            <w:shd w:val="clear" w:color="auto" w:fill="auto"/>
          </w:tcPr>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事故危害程度</w:t>
            </w:r>
          </w:p>
        </w:tc>
        <w:tc>
          <w:tcPr>
            <w:tcW w:w="7705" w:type="dxa"/>
            <w:gridSpan w:val="7"/>
            <w:tcBorders>
              <w:tl2br w:val="nil"/>
              <w:tr2bl w:val="nil"/>
            </w:tcBorders>
            <w:shd w:val="clear" w:color="auto" w:fill="auto"/>
          </w:tcPr>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沼气事故排放可能对周边大气环境造成污染，可能引起火灾事故</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1475" w:type="dxa"/>
            <w:tcBorders>
              <w:tl2br w:val="nil"/>
              <w:tr2bl w:val="nil"/>
            </w:tcBorders>
            <w:shd w:val="clear" w:color="auto" w:fill="auto"/>
          </w:tcPr>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处置程序</w:t>
            </w:r>
          </w:p>
        </w:tc>
        <w:tc>
          <w:tcPr>
            <w:tcW w:w="5903" w:type="dxa"/>
            <w:gridSpan w:val="6"/>
            <w:tcBorders>
              <w:tl2br w:val="nil"/>
              <w:tr2bl w:val="nil"/>
            </w:tcBorders>
            <w:shd w:val="clear" w:color="auto" w:fill="auto"/>
          </w:tcPr>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处置措施</w:t>
            </w:r>
          </w:p>
        </w:tc>
        <w:tc>
          <w:tcPr>
            <w:tcW w:w="1802" w:type="dxa"/>
            <w:tcBorders>
              <w:tl2br w:val="nil"/>
              <w:tr2bl w:val="nil"/>
            </w:tcBorders>
            <w:shd w:val="clear" w:color="auto" w:fill="auto"/>
          </w:tcPr>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责任人或责任单位</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1475" w:type="dxa"/>
            <w:vMerge w:val="restart"/>
            <w:tcBorders>
              <w:tl2br w:val="nil"/>
              <w:tr2bl w:val="nil"/>
            </w:tcBorders>
            <w:shd w:val="clear" w:color="auto" w:fill="auto"/>
          </w:tcPr>
          <w:p>
            <w:pPr>
              <w:spacing w:line="0" w:lineRule="atLeast"/>
              <w:rPr>
                <w:rFonts w:ascii="宋体" w:hAnsi="宋体" w:cs="宋体"/>
                <w:spacing w:val="-7"/>
                <w:kern w:val="2"/>
                <w:sz w:val="21"/>
                <w:szCs w:val="24"/>
                <w:lang w:bidi="zh-CN"/>
              </w:rPr>
            </w:pPr>
          </w:p>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事故报告</w:t>
            </w:r>
          </w:p>
        </w:tc>
        <w:tc>
          <w:tcPr>
            <w:tcW w:w="5903" w:type="dxa"/>
            <w:gridSpan w:val="6"/>
            <w:tcBorders>
              <w:tl2br w:val="nil"/>
              <w:tr2bl w:val="nil"/>
            </w:tcBorders>
            <w:shd w:val="clear" w:color="auto" w:fill="auto"/>
          </w:tcPr>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向本车间、生产主管报告，内容包括事故地点、类型及影响范围。</w:t>
            </w:r>
          </w:p>
        </w:tc>
        <w:tc>
          <w:tcPr>
            <w:tcW w:w="1802" w:type="dxa"/>
            <w:tcBorders>
              <w:tl2br w:val="nil"/>
              <w:tr2bl w:val="nil"/>
            </w:tcBorders>
            <w:shd w:val="clear" w:color="auto" w:fill="auto"/>
          </w:tcPr>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发现险情人员</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1475" w:type="dxa"/>
            <w:vMerge w:val="continue"/>
            <w:tcBorders>
              <w:tl2br w:val="nil"/>
              <w:tr2bl w:val="nil"/>
            </w:tcBorders>
            <w:shd w:val="clear" w:color="auto" w:fill="auto"/>
          </w:tcPr>
          <w:p>
            <w:pPr>
              <w:spacing w:line="0" w:lineRule="atLeast"/>
              <w:rPr>
                <w:rFonts w:ascii="宋体" w:hAnsi="宋体" w:cs="宋体"/>
                <w:spacing w:val="-7"/>
                <w:kern w:val="2"/>
                <w:sz w:val="21"/>
                <w:szCs w:val="24"/>
                <w:lang w:bidi="zh-CN"/>
              </w:rPr>
            </w:pPr>
          </w:p>
        </w:tc>
        <w:tc>
          <w:tcPr>
            <w:tcW w:w="5903" w:type="dxa"/>
            <w:gridSpan w:val="6"/>
            <w:tcBorders>
              <w:tl2br w:val="nil"/>
              <w:tr2bl w:val="nil"/>
            </w:tcBorders>
            <w:shd w:val="clear" w:color="auto" w:fill="auto"/>
          </w:tcPr>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向公司应急救援指挥部报告，内容包括事故地点、类型影响范围和已采取的应急救援措施。</w:t>
            </w:r>
          </w:p>
        </w:tc>
        <w:tc>
          <w:tcPr>
            <w:tcW w:w="1802" w:type="dxa"/>
            <w:tcBorders>
              <w:tl2br w:val="nil"/>
              <w:tr2bl w:val="nil"/>
            </w:tcBorders>
            <w:shd w:val="clear" w:color="auto" w:fill="auto"/>
          </w:tcPr>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车间、部门主管</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1475" w:type="dxa"/>
            <w:tcBorders>
              <w:tl2br w:val="nil"/>
              <w:tr2bl w:val="nil"/>
            </w:tcBorders>
            <w:shd w:val="clear" w:color="auto" w:fill="auto"/>
          </w:tcPr>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应急准备</w:t>
            </w:r>
          </w:p>
        </w:tc>
        <w:tc>
          <w:tcPr>
            <w:tcW w:w="5903" w:type="dxa"/>
            <w:gridSpan w:val="6"/>
            <w:tcBorders>
              <w:tl2br w:val="nil"/>
              <w:tr2bl w:val="nil"/>
            </w:tcBorders>
            <w:shd w:val="clear" w:color="auto" w:fill="auto"/>
          </w:tcPr>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针对不同事故类型，准备消防、应急物资，组织应急小组人员进行救援。</w:t>
            </w:r>
          </w:p>
        </w:tc>
        <w:tc>
          <w:tcPr>
            <w:tcW w:w="1802" w:type="dxa"/>
            <w:tcBorders>
              <w:tl2br w:val="nil"/>
              <w:tr2bl w:val="nil"/>
            </w:tcBorders>
            <w:shd w:val="clear" w:color="auto" w:fill="auto"/>
          </w:tcPr>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应急指挥部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431" w:hRule="atLeast"/>
          <w:jc w:val="center"/>
        </w:trPr>
        <w:tc>
          <w:tcPr>
            <w:tcW w:w="1475" w:type="dxa"/>
            <w:tcBorders>
              <w:tl2br w:val="nil"/>
              <w:tr2bl w:val="nil"/>
            </w:tcBorders>
            <w:shd w:val="clear" w:color="auto" w:fill="auto"/>
          </w:tcPr>
          <w:p>
            <w:pPr>
              <w:spacing w:line="0" w:lineRule="atLeast"/>
              <w:rPr>
                <w:rFonts w:ascii="宋体" w:hAnsi="宋体" w:cs="宋体"/>
                <w:spacing w:val="-7"/>
                <w:kern w:val="2"/>
                <w:sz w:val="21"/>
                <w:szCs w:val="24"/>
                <w:lang w:bidi="zh-CN"/>
              </w:rPr>
            </w:pPr>
          </w:p>
          <w:p>
            <w:pPr>
              <w:spacing w:line="0" w:lineRule="atLeast"/>
              <w:rPr>
                <w:rFonts w:ascii="宋体" w:hAnsi="宋体" w:cs="宋体"/>
                <w:spacing w:val="-7"/>
                <w:kern w:val="2"/>
                <w:sz w:val="21"/>
                <w:szCs w:val="24"/>
                <w:lang w:bidi="zh-CN"/>
              </w:rPr>
            </w:pPr>
          </w:p>
          <w:p>
            <w:pPr>
              <w:spacing w:line="0" w:lineRule="atLeast"/>
              <w:rPr>
                <w:rFonts w:ascii="宋体" w:hAnsi="宋体" w:cs="宋体"/>
                <w:spacing w:val="-7"/>
                <w:kern w:val="2"/>
                <w:sz w:val="21"/>
                <w:szCs w:val="24"/>
                <w:lang w:bidi="zh-CN"/>
              </w:rPr>
            </w:pPr>
          </w:p>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现场处置</w:t>
            </w:r>
          </w:p>
        </w:tc>
        <w:tc>
          <w:tcPr>
            <w:tcW w:w="7705" w:type="dxa"/>
            <w:gridSpan w:val="7"/>
            <w:tcBorders>
              <w:tl2br w:val="nil"/>
              <w:tr2bl w:val="nil"/>
            </w:tcBorders>
            <w:shd w:val="clear" w:color="auto" w:fill="auto"/>
          </w:tcPr>
          <w:p>
            <w:pPr>
              <w:numPr>
                <w:ilvl w:val="0"/>
                <w:numId w:val="17"/>
              </w:numPr>
              <w:spacing w:line="0" w:lineRule="atLeast"/>
              <w:rPr>
                <w:rFonts w:hint="eastAsia" w:ascii="宋体" w:hAnsi="宋体" w:cs="宋体"/>
                <w:spacing w:val="-7"/>
                <w:kern w:val="2"/>
                <w:sz w:val="21"/>
                <w:szCs w:val="24"/>
                <w:lang w:eastAsia="zh-CN" w:bidi="zh-CN"/>
              </w:rPr>
            </w:pPr>
            <w:r>
              <w:rPr>
                <w:rFonts w:hint="eastAsia" w:ascii="宋体" w:hAnsi="宋体" w:cs="宋体"/>
                <w:spacing w:val="-7"/>
                <w:kern w:val="2"/>
                <w:sz w:val="21"/>
                <w:szCs w:val="24"/>
                <w:lang w:eastAsia="zh-CN" w:bidi="zh-CN"/>
              </w:rPr>
              <w:t>当班人员应立即停止相关作业，关闭相关设备及阀门</w:t>
            </w:r>
          </w:p>
          <w:p>
            <w:pPr>
              <w:spacing w:line="0" w:lineRule="atLeast"/>
              <w:rPr>
                <w:rFonts w:hint="eastAsia" w:ascii="宋体" w:hAnsi="宋体" w:cs="宋体"/>
                <w:spacing w:val="-7"/>
                <w:kern w:val="2"/>
                <w:sz w:val="21"/>
                <w:szCs w:val="24"/>
                <w:lang w:eastAsia="zh-CN" w:bidi="zh-CN"/>
              </w:rPr>
            </w:pPr>
            <w:r>
              <w:rPr>
                <w:rFonts w:hint="eastAsia" w:ascii="宋体" w:hAnsi="宋体" w:cs="宋体"/>
                <w:spacing w:val="-7"/>
                <w:kern w:val="2"/>
                <w:sz w:val="21"/>
                <w:szCs w:val="24"/>
                <w:lang w:eastAsia="zh-CN" w:bidi="zh-CN"/>
              </w:rPr>
              <w:t>（</w:t>
            </w:r>
            <w:r>
              <w:rPr>
                <w:rFonts w:hint="eastAsia" w:ascii="宋体" w:hAnsi="宋体" w:cs="宋体"/>
                <w:spacing w:val="-7"/>
                <w:kern w:val="2"/>
                <w:sz w:val="21"/>
                <w:szCs w:val="24"/>
                <w:lang w:val="en-US" w:eastAsia="zh-CN" w:bidi="zh-CN"/>
              </w:rPr>
              <w:t>2</w:t>
            </w:r>
            <w:r>
              <w:rPr>
                <w:rFonts w:hint="eastAsia" w:ascii="宋体" w:hAnsi="宋体" w:cs="宋体"/>
                <w:spacing w:val="-7"/>
                <w:kern w:val="2"/>
                <w:sz w:val="21"/>
                <w:szCs w:val="24"/>
                <w:lang w:eastAsia="zh-CN" w:bidi="zh-CN"/>
              </w:rPr>
              <w:t>）应急救援人员对设备进行排查，确定沼气的泄漏部位、泄漏量找出泄露位置并抢险；</w:t>
            </w:r>
          </w:p>
          <w:p>
            <w:pPr>
              <w:spacing w:line="0" w:lineRule="atLeast"/>
              <w:rPr>
                <w:rFonts w:hint="eastAsia" w:ascii="宋体" w:hAnsi="宋体" w:cs="宋体"/>
                <w:spacing w:val="-7"/>
                <w:kern w:val="2"/>
                <w:sz w:val="21"/>
                <w:szCs w:val="24"/>
                <w:lang w:eastAsia="zh-CN" w:bidi="zh-CN"/>
              </w:rPr>
            </w:pPr>
            <w:r>
              <w:rPr>
                <w:rFonts w:hint="eastAsia" w:ascii="宋体" w:hAnsi="宋体" w:cs="宋体"/>
                <w:spacing w:val="-7"/>
                <w:kern w:val="2"/>
                <w:sz w:val="21"/>
                <w:szCs w:val="24"/>
                <w:lang w:eastAsia="zh-CN" w:bidi="zh-CN"/>
              </w:rPr>
              <w:t>（</w:t>
            </w:r>
            <w:r>
              <w:rPr>
                <w:rFonts w:hint="eastAsia" w:ascii="宋体" w:hAnsi="宋体" w:cs="宋体"/>
                <w:spacing w:val="-7"/>
                <w:kern w:val="2"/>
                <w:sz w:val="21"/>
                <w:szCs w:val="24"/>
                <w:lang w:val="en-US" w:eastAsia="zh-CN" w:bidi="zh-CN"/>
              </w:rPr>
              <w:t>3</w:t>
            </w:r>
            <w:r>
              <w:rPr>
                <w:rFonts w:hint="eastAsia" w:ascii="宋体" w:hAnsi="宋体" w:cs="宋体"/>
                <w:spacing w:val="-7"/>
                <w:kern w:val="2"/>
                <w:sz w:val="21"/>
                <w:szCs w:val="24"/>
                <w:lang w:eastAsia="zh-CN" w:bidi="zh-CN"/>
              </w:rPr>
              <w:t>）现场警戒，消除泄漏污染区域的点火源，在彻底扑灭火灾前严禁其他人接近，</w:t>
            </w:r>
          </w:p>
          <w:p>
            <w:pPr>
              <w:spacing w:line="0" w:lineRule="atLeast"/>
              <w:rPr>
                <w:rFonts w:hint="eastAsia" w:ascii="宋体" w:hAnsi="宋体" w:cs="宋体"/>
                <w:spacing w:val="-7"/>
                <w:kern w:val="2"/>
                <w:sz w:val="21"/>
                <w:szCs w:val="24"/>
                <w:lang w:eastAsia="zh-CN" w:bidi="zh-CN"/>
              </w:rPr>
            </w:pPr>
            <w:r>
              <w:rPr>
                <w:rFonts w:hint="eastAsia" w:ascii="宋体" w:hAnsi="宋体" w:cs="宋体"/>
                <w:spacing w:val="-7"/>
                <w:kern w:val="2"/>
                <w:sz w:val="21"/>
                <w:szCs w:val="24"/>
                <w:lang w:eastAsia="zh-CN" w:bidi="zh-CN"/>
              </w:rPr>
              <w:t>（</w:t>
            </w:r>
            <w:r>
              <w:rPr>
                <w:rFonts w:hint="eastAsia" w:ascii="宋体" w:hAnsi="宋体" w:cs="宋体"/>
                <w:spacing w:val="-7"/>
                <w:kern w:val="2"/>
                <w:sz w:val="21"/>
                <w:szCs w:val="24"/>
                <w:lang w:val="en-US" w:eastAsia="zh-CN" w:bidi="zh-CN"/>
              </w:rPr>
              <w:t>4</w:t>
            </w:r>
            <w:r>
              <w:rPr>
                <w:rFonts w:hint="eastAsia" w:ascii="宋体" w:hAnsi="宋体" w:cs="宋体"/>
                <w:spacing w:val="-7"/>
                <w:kern w:val="2"/>
                <w:sz w:val="21"/>
                <w:szCs w:val="24"/>
                <w:lang w:eastAsia="zh-CN" w:bidi="zh-CN"/>
              </w:rPr>
              <w:t>）由应急指挥部将泄露情况通报民众镇应急管理部门、民众生态环境等有关部门及周边企业；</w:t>
            </w:r>
          </w:p>
          <w:p>
            <w:pPr>
              <w:spacing w:line="0" w:lineRule="atLeast"/>
              <w:rPr>
                <w:rFonts w:hint="default" w:ascii="宋体" w:hAnsi="宋体" w:cs="宋体"/>
                <w:spacing w:val="-7"/>
                <w:kern w:val="2"/>
                <w:sz w:val="21"/>
                <w:szCs w:val="24"/>
                <w:lang w:val="en-US" w:eastAsia="zh-CN" w:bidi="zh-CN"/>
              </w:rPr>
            </w:pPr>
            <w:r>
              <w:rPr>
                <w:rFonts w:hint="eastAsia" w:ascii="宋体" w:hAnsi="宋体" w:cs="宋体"/>
                <w:spacing w:val="-7"/>
                <w:kern w:val="2"/>
                <w:sz w:val="21"/>
                <w:szCs w:val="24"/>
                <w:lang w:eastAsia="zh-CN" w:bidi="zh-CN"/>
              </w:rPr>
              <w:t>（</w:t>
            </w:r>
            <w:r>
              <w:rPr>
                <w:rFonts w:hint="eastAsia" w:ascii="宋体" w:hAnsi="宋体" w:cs="宋体"/>
                <w:spacing w:val="-7"/>
                <w:kern w:val="2"/>
                <w:sz w:val="21"/>
                <w:szCs w:val="24"/>
                <w:lang w:val="en-US" w:eastAsia="zh-CN" w:bidi="zh-CN"/>
              </w:rPr>
              <w:t>5</w:t>
            </w:r>
            <w:r>
              <w:rPr>
                <w:rFonts w:hint="eastAsia" w:ascii="宋体" w:hAnsi="宋体" w:cs="宋体"/>
                <w:spacing w:val="-7"/>
                <w:kern w:val="2"/>
                <w:sz w:val="21"/>
                <w:szCs w:val="24"/>
                <w:lang w:eastAsia="zh-CN" w:bidi="zh-CN"/>
              </w:rPr>
              <w:t>）应急指挥部积极配合政府相关管理部门作进一步处理。</w:t>
            </w:r>
          </w:p>
          <w:p>
            <w:pPr>
              <w:spacing w:line="0" w:lineRule="atLeast"/>
              <w:rPr>
                <w:rFonts w:ascii="宋体" w:cs="宋体"/>
                <w:spacing w:val="-7"/>
                <w:kern w:val="2"/>
                <w:sz w:val="21"/>
                <w:szCs w:val="24"/>
                <w:lang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9180" w:type="dxa"/>
            <w:gridSpan w:val="8"/>
            <w:tcBorders>
              <w:tl2br w:val="nil"/>
              <w:tr2bl w:val="nil"/>
            </w:tcBorders>
            <w:shd w:val="clear" w:color="auto" w:fill="auto"/>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内部应急小组联系方式</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3124" w:type="dxa"/>
            <w:gridSpan w:val="2"/>
            <w:tcBorders>
              <w:tl2br w:val="nil"/>
              <w:tr2bl w:val="nil"/>
            </w:tcBorders>
            <w:shd w:val="clear" w:color="auto" w:fill="auto"/>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部门</w:t>
            </w:r>
          </w:p>
        </w:tc>
        <w:tc>
          <w:tcPr>
            <w:tcW w:w="2938" w:type="dxa"/>
            <w:gridSpan w:val="3"/>
            <w:tcBorders>
              <w:tl2br w:val="nil"/>
              <w:tr2bl w:val="nil"/>
            </w:tcBorders>
            <w:shd w:val="clear" w:color="auto" w:fill="auto"/>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负责人</w:t>
            </w:r>
          </w:p>
        </w:tc>
        <w:tc>
          <w:tcPr>
            <w:tcW w:w="3118" w:type="dxa"/>
            <w:gridSpan w:val="3"/>
            <w:tcBorders>
              <w:tl2br w:val="nil"/>
              <w:tr2bl w:val="nil"/>
            </w:tcBorders>
            <w:shd w:val="clear" w:color="auto" w:fill="auto"/>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联系方式</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3124" w:type="dxa"/>
            <w:gridSpan w:val="2"/>
            <w:tcBorders>
              <w:tl2br w:val="nil"/>
              <w:tr2bl w:val="nil"/>
            </w:tcBorders>
            <w:shd w:val="clear" w:color="auto" w:fill="auto"/>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应急抢险组</w:t>
            </w:r>
          </w:p>
        </w:tc>
        <w:tc>
          <w:tcPr>
            <w:tcW w:w="2938" w:type="dxa"/>
            <w:gridSpan w:val="3"/>
            <w:tcBorders>
              <w:tl2br w:val="nil"/>
              <w:tr2bl w:val="nil"/>
            </w:tcBorders>
            <w:shd w:val="clear" w:color="auto" w:fill="auto"/>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张琼</w:t>
            </w:r>
          </w:p>
        </w:tc>
        <w:tc>
          <w:tcPr>
            <w:tcW w:w="3118" w:type="dxa"/>
            <w:gridSpan w:val="3"/>
            <w:tcBorders>
              <w:tl2br w:val="nil"/>
              <w:tr2bl w:val="nil"/>
            </w:tcBorders>
            <w:shd w:val="clear" w:color="auto" w:fill="auto"/>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13528178106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3124" w:type="dxa"/>
            <w:gridSpan w:val="2"/>
            <w:tcBorders>
              <w:tl2br w:val="nil"/>
              <w:tr2bl w:val="nil"/>
            </w:tcBorders>
            <w:shd w:val="clear" w:color="auto" w:fill="auto"/>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警戒疏散组</w:t>
            </w:r>
          </w:p>
        </w:tc>
        <w:tc>
          <w:tcPr>
            <w:tcW w:w="2938" w:type="dxa"/>
            <w:gridSpan w:val="3"/>
            <w:tcBorders>
              <w:tl2br w:val="nil"/>
              <w:tr2bl w:val="nil"/>
            </w:tcBorders>
            <w:shd w:val="clear" w:color="auto" w:fill="auto"/>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杜广宇</w:t>
            </w:r>
          </w:p>
        </w:tc>
        <w:tc>
          <w:tcPr>
            <w:tcW w:w="3118" w:type="dxa"/>
            <w:gridSpan w:val="3"/>
            <w:tcBorders>
              <w:tl2br w:val="nil"/>
              <w:tr2bl w:val="nil"/>
            </w:tcBorders>
            <w:shd w:val="clear" w:color="auto" w:fill="auto"/>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13549870979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3124" w:type="dxa"/>
            <w:gridSpan w:val="2"/>
            <w:tcBorders>
              <w:tl2br w:val="nil"/>
              <w:tr2bl w:val="nil"/>
            </w:tcBorders>
            <w:shd w:val="clear" w:color="auto" w:fill="auto"/>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医疗救助组</w:t>
            </w:r>
          </w:p>
        </w:tc>
        <w:tc>
          <w:tcPr>
            <w:tcW w:w="2938" w:type="dxa"/>
            <w:gridSpan w:val="3"/>
            <w:tcBorders>
              <w:tl2br w:val="nil"/>
              <w:tr2bl w:val="nil"/>
            </w:tcBorders>
            <w:shd w:val="clear" w:color="auto" w:fill="auto"/>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易剑锋</w:t>
            </w:r>
          </w:p>
        </w:tc>
        <w:tc>
          <w:tcPr>
            <w:tcW w:w="3118" w:type="dxa"/>
            <w:gridSpan w:val="3"/>
            <w:tcBorders>
              <w:tl2br w:val="nil"/>
              <w:tr2bl w:val="nil"/>
            </w:tcBorders>
            <w:shd w:val="clear" w:color="auto" w:fill="auto"/>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18802591209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3124" w:type="dxa"/>
            <w:gridSpan w:val="2"/>
            <w:tcBorders>
              <w:tl2br w:val="nil"/>
              <w:tr2bl w:val="nil"/>
            </w:tcBorders>
            <w:shd w:val="clear" w:color="auto" w:fill="auto"/>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后勤保障组</w:t>
            </w:r>
          </w:p>
        </w:tc>
        <w:tc>
          <w:tcPr>
            <w:tcW w:w="2938" w:type="dxa"/>
            <w:gridSpan w:val="3"/>
            <w:tcBorders>
              <w:tl2br w:val="nil"/>
              <w:tr2bl w:val="nil"/>
            </w:tcBorders>
            <w:shd w:val="clear" w:color="auto" w:fill="auto"/>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林志军</w:t>
            </w:r>
          </w:p>
        </w:tc>
        <w:tc>
          <w:tcPr>
            <w:tcW w:w="3118" w:type="dxa"/>
            <w:gridSpan w:val="3"/>
            <w:tcBorders>
              <w:tl2br w:val="nil"/>
              <w:tr2bl w:val="nil"/>
            </w:tcBorders>
            <w:shd w:val="clear" w:color="auto" w:fill="auto"/>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13005509678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3124" w:type="dxa"/>
            <w:gridSpan w:val="2"/>
            <w:tcBorders>
              <w:tl2br w:val="nil"/>
              <w:tr2bl w:val="nil"/>
            </w:tcBorders>
            <w:shd w:val="clear" w:color="auto" w:fill="auto"/>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应急监测组</w:t>
            </w:r>
          </w:p>
        </w:tc>
        <w:tc>
          <w:tcPr>
            <w:tcW w:w="2938" w:type="dxa"/>
            <w:gridSpan w:val="3"/>
            <w:tcBorders>
              <w:tl2br w:val="nil"/>
              <w:tr2bl w:val="nil"/>
            </w:tcBorders>
            <w:shd w:val="clear" w:color="auto" w:fill="auto"/>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魏超</w:t>
            </w:r>
          </w:p>
        </w:tc>
        <w:tc>
          <w:tcPr>
            <w:tcW w:w="3118" w:type="dxa"/>
            <w:gridSpan w:val="3"/>
            <w:tcBorders>
              <w:tl2br w:val="nil"/>
              <w:tr2bl w:val="nil"/>
            </w:tcBorders>
            <w:shd w:val="clear" w:color="auto" w:fill="auto"/>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13425494550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3124" w:type="dxa"/>
            <w:gridSpan w:val="2"/>
            <w:tcBorders>
              <w:tl2br w:val="nil"/>
              <w:tr2bl w:val="nil"/>
            </w:tcBorders>
            <w:shd w:val="clear" w:color="auto" w:fill="auto"/>
          </w:tcPr>
          <w:p>
            <w:pPr>
              <w:spacing w:line="0" w:lineRule="atLeast"/>
              <w:jc w:val="center"/>
              <w:rPr>
                <w:rFonts w:hint="eastAsia" w:ascii="宋体" w:hAnsi="宋体" w:cs="宋体"/>
                <w:spacing w:val="-7"/>
                <w:kern w:val="2"/>
                <w:sz w:val="21"/>
                <w:szCs w:val="24"/>
                <w:lang w:bidi="zh-CN"/>
              </w:rPr>
            </w:pPr>
            <w:r>
              <w:rPr>
                <w:rFonts w:hint="eastAsia" w:ascii="宋体" w:hAnsi="宋体" w:cs="宋体"/>
                <w:spacing w:val="-7"/>
                <w:kern w:val="2"/>
                <w:sz w:val="21"/>
                <w:szCs w:val="24"/>
                <w:lang w:bidi="zh-CN"/>
              </w:rPr>
              <w:t>信息传输组</w:t>
            </w:r>
          </w:p>
        </w:tc>
        <w:tc>
          <w:tcPr>
            <w:tcW w:w="2938" w:type="dxa"/>
            <w:gridSpan w:val="3"/>
            <w:tcBorders>
              <w:tl2br w:val="nil"/>
              <w:tr2bl w:val="nil"/>
            </w:tcBorders>
            <w:shd w:val="clear" w:color="auto" w:fill="auto"/>
          </w:tcPr>
          <w:p>
            <w:pPr>
              <w:spacing w:line="0" w:lineRule="atLeast"/>
              <w:jc w:val="center"/>
              <w:rPr>
                <w:rFonts w:hint="eastAsia" w:ascii="宋体" w:hAnsi="宋体" w:cs="宋体"/>
                <w:spacing w:val="-7"/>
                <w:kern w:val="2"/>
                <w:sz w:val="21"/>
                <w:szCs w:val="24"/>
                <w:lang w:bidi="zh-CN"/>
              </w:rPr>
            </w:pPr>
            <w:r>
              <w:rPr>
                <w:rFonts w:hint="eastAsia" w:ascii="宋体" w:hAnsi="宋体" w:cs="宋体"/>
                <w:spacing w:val="-7"/>
                <w:kern w:val="2"/>
                <w:sz w:val="21"/>
                <w:szCs w:val="24"/>
                <w:lang w:bidi="zh-CN"/>
              </w:rPr>
              <w:t>吴伟业</w:t>
            </w:r>
          </w:p>
        </w:tc>
        <w:tc>
          <w:tcPr>
            <w:tcW w:w="3118" w:type="dxa"/>
            <w:gridSpan w:val="3"/>
            <w:tcBorders>
              <w:tl2br w:val="nil"/>
              <w:tr2bl w:val="nil"/>
            </w:tcBorders>
            <w:shd w:val="clear" w:color="auto" w:fill="auto"/>
          </w:tcPr>
          <w:p>
            <w:pPr>
              <w:spacing w:line="0" w:lineRule="atLeast"/>
              <w:jc w:val="center"/>
              <w:rPr>
                <w:rFonts w:hint="eastAsia" w:ascii="宋体" w:hAnsi="宋体" w:cs="宋体"/>
                <w:spacing w:val="-7"/>
                <w:kern w:val="2"/>
                <w:sz w:val="21"/>
                <w:szCs w:val="24"/>
                <w:lang w:bidi="zh-CN"/>
              </w:rPr>
            </w:pPr>
            <w:r>
              <w:rPr>
                <w:rFonts w:hint="eastAsia" w:ascii="宋体" w:hAnsi="宋体" w:cs="宋体"/>
                <w:spacing w:val="-7"/>
                <w:kern w:val="2"/>
                <w:sz w:val="21"/>
                <w:szCs w:val="24"/>
                <w:lang w:bidi="zh-CN"/>
              </w:rPr>
              <w:t>13702536238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9180" w:type="dxa"/>
            <w:gridSpan w:val="8"/>
            <w:tcBorders>
              <w:tl2br w:val="nil"/>
              <w:tr2bl w:val="nil"/>
            </w:tcBorders>
            <w:shd w:val="clear" w:color="auto" w:fill="auto"/>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外部联系电话</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4590" w:type="dxa"/>
            <w:gridSpan w:val="4"/>
            <w:tcBorders>
              <w:tl2br w:val="nil"/>
              <w:tr2bl w:val="nil"/>
            </w:tcBorders>
            <w:shd w:val="clear" w:color="auto" w:fill="auto"/>
            <w:vAlign w:val="center"/>
          </w:tcPr>
          <w:p>
            <w:pPr>
              <w:spacing w:line="0" w:lineRule="atLeast"/>
              <w:jc w:val="center"/>
              <w:rPr>
                <w:rFonts w:hint="eastAsia" w:ascii="宋体" w:hAnsi="宋体" w:cs="宋体"/>
                <w:spacing w:val="-7"/>
                <w:kern w:val="2"/>
                <w:sz w:val="21"/>
                <w:szCs w:val="24"/>
                <w:lang w:bidi="zh-CN"/>
              </w:rPr>
            </w:pPr>
            <w:r>
              <w:rPr>
                <w:rFonts w:hint="eastAsia" w:ascii="宋体" w:hAnsi="宋体" w:cs="宋体"/>
                <w:spacing w:val="-7"/>
                <w:kern w:val="2"/>
                <w:sz w:val="21"/>
                <w:szCs w:val="24"/>
                <w:lang w:bidi="zh-CN"/>
              </w:rPr>
              <w:t>医疗救护</w:t>
            </w:r>
          </w:p>
        </w:tc>
        <w:tc>
          <w:tcPr>
            <w:tcW w:w="4590" w:type="dxa"/>
            <w:gridSpan w:val="4"/>
            <w:tcBorders>
              <w:tl2br w:val="nil"/>
              <w:tr2bl w:val="nil"/>
            </w:tcBorders>
            <w:shd w:val="clear" w:color="auto" w:fill="auto"/>
            <w:vAlign w:val="center"/>
          </w:tcPr>
          <w:p>
            <w:pPr>
              <w:spacing w:line="0" w:lineRule="atLeast"/>
              <w:jc w:val="center"/>
              <w:rPr>
                <w:rFonts w:hint="eastAsia" w:ascii="宋体" w:hAnsi="宋体" w:cs="宋体"/>
                <w:spacing w:val="-7"/>
                <w:kern w:val="2"/>
                <w:sz w:val="21"/>
                <w:szCs w:val="24"/>
                <w:lang w:bidi="zh-CN"/>
              </w:rPr>
            </w:pPr>
            <w:r>
              <w:rPr>
                <w:rFonts w:hint="eastAsia" w:ascii="宋体" w:hAnsi="宋体" w:cs="宋体"/>
                <w:spacing w:val="-7"/>
                <w:kern w:val="2"/>
                <w:sz w:val="21"/>
                <w:szCs w:val="24"/>
                <w:lang w:bidi="zh-CN"/>
              </w:rPr>
              <w:t>120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4590" w:type="dxa"/>
            <w:gridSpan w:val="4"/>
            <w:tcBorders>
              <w:tl2br w:val="nil"/>
              <w:tr2bl w:val="nil"/>
            </w:tcBorders>
            <w:shd w:val="clear" w:color="auto" w:fill="auto"/>
            <w:vAlign w:val="center"/>
          </w:tcPr>
          <w:p>
            <w:pPr>
              <w:spacing w:line="0" w:lineRule="atLeast"/>
              <w:jc w:val="center"/>
              <w:rPr>
                <w:rFonts w:hint="eastAsia" w:ascii="宋体" w:hAnsi="宋体" w:cs="宋体"/>
                <w:spacing w:val="-7"/>
                <w:kern w:val="2"/>
                <w:sz w:val="21"/>
                <w:szCs w:val="24"/>
                <w:lang w:bidi="zh-CN"/>
              </w:rPr>
            </w:pPr>
            <w:r>
              <w:rPr>
                <w:rFonts w:hint="eastAsia" w:ascii="宋体" w:hAnsi="宋体" w:cs="宋体"/>
                <w:spacing w:val="-7"/>
                <w:kern w:val="2"/>
                <w:sz w:val="21"/>
                <w:szCs w:val="24"/>
                <w:lang w:bidi="zh-CN"/>
              </w:rPr>
              <w:t>中山市消防局</w:t>
            </w:r>
          </w:p>
        </w:tc>
        <w:tc>
          <w:tcPr>
            <w:tcW w:w="4590" w:type="dxa"/>
            <w:gridSpan w:val="4"/>
            <w:tcBorders>
              <w:tl2br w:val="nil"/>
              <w:tr2bl w:val="nil"/>
            </w:tcBorders>
            <w:shd w:val="clear" w:color="auto" w:fill="auto"/>
            <w:vAlign w:val="center"/>
          </w:tcPr>
          <w:p>
            <w:pPr>
              <w:spacing w:line="0" w:lineRule="atLeast"/>
              <w:jc w:val="center"/>
              <w:rPr>
                <w:rFonts w:hint="eastAsia" w:ascii="宋体" w:hAnsi="宋体" w:cs="宋体"/>
                <w:spacing w:val="-7"/>
                <w:kern w:val="2"/>
                <w:sz w:val="21"/>
                <w:szCs w:val="24"/>
                <w:lang w:bidi="zh-CN"/>
              </w:rPr>
            </w:pPr>
            <w:r>
              <w:rPr>
                <w:rFonts w:hint="eastAsia" w:ascii="宋体" w:hAnsi="宋体" w:cs="宋体"/>
                <w:spacing w:val="-7"/>
                <w:kern w:val="2"/>
                <w:sz w:val="21"/>
                <w:szCs w:val="24"/>
                <w:lang w:bidi="zh-CN"/>
              </w:rPr>
              <w:t>0760-88822841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4590" w:type="dxa"/>
            <w:gridSpan w:val="4"/>
            <w:tcBorders>
              <w:tl2br w:val="nil"/>
              <w:tr2bl w:val="nil"/>
            </w:tcBorders>
            <w:shd w:val="clear" w:color="auto" w:fill="auto"/>
            <w:vAlign w:val="center"/>
          </w:tcPr>
          <w:p>
            <w:pPr>
              <w:spacing w:line="0" w:lineRule="atLeast"/>
              <w:jc w:val="center"/>
              <w:rPr>
                <w:rFonts w:hint="eastAsia" w:ascii="宋体" w:hAnsi="宋体" w:cs="宋体"/>
                <w:spacing w:val="-7"/>
                <w:kern w:val="2"/>
                <w:sz w:val="21"/>
                <w:szCs w:val="24"/>
                <w:lang w:bidi="zh-CN"/>
              </w:rPr>
            </w:pPr>
            <w:r>
              <w:rPr>
                <w:rFonts w:hint="eastAsia" w:ascii="宋体" w:hAnsi="宋体" w:cs="宋体"/>
                <w:spacing w:val="-7"/>
                <w:kern w:val="2"/>
                <w:sz w:val="21"/>
                <w:szCs w:val="24"/>
                <w:lang w:bidi="zh-CN"/>
              </w:rPr>
              <w:t>中山市职业病防治所</w:t>
            </w:r>
          </w:p>
        </w:tc>
        <w:tc>
          <w:tcPr>
            <w:tcW w:w="4590" w:type="dxa"/>
            <w:gridSpan w:val="4"/>
            <w:tcBorders>
              <w:tl2br w:val="nil"/>
              <w:tr2bl w:val="nil"/>
            </w:tcBorders>
            <w:shd w:val="clear" w:color="auto" w:fill="auto"/>
            <w:vAlign w:val="center"/>
          </w:tcPr>
          <w:p>
            <w:pPr>
              <w:spacing w:line="0" w:lineRule="atLeast"/>
              <w:jc w:val="center"/>
              <w:rPr>
                <w:rFonts w:hint="eastAsia" w:ascii="宋体" w:hAnsi="宋体" w:cs="宋体"/>
                <w:spacing w:val="-7"/>
                <w:kern w:val="2"/>
                <w:sz w:val="21"/>
                <w:szCs w:val="24"/>
                <w:lang w:bidi="zh-CN"/>
              </w:rPr>
            </w:pPr>
            <w:r>
              <w:rPr>
                <w:rFonts w:hint="eastAsia" w:ascii="宋体" w:hAnsi="宋体" w:cs="宋体"/>
                <w:spacing w:val="-7"/>
                <w:kern w:val="2"/>
                <w:sz w:val="21"/>
                <w:szCs w:val="24"/>
                <w:lang w:bidi="zh-CN"/>
              </w:rPr>
              <w:t>0760-88825075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4590" w:type="dxa"/>
            <w:gridSpan w:val="4"/>
            <w:tcBorders>
              <w:tl2br w:val="nil"/>
              <w:tr2bl w:val="nil"/>
            </w:tcBorders>
            <w:shd w:val="clear" w:color="auto" w:fill="auto"/>
            <w:vAlign w:val="center"/>
          </w:tcPr>
          <w:p>
            <w:pPr>
              <w:spacing w:line="0" w:lineRule="atLeast"/>
              <w:jc w:val="center"/>
              <w:rPr>
                <w:rFonts w:hint="eastAsia" w:ascii="宋体" w:hAnsi="宋体" w:cs="宋体"/>
                <w:spacing w:val="-7"/>
                <w:kern w:val="2"/>
                <w:sz w:val="21"/>
                <w:szCs w:val="24"/>
                <w:lang w:bidi="zh-CN"/>
              </w:rPr>
            </w:pPr>
            <w:r>
              <w:rPr>
                <w:rFonts w:hint="eastAsia" w:ascii="宋体" w:hAnsi="宋体" w:cs="宋体"/>
                <w:spacing w:val="-7"/>
                <w:kern w:val="2"/>
                <w:sz w:val="21"/>
                <w:szCs w:val="24"/>
                <w:lang w:bidi="zh-CN"/>
              </w:rPr>
              <w:t>中山市卫生防疫站</w:t>
            </w:r>
          </w:p>
        </w:tc>
        <w:tc>
          <w:tcPr>
            <w:tcW w:w="4590" w:type="dxa"/>
            <w:gridSpan w:val="4"/>
            <w:tcBorders>
              <w:tl2br w:val="nil"/>
              <w:tr2bl w:val="nil"/>
            </w:tcBorders>
            <w:shd w:val="clear" w:color="auto" w:fill="auto"/>
            <w:vAlign w:val="center"/>
          </w:tcPr>
          <w:p>
            <w:pPr>
              <w:spacing w:line="0" w:lineRule="atLeast"/>
              <w:jc w:val="center"/>
              <w:rPr>
                <w:rFonts w:hint="eastAsia" w:ascii="宋体" w:hAnsi="宋体" w:cs="宋体"/>
                <w:spacing w:val="-7"/>
                <w:kern w:val="2"/>
                <w:sz w:val="21"/>
                <w:szCs w:val="24"/>
                <w:lang w:bidi="zh-CN"/>
              </w:rPr>
            </w:pPr>
            <w:r>
              <w:rPr>
                <w:rFonts w:hint="eastAsia" w:ascii="宋体" w:hAnsi="宋体" w:cs="宋体"/>
                <w:spacing w:val="-7"/>
                <w:kern w:val="2"/>
                <w:sz w:val="21"/>
                <w:szCs w:val="24"/>
                <w:lang w:bidi="zh-CN"/>
              </w:rPr>
              <w:t>0760-88855964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4590" w:type="dxa"/>
            <w:gridSpan w:val="4"/>
            <w:tcBorders>
              <w:tl2br w:val="nil"/>
              <w:tr2bl w:val="nil"/>
            </w:tcBorders>
            <w:shd w:val="clear" w:color="auto" w:fill="auto"/>
            <w:vAlign w:val="center"/>
          </w:tcPr>
          <w:p>
            <w:pPr>
              <w:spacing w:line="0" w:lineRule="atLeast"/>
              <w:jc w:val="center"/>
              <w:rPr>
                <w:rFonts w:hint="eastAsia" w:ascii="宋体" w:hAnsi="宋体" w:cs="宋体"/>
                <w:spacing w:val="-7"/>
                <w:kern w:val="2"/>
                <w:sz w:val="21"/>
                <w:szCs w:val="24"/>
                <w:lang w:bidi="zh-CN"/>
              </w:rPr>
            </w:pPr>
            <w:r>
              <w:rPr>
                <w:rFonts w:hint="eastAsia" w:ascii="宋体" w:hAnsi="宋体" w:cs="宋体"/>
                <w:spacing w:val="-7"/>
                <w:kern w:val="2"/>
                <w:sz w:val="21"/>
                <w:szCs w:val="24"/>
                <w:lang w:bidi="zh-CN"/>
              </w:rPr>
              <w:t>中山市</w:t>
            </w:r>
            <w:r>
              <w:rPr>
                <w:rFonts w:hint="eastAsia" w:ascii="宋体" w:hAnsi="宋体" w:cs="宋体"/>
                <w:spacing w:val="-7"/>
                <w:kern w:val="2"/>
                <w:sz w:val="21"/>
                <w:szCs w:val="24"/>
                <w:lang w:eastAsia="zh-CN" w:bidi="zh-CN"/>
              </w:rPr>
              <w:t>生态环境</w:t>
            </w:r>
            <w:r>
              <w:rPr>
                <w:rFonts w:hint="eastAsia" w:ascii="宋体" w:hAnsi="宋体" w:cs="宋体"/>
                <w:spacing w:val="-7"/>
                <w:kern w:val="2"/>
                <w:sz w:val="21"/>
                <w:szCs w:val="24"/>
                <w:lang w:bidi="zh-CN"/>
              </w:rPr>
              <w:t>局</w:t>
            </w:r>
          </w:p>
        </w:tc>
        <w:tc>
          <w:tcPr>
            <w:tcW w:w="4590" w:type="dxa"/>
            <w:gridSpan w:val="4"/>
            <w:tcBorders>
              <w:tl2br w:val="nil"/>
              <w:tr2bl w:val="nil"/>
            </w:tcBorders>
            <w:shd w:val="clear" w:color="auto" w:fill="auto"/>
            <w:vAlign w:val="center"/>
          </w:tcPr>
          <w:p>
            <w:pPr>
              <w:spacing w:line="0" w:lineRule="atLeast"/>
              <w:jc w:val="center"/>
              <w:rPr>
                <w:rFonts w:hint="eastAsia" w:ascii="宋体" w:hAnsi="宋体" w:cs="宋体"/>
                <w:spacing w:val="-7"/>
                <w:kern w:val="2"/>
                <w:sz w:val="21"/>
                <w:szCs w:val="24"/>
                <w:lang w:bidi="zh-CN"/>
              </w:rPr>
            </w:pPr>
            <w:r>
              <w:rPr>
                <w:rFonts w:hint="eastAsia" w:ascii="宋体" w:hAnsi="宋体" w:cs="宋体"/>
                <w:spacing w:val="-7"/>
                <w:kern w:val="2"/>
                <w:sz w:val="21"/>
                <w:szCs w:val="24"/>
                <w:lang w:bidi="zh-CN"/>
              </w:rPr>
              <w:t>0760-88329817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4590" w:type="dxa"/>
            <w:gridSpan w:val="4"/>
            <w:tcBorders>
              <w:tl2br w:val="nil"/>
              <w:tr2bl w:val="nil"/>
            </w:tcBorders>
            <w:shd w:val="clear" w:color="auto" w:fill="auto"/>
            <w:vAlign w:val="center"/>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eastAsia="zh-CN" w:bidi="zh-CN"/>
              </w:rPr>
              <w:t>民众生态环境</w:t>
            </w:r>
            <w:r>
              <w:rPr>
                <w:rFonts w:hint="eastAsia" w:ascii="宋体" w:hAnsi="宋体" w:cs="宋体"/>
                <w:spacing w:val="-7"/>
                <w:kern w:val="2"/>
                <w:sz w:val="21"/>
                <w:szCs w:val="24"/>
                <w:lang w:bidi="zh-CN"/>
              </w:rPr>
              <w:t>分</w:t>
            </w:r>
            <w:r>
              <w:rPr>
                <w:rFonts w:ascii="宋体" w:hAnsi="宋体" w:cs="宋体"/>
                <w:spacing w:val="-7"/>
                <w:kern w:val="2"/>
                <w:sz w:val="21"/>
                <w:szCs w:val="24"/>
                <w:lang w:bidi="zh-CN"/>
              </w:rPr>
              <w:t>局</w:t>
            </w:r>
          </w:p>
        </w:tc>
        <w:tc>
          <w:tcPr>
            <w:tcW w:w="4590" w:type="dxa"/>
            <w:gridSpan w:val="4"/>
            <w:tcBorders>
              <w:tl2br w:val="nil"/>
              <w:tr2bl w:val="nil"/>
            </w:tcBorders>
            <w:shd w:val="clear" w:color="auto" w:fill="auto"/>
            <w:vAlign w:val="center"/>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0760-85570277</w:t>
            </w:r>
          </w:p>
        </w:tc>
      </w:tr>
    </w:tbl>
    <w:p/>
    <w:p/>
    <w:p/>
    <w:p/>
    <w:p/>
    <w:p/>
    <w:p/>
    <w:p/>
    <w:p/>
    <w:p/>
    <w:p/>
    <w:p/>
    <w:p/>
    <w:p/>
    <w:p>
      <w:pPr>
        <w:jc w:val="center"/>
        <w:rPr>
          <w:rFonts w:hint="eastAsia" w:eastAsia="宋体"/>
          <w:lang w:eastAsia="zh-CN"/>
        </w:rPr>
      </w:pPr>
      <w:r>
        <w:rPr>
          <w:rFonts w:hint="eastAsia"/>
          <w:lang w:eastAsia="zh-CN"/>
        </w:rPr>
        <w:t>危险废物仓库泄露突发环境事件现场应急处置卡</w:t>
      </w:r>
    </w:p>
    <w:tbl>
      <w:tblPr>
        <w:tblStyle w:val="42"/>
        <w:tblW w:w="9180" w:type="dxa"/>
        <w:jc w:val="cente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Layout w:type="fixed"/>
        <w:tblCellMar>
          <w:top w:w="0" w:type="dxa"/>
          <w:left w:w="0" w:type="dxa"/>
          <w:bottom w:w="0" w:type="dxa"/>
          <w:right w:w="0" w:type="dxa"/>
        </w:tblCellMar>
      </w:tblPr>
      <w:tblGrid>
        <w:gridCol w:w="1475"/>
        <w:gridCol w:w="1649"/>
        <w:gridCol w:w="527"/>
        <w:gridCol w:w="939"/>
        <w:gridCol w:w="1472"/>
        <w:gridCol w:w="284"/>
        <w:gridCol w:w="1032"/>
        <w:gridCol w:w="1802"/>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Layout w:type="fixed"/>
          <w:tblCellMar>
            <w:top w:w="0" w:type="dxa"/>
            <w:left w:w="0" w:type="dxa"/>
            <w:bottom w:w="0" w:type="dxa"/>
            <w:right w:w="0" w:type="dxa"/>
          </w:tblCellMar>
        </w:tblPrEx>
        <w:trPr>
          <w:trHeight w:val="90" w:hRule="atLeast"/>
          <w:jc w:val="center"/>
        </w:trPr>
        <w:tc>
          <w:tcPr>
            <w:tcW w:w="9180" w:type="dxa"/>
            <w:gridSpan w:val="8"/>
            <w:tcBorders>
              <w:tl2br w:val="nil"/>
              <w:tr2bl w:val="nil"/>
            </w:tcBorders>
            <w:shd w:val="clear" w:color="auto" w:fill="auto"/>
          </w:tcPr>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基本情况</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247" w:hRule="atLeast"/>
          <w:jc w:val="center"/>
        </w:trPr>
        <w:tc>
          <w:tcPr>
            <w:tcW w:w="1475" w:type="dxa"/>
            <w:tcBorders>
              <w:tl2br w:val="nil"/>
              <w:tr2bl w:val="nil"/>
            </w:tcBorders>
            <w:shd w:val="clear" w:color="auto" w:fill="auto"/>
          </w:tcPr>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危险物质</w:t>
            </w:r>
          </w:p>
        </w:tc>
        <w:tc>
          <w:tcPr>
            <w:tcW w:w="2176" w:type="dxa"/>
            <w:gridSpan w:val="2"/>
            <w:tcBorders>
              <w:tl2br w:val="nil"/>
              <w:tr2bl w:val="nil"/>
            </w:tcBorders>
            <w:shd w:val="clear" w:color="auto" w:fill="auto"/>
          </w:tcPr>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废机油、实验室废液、废离子树脂等</w:t>
            </w:r>
          </w:p>
        </w:tc>
        <w:tc>
          <w:tcPr>
            <w:tcW w:w="2695" w:type="dxa"/>
            <w:gridSpan w:val="3"/>
            <w:tcBorders>
              <w:tl2br w:val="nil"/>
              <w:tr2bl w:val="nil"/>
            </w:tcBorders>
            <w:shd w:val="clear" w:color="auto" w:fill="auto"/>
          </w:tcPr>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可能发生的事故类型</w:t>
            </w:r>
          </w:p>
        </w:tc>
        <w:tc>
          <w:tcPr>
            <w:tcW w:w="2834" w:type="dxa"/>
            <w:gridSpan w:val="2"/>
            <w:tcBorders>
              <w:tl2br w:val="nil"/>
              <w:tr2bl w:val="nil"/>
            </w:tcBorders>
            <w:shd w:val="clear" w:color="auto" w:fill="auto"/>
          </w:tcPr>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危险废物泄漏</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1475" w:type="dxa"/>
            <w:tcBorders>
              <w:tl2br w:val="nil"/>
              <w:tr2bl w:val="nil"/>
            </w:tcBorders>
            <w:shd w:val="clear" w:color="auto" w:fill="auto"/>
          </w:tcPr>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事故发生区域</w:t>
            </w:r>
          </w:p>
        </w:tc>
        <w:tc>
          <w:tcPr>
            <w:tcW w:w="7705" w:type="dxa"/>
            <w:gridSpan w:val="7"/>
            <w:tcBorders>
              <w:tl2br w:val="nil"/>
              <w:tr2bl w:val="nil"/>
            </w:tcBorders>
            <w:shd w:val="clear" w:color="auto" w:fill="auto"/>
          </w:tcPr>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eastAsia="zh-CN" w:bidi="zh-CN"/>
              </w:rPr>
              <w:t>危险废物仓库</w:t>
            </w:r>
            <w:r>
              <w:rPr>
                <w:rFonts w:hint="eastAsia" w:ascii="宋体" w:hAnsi="宋体" w:cs="宋体"/>
                <w:spacing w:val="-7"/>
                <w:kern w:val="2"/>
                <w:sz w:val="21"/>
                <w:szCs w:val="24"/>
                <w:lang w:bidi="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1475" w:type="dxa"/>
            <w:tcBorders>
              <w:tl2br w:val="nil"/>
              <w:tr2bl w:val="nil"/>
            </w:tcBorders>
            <w:shd w:val="clear" w:color="auto" w:fill="auto"/>
          </w:tcPr>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事故危害程度</w:t>
            </w:r>
          </w:p>
        </w:tc>
        <w:tc>
          <w:tcPr>
            <w:tcW w:w="7705" w:type="dxa"/>
            <w:gridSpan w:val="7"/>
            <w:tcBorders>
              <w:tl2br w:val="nil"/>
              <w:tr2bl w:val="nil"/>
            </w:tcBorders>
            <w:shd w:val="clear" w:color="auto" w:fill="auto"/>
          </w:tcPr>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危险废物泄露可能对水体造成污染，土壤环境造成污染物。</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1475" w:type="dxa"/>
            <w:tcBorders>
              <w:tl2br w:val="nil"/>
              <w:tr2bl w:val="nil"/>
            </w:tcBorders>
            <w:shd w:val="clear" w:color="auto" w:fill="auto"/>
          </w:tcPr>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处置程序</w:t>
            </w:r>
          </w:p>
        </w:tc>
        <w:tc>
          <w:tcPr>
            <w:tcW w:w="5903" w:type="dxa"/>
            <w:gridSpan w:val="6"/>
            <w:tcBorders>
              <w:tl2br w:val="nil"/>
              <w:tr2bl w:val="nil"/>
            </w:tcBorders>
            <w:shd w:val="clear" w:color="auto" w:fill="auto"/>
          </w:tcPr>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处置措施</w:t>
            </w:r>
          </w:p>
        </w:tc>
        <w:tc>
          <w:tcPr>
            <w:tcW w:w="1802" w:type="dxa"/>
            <w:tcBorders>
              <w:tl2br w:val="nil"/>
              <w:tr2bl w:val="nil"/>
            </w:tcBorders>
            <w:shd w:val="clear" w:color="auto" w:fill="auto"/>
          </w:tcPr>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责任人或责任单位</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1475" w:type="dxa"/>
            <w:vMerge w:val="restart"/>
            <w:tcBorders>
              <w:tl2br w:val="nil"/>
              <w:tr2bl w:val="nil"/>
            </w:tcBorders>
            <w:shd w:val="clear" w:color="auto" w:fill="auto"/>
          </w:tcPr>
          <w:p>
            <w:pPr>
              <w:spacing w:line="0" w:lineRule="atLeast"/>
              <w:rPr>
                <w:rFonts w:ascii="宋体" w:hAnsi="宋体" w:cs="宋体"/>
                <w:spacing w:val="-7"/>
                <w:kern w:val="2"/>
                <w:sz w:val="21"/>
                <w:szCs w:val="24"/>
                <w:lang w:bidi="zh-CN"/>
              </w:rPr>
            </w:pPr>
          </w:p>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事故报告</w:t>
            </w:r>
          </w:p>
        </w:tc>
        <w:tc>
          <w:tcPr>
            <w:tcW w:w="5903" w:type="dxa"/>
            <w:gridSpan w:val="6"/>
            <w:tcBorders>
              <w:tl2br w:val="nil"/>
              <w:tr2bl w:val="nil"/>
            </w:tcBorders>
            <w:shd w:val="clear" w:color="auto" w:fill="auto"/>
          </w:tcPr>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向本车间、生产主管报告，内容包括事故地点、类型及影响范围。</w:t>
            </w:r>
          </w:p>
        </w:tc>
        <w:tc>
          <w:tcPr>
            <w:tcW w:w="1802" w:type="dxa"/>
            <w:tcBorders>
              <w:tl2br w:val="nil"/>
              <w:tr2bl w:val="nil"/>
            </w:tcBorders>
            <w:shd w:val="clear" w:color="auto" w:fill="auto"/>
          </w:tcPr>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发现险情人员</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1475" w:type="dxa"/>
            <w:vMerge w:val="continue"/>
            <w:tcBorders>
              <w:tl2br w:val="nil"/>
              <w:tr2bl w:val="nil"/>
            </w:tcBorders>
            <w:shd w:val="clear" w:color="auto" w:fill="auto"/>
          </w:tcPr>
          <w:p>
            <w:pPr>
              <w:spacing w:line="0" w:lineRule="atLeast"/>
              <w:rPr>
                <w:rFonts w:ascii="宋体" w:hAnsi="宋体" w:cs="宋体"/>
                <w:spacing w:val="-7"/>
                <w:kern w:val="2"/>
                <w:sz w:val="21"/>
                <w:szCs w:val="24"/>
                <w:lang w:bidi="zh-CN"/>
              </w:rPr>
            </w:pPr>
          </w:p>
        </w:tc>
        <w:tc>
          <w:tcPr>
            <w:tcW w:w="5903" w:type="dxa"/>
            <w:gridSpan w:val="6"/>
            <w:tcBorders>
              <w:tl2br w:val="nil"/>
              <w:tr2bl w:val="nil"/>
            </w:tcBorders>
            <w:shd w:val="clear" w:color="auto" w:fill="auto"/>
          </w:tcPr>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向公司应急救援指挥部报告，内容包括事故地点、类型影响范围和已采取的应急救援措施。</w:t>
            </w:r>
          </w:p>
        </w:tc>
        <w:tc>
          <w:tcPr>
            <w:tcW w:w="1802" w:type="dxa"/>
            <w:tcBorders>
              <w:tl2br w:val="nil"/>
              <w:tr2bl w:val="nil"/>
            </w:tcBorders>
            <w:shd w:val="clear" w:color="auto" w:fill="auto"/>
          </w:tcPr>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车间、部门主管</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1475" w:type="dxa"/>
            <w:tcBorders>
              <w:tl2br w:val="nil"/>
              <w:tr2bl w:val="nil"/>
            </w:tcBorders>
            <w:shd w:val="clear" w:color="auto" w:fill="auto"/>
          </w:tcPr>
          <w:p>
            <w:pPr>
              <w:spacing w:line="0" w:lineRule="atLeast"/>
              <w:rPr>
                <w:rFonts w:ascii="宋体" w:hAnsi="宋体" w:cs="宋体"/>
                <w:spacing w:val="-7"/>
                <w:kern w:val="2"/>
                <w:sz w:val="21"/>
                <w:szCs w:val="24"/>
                <w:lang w:bidi="zh-CN"/>
              </w:rPr>
            </w:pPr>
          </w:p>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应急准备</w:t>
            </w:r>
          </w:p>
        </w:tc>
        <w:tc>
          <w:tcPr>
            <w:tcW w:w="5903" w:type="dxa"/>
            <w:gridSpan w:val="6"/>
            <w:tcBorders>
              <w:tl2br w:val="nil"/>
              <w:tr2bl w:val="nil"/>
            </w:tcBorders>
            <w:shd w:val="clear" w:color="auto" w:fill="auto"/>
          </w:tcPr>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针对不同事故类型，准备消防、应急物资，组织应急小组人员进行救援。</w:t>
            </w:r>
          </w:p>
        </w:tc>
        <w:tc>
          <w:tcPr>
            <w:tcW w:w="1802" w:type="dxa"/>
            <w:tcBorders>
              <w:tl2br w:val="nil"/>
              <w:tr2bl w:val="nil"/>
            </w:tcBorders>
            <w:shd w:val="clear" w:color="auto" w:fill="auto"/>
          </w:tcPr>
          <w:p>
            <w:pPr>
              <w:spacing w:line="0" w:lineRule="atLeast"/>
              <w:rPr>
                <w:rFonts w:ascii="宋体" w:hAnsi="宋体" w:cs="宋体"/>
                <w:spacing w:val="-7"/>
                <w:kern w:val="2"/>
                <w:sz w:val="21"/>
                <w:szCs w:val="24"/>
                <w:lang w:bidi="zh-CN"/>
              </w:rPr>
            </w:pPr>
          </w:p>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应急指挥部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431" w:hRule="atLeast"/>
          <w:jc w:val="center"/>
        </w:trPr>
        <w:tc>
          <w:tcPr>
            <w:tcW w:w="1475" w:type="dxa"/>
            <w:tcBorders>
              <w:tl2br w:val="nil"/>
              <w:tr2bl w:val="nil"/>
            </w:tcBorders>
            <w:shd w:val="clear" w:color="auto" w:fill="auto"/>
          </w:tcPr>
          <w:p>
            <w:pPr>
              <w:spacing w:line="0" w:lineRule="atLeast"/>
              <w:rPr>
                <w:rFonts w:ascii="宋体" w:hAnsi="宋体" w:cs="宋体"/>
                <w:spacing w:val="-7"/>
                <w:kern w:val="2"/>
                <w:sz w:val="21"/>
                <w:szCs w:val="24"/>
                <w:lang w:bidi="zh-CN"/>
              </w:rPr>
            </w:pPr>
          </w:p>
          <w:p>
            <w:pPr>
              <w:spacing w:line="0" w:lineRule="atLeast"/>
              <w:rPr>
                <w:rFonts w:ascii="宋体" w:hAnsi="宋体" w:cs="宋体"/>
                <w:spacing w:val="-7"/>
                <w:kern w:val="2"/>
                <w:sz w:val="21"/>
                <w:szCs w:val="24"/>
                <w:lang w:bidi="zh-CN"/>
              </w:rPr>
            </w:pPr>
          </w:p>
          <w:p>
            <w:pPr>
              <w:spacing w:line="0" w:lineRule="atLeast"/>
              <w:rPr>
                <w:rFonts w:ascii="宋体" w:hAnsi="宋体" w:cs="宋体"/>
                <w:spacing w:val="-7"/>
                <w:kern w:val="2"/>
                <w:sz w:val="21"/>
                <w:szCs w:val="24"/>
                <w:lang w:bidi="zh-CN"/>
              </w:rPr>
            </w:pPr>
          </w:p>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污泥泄漏现场处置</w:t>
            </w:r>
          </w:p>
        </w:tc>
        <w:tc>
          <w:tcPr>
            <w:tcW w:w="7705" w:type="dxa"/>
            <w:gridSpan w:val="7"/>
            <w:tcBorders>
              <w:tl2br w:val="nil"/>
              <w:tr2bl w:val="nil"/>
            </w:tcBorders>
            <w:shd w:val="clear" w:color="auto" w:fill="auto"/>
          </w:tcPr>
          <w:p>
            <w:pPr>
              <w:numPr>
                <w:ilvl w:val="0"/>
                <w:numId w:val="18"/>
              </w:numPr>
              <w:spacing w:line="0" w:lineRule="atLeast"/>
              <w:rPr>
                <w:rFonts w:hint="eastAsia" w:ascii="宋体" w:hAnsi="宋体" w:cs="宋体"/>
                <w:spacing w:val="-7"/>
                <w:kern w:val="2"/>
                <w:sz w:val="21"/>
                <w:szCs w:val="24"/>
                <w:lang w:bidi="zh-CN"/>
              </w:rPr>
            </w:pPr>
            <w:r>
              <w:rPr>
                <w:rFonts w:hint="eastAsia" w:ascii="宋体" w:hAnsi="宋体" w:cs="宋体"/>
                <w:spacing w:val="-7"/>
                <w:kern w:val="2"/>
                <w:sz w:val="21"/>
                <w:szCs w:val="24"/>
                <w:lang w:bidi="zh-CN"/>
              </w:rPr>
              <w:t>利用应急沙对泄露危险废物进行围堵、吸附；</w:t>
            </w:r>
          </w:p>
          <w:p>
            <w:pPr>
              <w:numPr>
                <w:ilvl w:val="0"/>
                <w:numId w:val="18"/>
              </w:numPr>
              <w:spacing w:line="0" w:lineRule="atLeast"/>
              <w:rPr>
                <w:rFonts w:hint="eastAsia" w:ascii="宋体" w:hAnsi="宋体" w:cs="宋体"/>
                <w:spacing w:val="-7"/>
                <w:kern w:val="2"/>
                <w:sz w:val="21"/>
                <w:szCs w:val="24"/>
                <w:lang w:bidi="zh-CN"/>
              </w:rPr>
            </w:pPr>
            <w:r>
              <w:rPr>
                <w:rFonts w:hint="eastAsia" w:ascii="宋体" w:hAnsi="宋体" w:cs="宋体"/>
                <w:spacing w:val="-7"/>
                <w:kern w:val="2"/>
                <w:sz w:val="21"/>
                <w:szCs w:val="24"/>
                <w:lang w:bidi="zh-CN"/>
              </w:rPr>
              <w:t>将围堰内危险废物及占用危险废物的应急砂等转移到应急桶内；</w:t>
            </w:r>
          </w:p>
          <w:p>
            <w:pPr>
              <w:spacing w:line="0" w:lineRule="atLeast"/>
              <w:rPr>
                <w:rFonts w:hint="eastAsia" w:ascii="宋体" w:hAnsi="宋体" w:cs="宋体"/>
                <w:spacing w:val="-7"/>
                <w:kern w:val="2"/>
                <w:sz w:val="21"/>
                <w:szCs w:val="24"/>
                <w:lang w:bidi="zh-CN"/>
              </w:rPr>
            </w:pPr>
            <w:r>
              <w:rPr>
                <w:rFonts w:hint="eastAsia" w:ascii="宋体" w:hAnsi="宋体" w:cs="宋体"/>
                <w:spacing w:val="-7"/>
                <w:kern w:val="2"/>
                <w:sz w:val="21"/>
                <w:szCs w:val="24"/>
                <w:lang w:bidi="zh-CN"/>
              </w:rPr>
              <w:t>（2）联系资质单位协助处理泄漏的废物；</w:t>
            </w:r>
          </w:p>
          <w:p>
            <w:pPr>
              <w:spacing w:line="0" w:lineRule="atLeast"/>
              <w:rPr>
                <w:rFonts w:hint="eastAsia" w:ascii="宋体" w:hAnsi="宋体" w:cs="宋体"/>
                <w:spacing w:val="-7"/>
                <w:kern w:val="2"/>
                <w:sz w:val="21"/>
                <w:szCs w:val="24"/>
                <w:lang w:bidi="zh-CN"/>
              </w:rPr>
            </w:pPr>
            <w:r>
              <w:rPr>
                <w:rFonts w:hint="eastAsia" w:ascii="宋体" w:hAnsi="宋体" w:cs="宋体"/>
                <w:spacing w:val="-7"/>
                <w:kern w:val="2"/>
                <w:sz w:val="21"/>
                <w:szCs w:val="24"/>
                <w:lang w:bidi="zh-CN"/>
              </w:rPr>
              <w:t>（3）检查泄漏原因，及时进行补漏处理；</w:t>
            </w:r>
          </w:p>
          <w:p>
            <w:pPr>
              <w:spacing w:line="0" w:lineRule="atLeast"/>
              <w:rPr>
                <w:rFonts w:ascii="宋体" w:cs="宋体"/>
                <w:spacing w:val="-7"/>
                <w:kern w:val="2"/>
                <w:sz w:val="21"/>
                <w:szCs w:val="24"/>
                <w:lang w:bidi="zh-CN"/>
              </w:rPr>
            </w:pPr>
            <w:r>
              <w:rPr>
                <w:rFonts w:hint="eastAsia" w:ascii="宋体" w:hAnsi="宋体" w:cs="宋体"/>
                <w:spacing w:val="-7"/>
                <w:kern w:val="2"/>
                <w:sz w:val="21"/>
                <w:szCs w:val="24"/>
                <w:lang w:bidi="zh-CN"/>
              </w:rPr>
              <w:t>（4）及时冲洗泄漏物，对受泄漏物污染的设备进行冲洗，将清洗废水转移至</w:t>
            </w:r>
            <w:r>
              <w:rPr>
                <w:rFonts w:hint="eastAsia" w:ascii="宋体" w:hAnsi="宋体" w:cs="宋体"/>
                <w:spacing w:val="-7"/>
                <w:kern w:val="2"/>
                <w:sz w:val="21"/>
                <w:szCs w:val="24"/>
                <w:lang w:eastAsia="zh-CN" w:bidi="zh-CN"/>
              </w:rPr>
              <w:t>密闭容器</w:t>
            </w:r>
            <w:r>
              <w:rPr>
                <w:rFonts w:hint="eastAsia" w:ascii="宋体" w:hAnsi="宋体" w:cs="宋体"/>
                <w:spacing w:val="-7"/>
                <w:kern w:val="2"/>
                <w:sz w:val="21"/>
                <w:szCs w:val="24"/>
                <w:lang w:bidi="zh-CN"/>
              </w:rPr>
              <w:t>内</w:t>
            </w:r>
            <w:r>
              <w:rPr>
                <w:rFonts w:hint="eastAsia" w:ascii="宋体" w:hAnsi="宋体" w:cs="宋体"/>
                <w:spacing w:val="-7"/>
                <w:kern w:val="2"/>
                <w:sz w:val="21"/>
                <w:szCs w:val="24"/>
                <w:lang w:eastAsia="zh-CN" w:bidi="zh-CN"/>
              </w:rPr>
              <w:t>暂存</w:t>
            </w:r>
            <w:r>
              <w:rPr>
                <w:rFonts w:hint="eastAsia" w:ascii="宋体" w:hAnsi="宋体" w:cs="宋体"/>
                <w:spacing w:val="-7"/>
                <w:kern w:val="2"/>
                <w:sz w:val="21"/>
                <w:szCs w:val="24"/>
                <w:lang w:bidi="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200" w:hRule="atLeast"/>
          <w:jc w:val="center"/>
        </w:trPr>
        <w:tc>
          <w:tcPr>
            <w:tcW w:w="9180" w:type="dxa"/>
            <w:gridSpan w:val="8"/>
            <w:tcBorders>
              <w:tl2br w:val="nil"/>
              <w:tr2bl w:val="nil"/>
            </w:tcBorders>
            <w:shd w:val="clear" w:color="auto" w:fill="auto"/>
          </w:tcPr>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应急人员防护、监护措施</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200" w:hRule="atLeast"/>
          <w:jc w:val="center"/>
        </w:trPr>
        <w:tc>
          <w:tcPr>
            <w:tcW w:w="9180" w:type="dxa"/>
            <w:gridSpan w:val="8"/>
            <w:tcBorders>
              <w:tl2br w:val="nil"/>
              <w:tr2bl w:val="nil"/>
            </w:tcBorders>
            <w:shd w:val="clear" w:color="auto" w:fill="auto"/>
          </w:tcPr>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应急人员应佩戴好防护用品，严防携带明火或可能产生火花的工具进入危险区域。</w:t>
            </w:r>
          </w:p>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正确使用抢险救援器材，不得冒险和蛮干，使用防火花工具。</w:t>
            </w:r>
          </w:p>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现场人员在在保证自身安全的前提下，采取积极有效的方法和措施进行自救和互救。不具备抢救条件时应尽快组织撤离。</w:t>
            </w:r>
          </w:p>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在自救或互救时，严禁各行其是和单独行动，提高预防爆炸、烧伤和中毒的警惕性， 避免再生事故的发生。</w:t>
            </w:r>
          </w:p>
          <w:p>
            <w:pPr>
              <w:spacing w:line="0" w:lineRule="atLeast"/>
              <w:rPr>
                <w:rFonts w:ascii="宋体" w:hAnsi="宋体" w:cs="宋体"/>
                <w:spacing w:val="-7"/>
                <w:kern w:val="2"/>
                <w:sz w:val="21"/>
                <w:szCs w:val="24"/>
                <w:lang w:bidi="zh-CN"/>
              </w:rPr>
            </w:pPr>
            <w:r>
              <w:rPr>
                <w:rFonts w:hint="eastAsia" w:ascii="宋体" w:hAnsi="宋体" w:cs="宋体"/>
                <w:spacing w:val="-7"/>
                <w:kern w:val="2"/>
                <w:sz w:val="21"/>
                <w:szCs w:val="24"/>
                <w:lang w:bidi="zh-CN"/>
              </w:rPr>
              <w:t>应急救援结束后，做好现场检查、人员清点等工作。</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9180" w:type="dxa"/>
            <w:gridSpan w:val="8"/>
            <w:tcBorders>
              <w:tl2br w:val="nil"/>
              <w:tr2bl w:val="nil"/>
            </w:tcBorders>
            <w:shd w:val="clear" w:color="auto" w:fill="auto"/>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内部应急小组联系方式</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3124" w:type="dxa"/>
            <w:gridSpan w:val="2"/>
            <w:tcBorders>
              <w:tl2br w:val="nil"/>
              <w:tr2bl w:val="nil"/>
            </w:tcBorders>
            <w:shd w:val="clear" w:color="auto" w:fill="auto"/>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部门</w:t>
            </w:r>
          </w:p>
        </w:tc>
        <w:tc>
          <w:tcPr>
            <w:tcW w:w="2938" w:type="dxa"/>
            <w:gridSpan w:val="3"/>
            <w:tcBorders>
              <w:tl2br w:val="nil"/>
              <w:tr2bl w:val="nil"/>
            </w:tcBorders>
            <w:shd w:val="clear" w:color="auto" w:fill="auto"/>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负责人</w:t>
            </w:r>
          </w:p>
        </w:tc>
        <w:tc>
          <w:tcPr>
            <w:tcW w:w="3118" w:type="dxa"/>
            <w:gridSpan w:val="3"/>
            <w:tcBorders>
              <w:tl2br w:val="nil"/>
              <w:tr2bl w:val="nil"/>
            </w:tcBorders>
            <w:shd w:val="clear" w:color="auto" w:fill="auto"/>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联系方式</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3124" w:type="dxa"/>
            <w:gridSpan w:val="2"/>
            <w:tcBorders>
              <w:tl2br w:val="nil"/>
              <w:tr2bl w:val="nil"/>
            </w:tcBorders>
            <w:shd w:val="clear" w:color="auto" w:fill="auto"/>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应急抢险组</w:t>
            </w:r>
          </w:p>
        </w:tc>
        <w:tc>
          <w:tcPr>
            <w:tcW w:w="2938" w:type="dxa"/>
            <w:gridSpan w:val="3"/>
            <w:tcBorders>
              <w:tl2br w:val="nil"/>
              <w:tr2bl w:val="nil"/>
            </w:tcBorders>
            <w:shd w:val="clear" w:color="auto" w:fill="auto"/>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张琼</w:t>
            </w:r>
          </w:p>
        </w:tc>
        <w:tc>
          <w:tcPr>
            <w:tcW w:w="3118" w:type="dxa"/>
            <w:gridSpan w:val="3"/>
            <w:tcBorders>
              <w:tl2br w:val="nil"/>
              <w:tr2bl w:val="nil"/>
            </w:tcBorders>
            <w:shd w:val="clear" w:color="auto" w:fill="auto"/>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13528178106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3124" w:type="dxa"/>
            <w:gridSpan w:val="2"/>
            <w:tcBorders>
              <w:tl2br w:val="nil"/>
              <w:tr2bl w:val="nil"/>
            </w:tcBorders>
            <w:shd w:val="clear" w:color="auto" w:fill="auto"/>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警戒疏散组</w:t>
            </w:r>
          </w:p>
        </w:tc>
        <w:tc>
          <w:tcPr>
            <w:tcW w:w="2938" w:type="dxa"/>
            <w:gridSpan w:val="3"/>
            <w:tcBorders>
              <w:tl2br w:val="nil"/>
              <w:tr2bl w:val="nil"/>
            </w:tcBorders>
            <w:shd w:val="clear" w:color="auto" w:fill="auto"/>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杜广宇</w:t>
            </w:r>
          </w:p>
        </w:tc>
        <w:tc>
          <w:tcPr>
            <w:tcW w:w="3118" w:type="dxa"/>
            <w:gridSpan w:val="3"/>
            <w:tcBorders>
              <w:tl2br w:val="nil"/>
              <w:tr2bl w:val="nil"/>
            </w:tcBorders>
            <w:shd w:val="clear" w:color="auto" w:fill="auto"/>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13549870979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3124" w:type="dxa"/>
            <w:gridSpan w:val="2"/>
            <w:tcBorders>
              <w:tl2br w:val="nil"/>
              <w:tr2bl w:val="nil"/>
            </w:tcBorders>
            <w:shd w:val="clear" w:color="auto" w:fill="auto"/>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医疗救助组</w:t>
            </w:r>
          </w:p>
        </w:tc>
        <w:tc>
          <w:tcPr>
            <w:tcW w:w="2938" w:type="dxa"/>
            <w:gridSpan w:val="3"/>
            <w:tcBorders>
              <w:tl2br w:val="nil"/>
              <w:tr2bl w:val="nil"/>
            </w:tcBorders>
            <w:shd w:val="clear" w:color="auto" w:fill="auto"/>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易剑锋</w:t>
            </w:r>
          </w:p>
        </w:tc>
        <w:tc>
          <w:tcPr>
            <w:tcW w:w="3118" w:type="dxa"/>
            <w:gridSpan w:val="3"/>
            <w:tcBorders>
              <w:tl2br w:val="nil"/>
              <w:tr2bl w:val="nil"/>
            </w:tcBorders>
            <w:shd w:val="clear" w:color="auto" w:fill="auto"/>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18802591209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3124" w:type="dxa"/>
            <w:gridSpan w:val="2"/>
            <w:tcBorders>
              <w:tl2br w:val="nil"/>
              <w:tr2bl w:val="nil"/>
            </w:tcBorders>
            <w:shd w:val="clear" w:color="auto" w:fill="auto"/>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后勤保障组</w:t>
            </w:r>
          </w:p>
        </w:tc>
        <w:tc>
          <w:tcPr>
            <w:tcW w:w="2938" w:type="dxa"/>
            <w:gridSpan w:val="3"/>
            <w:tcBorders>
              <w:tl2br w:val="nil"/>
              <w:tr2bl w:val="nil"/>
            </w:tcBorders>
            <w:shd w:val="clear" w:color="auto" w:fill="auto"/>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林志军</w:t>
            </w:r>
          </w:p>
        </w:tc>
        <w:tc>
          <w:tcPr>
            <w:tcW w:w="3118" w:type="dxa"/>
            <w:gridSpan w:val="3"/>
            <w:tcBorders>
              <w:tl2br w:val="nil"/>
              <w:tr2bl w:val="nil"/>
            </w:tcBorders>
            <w:shd w:val="clear" w:color="auto" w:fill="auto"/>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13005509678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3124" w:type="dxa"/>
            <w:gridSpan w:val="2"/>
            <w:tcBorders>
              <w:tl2br w:val="nil"/>
              <w:tr2bl w:val="nil"/>
            </w:tcBorders>
            <w:shd w:val="clear" w:color="auto" w:fill="auto"/>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应急监测组</w:t>
            </w:r>
          </w:p>
        </w:tc>
        <w:tc>
          <w:tcPr>
            <w:tcW w:w="2938" w:type="dxa"/>
            <w:gridSpan w:val="3"/>
            <w:tcBorders>
              <w:tl2br w:val="nil"/>
              <w:tr2bl w:val="nil"/>
            </w:tcBorders>
            <w:shd w:val="clear" w:color="auto" w:fill="auto"/>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魏超</w:t>
            </w:r>
          </w:p>
        </w:tc>
        <w:tc>
          <w:tcPr>
            <w:tcW w:w="3118" w:type="dxa"/>
            <w:gridSpan w:val="3"/>
            <w:tcBorders>
              <w:tl2br w:val="nil"/>
              <w:tr2bl w:val="nil"/>
            </w:tcBorders>
            <w:shd w:val="clear" w:color="auto" w:fill="auto"/>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13425494550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3124" w:type="dxa"/>
            <w:gridSpan w:val="2"/>
            <w:tcBorders>
              <w:tl2br w:val="nil"/>
              <w:tr2bl w:val="nil"/>
            </w:tcBorders>
            <w:shd w:val="clear" w:color="auto" w:fill="auto"/>
          </w:tcPr>
          <w:p>
            <w:pPr>
              <w:spacing w:line="0" w:lineRule="atLeast"/>
              <w:jc w:val="center"/>
              <w:rPr>
                <w:rFonts w:hint="eastAsia" w:ascii="宋体" w:hAnsi="宋体" w:cs="宋体"/>
                <w:spacing w:val="-7"/>
                <w:kern w:val="2"/>
                <w:sz w:val="21"/>
                <w:szCs w:val="24"/>
                <w:lang w:bidi="zh-CN"/>
              </w:rPr>
            </w:pPr>
            <w:r>
              <w:rPr>
                <w:rFonts w:hint="eastAsia" w:ascii="宋体" w:hAnsi="宋体" w:cs="宋体"/>
                <w:spacing w:val="-7"/>
                <w:kern w:val="2"/>
                <w:sz w:val="21"/>
                <w:szCs w:val="24"/>
                <w:lang w:bidi="zh-CN"/>
              </w:rPr>
              <w:t>信息传输组</w:t>
            </w:r>
          </w:p>
        </w:tc>
        <w:tc>
          <w:tcPr>
            <w:tcW w:w="2938" w:type="dxa"/>
            <w:gridSpan w:val="3"/>
            <w:tcBorders>
              <w:tl2br w:val="nil"/>
              <w:tr2bl w:val="nil"/>
            </w:tcBorders>
            <w:shd w:val="clear" w:color="auto" w:fill="auto"/>
          </w:tcPr>
          <w:p>
            <w:pPr>
              <w:spacing w:line="0" w:lineRule="atLeast"/>
              <w:jc w:val="center"/>
              <w:rPr>
                <w:rFonts w:hint="eastAsia" w:ascii="宋体" w:hAnsi="宋体" w:cs="宋体"/>
                <w:spacing w:val="-7"/>
                <w:kern w:val="2"/>
                <w:sz w:val="21"/>
                <w:szCs w:val="24"/>
                <w:lang w:bidi="zh-CN"/>
              </w:rPr>
            </w:pPr>
            <w:r>
              <w:rPr>
                <w:rFonts w:hint="eastAsia" w:ascii="宋体" w:hAnsi="宋体" w:cs="宋体"/>
                <w:spacing w:val="-7"/>
                <w:kern w:val="2"/>
                <w:sz w:val="21"/>
                <w:szCs w:val="24"/>
                <w:lang w:bidi="zh-CN"/>
              </w:rPr>
              <w:t>吴伟业</w:t>
            </w:r>
          </w:p>
        </w:tc>
        <w:tc>
          <w:tcPr>
            <w:tcW w:w="3118" w:type="dxa"/>
            <w:gridSpan w:val="3"/>
            <w:tcBorders>
              <w:tl2br w:val="nil"/>
              <w:tr2bl w:val="nil"/>
            </w:tcBorders>
            <w:shd w:val="clear" w:color="auto" w:fill="auto"/>
          </w:tcPr>
          <w:p>
            <w:pPr>
              <w:spacing w:line="0" w:lineRule="atLeast"/>
              <w:jc w:val="center"/>
              <w:rPr>
                <w:rFonts w:hint="eastAsia" w:ascii="宋体" w:hAnsi="宋体" w:cs="宋体"/>
                <w:spacing w:val="-7"/>
                <w:kern w:val="2"/>
                <w:sz w:val="21"/>
                <w:szCs w:val="24"/>
                <w:lang w:bidi="zh-CN"/>
              </w:rPr>
            </w:pPr>
            <w:r>
              <w:rPr>
                <w:rFonts w:hint="eastAsia" w:ascii="宋体" w:hAnsi="宋体" w:cs="宋体"/>
                <w:spacing w:val="-7"/>
                <w:kern w:val="2"/>
                <w:sz w:val="21"/>
                <w:szCs w:val="24"/>
                <w:lang w:bidi="zh-CN"/>
              </w:rPr>
              <w:t>13702536238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9180" w:type="dxa"/>
            <w:gridSpan w:val="8"/>
            <w:tcBorders>
              <w:tl2br w:val="nil"/>
              <w:tr2bl w:val="nil"/>
            </w:tcBorders>
            <w:shd w:val="clear" w:color="auto" w:fill="auto"/>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外部联系电话</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4590" w:type="dxa"/>
            <w:gridSpan w:val="4"/>
            <w:tcBorders>
              <w:tl2br w:val="nil"/>
              <w:tr2bl w:val="nil"/>
            </w:tcBorders>
            <w:shd w:val="clear" w:color="auto" w:fill="auto"/>
            <w:vAlign w:val="center"/>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医疗救护</w:t>
            </w:r>
          </w:p>
        </w:tc>
        <w:tc>
          <w:tcPr>
            <w:tcW w:w="4590" w:type="dxa"/>
            <w:gridSpan w:val="4"/>
            <w:tcBorders>
              <w:tl2br w:val="nil"/>
              <w:tr2bl w:val="nil"/>
            </w:tcBorders>
            <w:shd w:val="clear" w:color="auto" w:fill="auto"/>
            <w:vAlign w:val="center"/>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120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232" w:hRule="atLeast"/>
          <w:jc w:val="center"/>
        </w:trPr>
        <w:tc>
          <w:tcPr>
            <w:tcW w:w="4590" w:type="dxa"/>
            <w:gridSpan w:val="4"/>
            <w:tcBorders>
              <w:tl2br w:val="nil"/>
              <w:tr2bl w:val="nil"/>
            </w:tcBorders>
            <w:shd w:val="clear" w:color="auto" w:fill="auto"/>
            <w:vAlign w:val="center"/>
          </w:tcPr>
          <w:p>
            <w:pPr>
              <w:spacing w:line="0" w:lineRule="atLeast"/>
              <w:jc w:val="center"/>
              <w:rPr>
                <w:rFonts w:hint="eastAsia" w:ascii="宋体" w:hAnsi="宋体" w:cs="宋体"/>
                <w:spacing w:val="-7"/>
                <w:kern w:val="2"/>
                <w:sz w:val="21"/>
                <w:szCs w:val="24"/>
                <w:lang w:bidi="zh-CN"/>
              </w:rPr>
            </w:pPr>
            <w:r>
              <w:rPr>
                <w:rFonts w:hint="eastAsia" w:ascii="宋体" w:hAnsi="宋体" w:cs="宋体"/>
                <w:spacing w:val="-7"/>
                <w:kern w:val="2"/>
                <w:sz w:val="21"/>
                <w:szCs w:val="24"/>
                <w:lang w:bidi="zh-CN"/>
              </w:rPr>
              <w:t>中山市消防局</w:t>
            </w:r>
          </w:p>
        </w:tc>
        <w:tc>
          <w:tcPr>
            <w:tcW w:w="4590" w:type="dxa"/>
            <w:gridSpan w:val="4"/>
            <w:tcBorders>
              <w:tl2br w:val="nil"/>
              <w:tr2bl w:val="nil"/>
            </w:tcBorders>
            <w:shd w:val="clear" w:color="auto" w:fill="auto"/>
            <w:vAlign w:val="center"/>
          </w:tcPr>
          <w:p>
            <w:pPr>
              <w:spacing w:line="0" w:lineRule="atLeast"/>
              <w:jc w:val="center"/>
              <w:rPr>
                <w:rFonts w:hint="eastAsia" w:ascii="宋体" w:hAnsi="宋体" w:cs="宋体"/>
                <w:spacing w:val="-7"/>
                <w:kern w:val="2"/>
                <w:sz w:val="21"/>
                <w:szCs w:val="24"/>
                <w:lang w:bidi="zh-CN"/>
              </w:rPr>
            </w:pPr>
            <w:r>
              <w:rPr>
                <w:rFonts w:hint="eastAsia" w:ascii="宋体" w:hAnsi="宋体" w:cs="宋体"/>
                <w:spacing w:val="-7"/>
                <w:kern w:val="2"/>
                <w:sz w:val="21"/>
                <w:szCs w:val="24"/>
                <w:lang w:bidi="zh-CN"/>
              </w:rPr>
              <w:t>0760-88822841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4590" w:type="dxa"/>
            <w:gridSpan w:val="4"/>
            <w:tcBorders>
              <w:tl2br w:val="nil"/>
              <w:tr2bl w:val="nil"/>
            </w:tcBorders>
            <w:shd w:val="clear" w:color="auto" w:fill="auto"/>
            <w:vAlign w:val="center"/>
          </w:tcPr>
          <w:p>
            <w:pPr>
              <w:spacing w:line="0" w:lineRule="atLeast"/>
              <w:jc w:val="center"/>
              <w:rPr>
                <w:rFonts w:ascii="宋体" w:hAnsi="宋体" w:cs="宋体"/>
                <w:spacing w:val="-7"/>
                <w:kern w:val="2"/>
                <w:sz w:val="21"/>
                <w:szCs w:val="24"/>
                <w:lang w:bidi="zh-CN"/>
              </w:rPr>
            </w:pPr>
            <w:r>
              <w:rPr>
                <w:rFonts w:ascii="宋体" w:hAnsi="宋体" w:cs="宋体"/>
                <w:spacing w:val="-7"/>
                <w:kern w:val="2"/>
                <w:sz w:val="21"/>
                <w:szCs w:val="24"/>
                <w:lang w:bidi="zh-CN"/>
              </w:rPr>
              <w:t>中山市职业病防治所</w:t>
            </w:r>
          </w:p>
        </w:tc>
        <w:tc>
          <w:tcPr>
            <w:tcW w:w="4590" w:type="dxa"/>
            <w:gridSpan w:val="4"/>
            <w:tcBorders>
              <w:tl2br w:val="nil"/>
              <w:tr2bl w:val="nil"/>
            </w:tcBorders>
            <w:shd w:val="clear" w:color="auto" w:fill="auto"/>
            <w:vAlign w:val="center"/>
          </w:tcPr>
          <w:p>
            <w:pPr>
              <w:spacing w:line="0" w:lineRule="atLeast"/>
              <w:jc w:val="center"/>
              <w:rPr>
                <w:rFonts w:ascii="宋体" w:hAnsi="宋体" w:cs="宋体"/>
                <w:spacing w:val="-7"/>
                <w:kern w:val="2"/>
                <w:sz w:val="21"/>
                <w:szCs w:val="24"/>
                <w:lang w:bidi="zh-CN"/>
              </w:rPr>
            </w:pPr>
            <w:r>
              <w:rPr>
                <w:rFonts w:ascii="宋体" w:hAnsi="宋体" w:cs="宋体"/>
                <w:spacing w:val="-7"/>
                <w:kern w:val="2"/>
                <w:sz w:val="21"/>
                <w:szCs w:val="24"/>
                <w:lang w:bidi="zh-CN"/>
              </w:rPr>
              <w:t>0760-88825075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4590" w:type="dxa"/>
            <w:gridSpan w:val="4"/>
            <w:tcBorders>
              <w:tl2br w:val="nil"/>
              <w:tr2bl w:val="nil"/>
            </w:tcBorders>
            <w:shd w:val="clear" w:color="auto" w:fill="auto"/>
            <w:vAlign w:val="center"/>
          </w:tcPr>
          <w:p>
            <w:pPr>
              <w:spacing w:line="0" w:lineRule="atLeast"/>
              <w:jc w:val="center"/>
              <w:rPr>
                <w:rFonts w:ascii="宋体" w:hAnsi="宋体" w:cs="宋体"/>
                <w:spacing w:val="-7"/>
                <w:kern w:val="2"/>
                <w:sz w:val="21"/>
                <w:szCs w:val="24"/>
                <w:lang w:bidi="zh-CN"/>
              </w:rPr>
            </w:pPr>
            <w:r>
              <w:rPr>
                <w:rFonts w:ascii="宋体" w:hAnsi="宋体" w:cs="宋体"/>
                <w:spacing w:val="-7"/>
                <w:kern w:val="2"/>
                <w:sz w:val="21"/>
                <w:szCs w:val="24"/>
                <w:lang w:bidi="zh-CN"/>
              </w:rPr>
              <w:t>中山市卫生防疫站</w:t>
            </w:r>
          </w:p>
        </w:tc>
        <w:tc>
          <w:tcPr>
            <w:tcW w:w="4590" w:type="dxa"/>
            <w:gridSpan w:val="4"/>
            <w:tcBorders>
              <w:tl2br w:val="nil"/>
              <w:tr2bl w:val="nil"/>
            </w:tcBorders>
            <w:shd w:val="clear" w:color="auto" w:fill="auto"/>
            <w:vAlign w:val="center"/>
          </w:tcPr>
          <w:p>
            <w:pPr>
              <w:spacing w:line="0" w:lineRule="atLeast"/>
              <w:jc w:val="center"/>
              <w:rPr>
                <w:rFonts w:ascii="宋体" w:hAnsi="宋体" w:cs="宋体"/>
                <w:spacing w:val="-7"/>
                <w:kern w:val="2"/>
                <w:sz w:val="21"/>
                <w:szCs w:val="24"/>
                <w:lang w:bidi="zh-CN"/>
              </w:rPr>
            </w:pPr>
            <w:r>
              <w:rPr>
                <w:rFonts w:ascii="宋体" w:hAnsi="宋体" w:cs="宋体"/>
                <w:spacing w:val="-7"/>
                <w:kern w:val="2"/>
                <w:sz w:val="21"/>
                <w:szCs w:val="24"/>
                <w:lang w:bidi="zh-CN"/>
              </w:rPr>
              <w:t>0760-88855964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4590" w:type="dxa"/>
            <w:gridSpan w:val="4"/>
            <w:tcBorders>
              <w:tl2br w:val="nil"/>
              <w:tr2bl w:val="nil"/>
            </w:tcBorders>
            <w:shd w:val="clear" w:color="auto" w:fill="auto"/>
            <w:vAlign w:val="center"/>
          </w:tcPr>
          <w:p>
            <w:pPr>
              <w:spacing w:line="0" w:lineRule="atLeast"/>
              <w:jc w:val="center"/>
              <w:rPr>
                <w:rFonts w:ascii="宋体" w:hAnsi="宋体" w:cs="宋体"/>
                <w:spacing w:val="-7"/>
                <w:kern w:val="2"/>
                <w:sz w:val="21"/>
                <w:szCs w:val="24"/>
                <w:lang w:bidi="zh-CN"/>
              </w:rPr>
            </w:pPr>
            <w:r>
              <w:rPr>
                <w:rFonts w:ascii="宋体" w:hAnsi="宋体" w:cs="宋体"/>
                <w:spacing w:val="-7"/>
                <w:kern w:val="2"/>
                <w:sz w:val="21"/>
                <w:szCs w:val="24"/>
                <w:lang w:bidi="zh-CN"/>
              </w:rPr>
              <w:t>中山市</w:t>
            </w:r>
            <w:r>
              <w:rPr>
                <w:rFonts w:hint="eastAsia" w:ascii="宋体" w:hAnsi="宋体" w:cs="宋体"/>
                <w:spacing w:val="-7"/>
                <w:kern w:val="2"/>
                <w:sz w:val="21"/>
                <w:szCs w:val="24"/>
                <w:lang w:eastAsia="zh-CN" w:bidi="zh-CN"/>
              </w:rPr>
              <w:t>生态环境</w:t>
            </w:r>
            <w:r>
              <w:rPr>
                <w:rFonts w:ascii="宋体" w:hAnsi="宋体" w:cs="宋体"/>
                <w:spacing w:val="-7"/>
                <w:kern w:val="2"/>
                <w:sz w:val="21"/>
                <w:szCs w:val="24"/>
                <w:lang w:bidi="zh-CN"/>
              </w:rPr>
              <w:t>局</w:t>
            </w:r>
          </w:p>
        </w:tc>
        <w:tc>
          <w:tcPr>
            <w:tcW w:w="4590" w:type="dxa"/>
            <w:gridSpan w:val="4"/>
            <w:tcBorders>
              <w:tl2br w:val="nil"/>
              <w:tr2bl w:val="nil"/>
            </w:tcBorders>
            <w:shd w:val="clear" w:color="auto" w:fill="auto"/>
            <w:vAlign w:val="center"/>
          </w:tcPr>
          <w:p>
            <w:pPr>
              <w:spacing w:line="0" w:lineRule="atLeast"/>
              <w:jc w:val="center"/>
              <w:rPr>
                <w:rFonts w:ascii="宋体" w:hAnsi="宋体" w:cs="宋体"/>
                <w:spacing w:val="-7"/>
                <w:kern w:val="2"/>
                <w:sz w:val="21"/>
                <w:szCs w:val="24"/>
                <w:lang w:bidi="zh-CN"/>
              </w:rPr>
            </w:pPr>
            <w:r>
              <w:rPr>
                <w:rFonts w:ascii="宋体" w:hAnsi="宋体" w:cs="宋体"/>
                <w:spacing w:val="-7"/>
                <w:kern w:val="2"/>
                <w:sz w:val="21"/>
                <w:szCs w:val="24"/>
                <w:lang w:bidi="zh-CN"/>
              </w:rPr>
              <w:t>0760-88329817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4590" w:type="dxa"/>
            <w:gridSpan w:val="4"/>
            <w:tcBorders>
              <w:tl2br w:val="nil"/>
              <w:tr2bl w:val="nil"/>
            </w:tcBorders>
            <w:shd w:val="clear" w:color="auto" w:fill="auto"/>
            <w:vAlign w:val="center"/>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eastAsia="zh-CN" w:bidi="zh-CN"/>
              </w:rPr>
              <w:t>民众生态环境</w:t>
            </w:r>
            <w:r>
              <w:rPr>
                <w:rFonts w:hint="eastAsia" w:ascii="宋体" w:hAnsi="宋体" w:cs="宋体"/>
                <w:spacing w:val="-7"/>
                <w:kern w:val="2"/>
                <w:sz w:val="21"/>
                <w:szCs w:val="24"/>
                <w:lang w:bidi="zh-CN"/>
              </w:rPr>
              <w:t>分</w:t>
            </w:r>
            <w:r>
              <w:rPr>
                <w:rFonts w:ascii="宋体" w:hAnsi="宋体" w:cs="宋体"/>
                <w:spacing w:val="-7"/>
                <w:kern w:val="2"/>
                <w:sz w:val="21"/>
                <w:szCs w:val="24"/>
                <w:lang w:bidi="zh-CN"/>
              </w:rPr>
              <w:t>局</w:t>
            </w:r>
          </w:p>
        </w:tc>
        <w:tc>
          <w:tcPr>
            <w:tcW w:w="4590" w:type="dxa"/>
            <w:gridSpan w:val="4"/>
            <w:tcBorders>
              <w:tl2br w:val="nil"/>
              <w:tr2bl w:val="nil"/>
            </w:tcBorders>
            <w:shd w:val="clear" w:color="auto" w:fill="auto"/>
            <w:vAlign w:val="center"/>
          </w:tcPr>
          <w:p>
            <w:pPr>
              <w:spacing w:line="0" w:lineRule="atLeast"/>
              <w:jc w:val="center"/>
              <w:rPr>
                <w:rFonts w:ascii="宋体" w:hAnsi="宋体" w:cs="宋体"/>
                <w:spacing w:val="-7"/>
                <w:kern w:val="2"/>
                <w:sz w:val="21"/>
                <w:szCs w:val="24"/>
                <w:lang w:bidi="zh-CN"/>
              </w:rPr>
            </w:pPr>
            <w:r>
              <w:rPr>
                <w:rFonts w:hint="eastAsia" w:ascii="宋体" w:hAnsi="宋体" w:cs="宋体"/>
                <w:spacing w:val="-7"/>
                <w:kern w:val="2"/>
                <w:sz w:val="21"/>
                <w:szCs w:val="24"/>
                <w:lang w:bidi="zh-CN"/>
              </w:rPr>
              <w:t>0760-85570277</w:t>
            </w:r>
          </w:p>
        </w:tc>
      </w:tr>
    </w:tbl>
    <w:p>
      <w:pPr>
        <w:spacing w:line="480" w:lineRule="exact"/>
        <w:rPr>
          <w:szCs w:val="22"/>
        </w:rPr>
      </w:pPr>
    </w:p>
    <w:p>
      <w:pPr>
        <w:spacing w:line="480" w:lineRule="exact"/>
        <w:rPr>
          <w:szCs w:val="22"/>
        </w:rPr>
      </w:pPr>
    </w:p>
    <w:p>
      <w:pPr>
        <w:spacing w:line="480" w:lineRule="exact"/>
        <w:rPr>
          <w:szCs w:val="22"/>
        </w:rPr>
      </w:pPr>
    </w:p>
    <w:p>
      <w:pPr>
        <w:spacing w:line="480" w:lineRule="exact"/>
        <w:rPr>
          <w:szCs w:val="22"/>
        </w:rPr>
        <w:sectPr>
          <w:pgSz w:w="11906" w:h="16838"/>
          <w:pgMar w:top="1418" w:right="1418" w:bottom="1418" w:left="1418" w:header="851" w:footer="284" w:gutter="0"/>
          <w:pgBorders>
            <w:top w:val="none" w:sz="0" w:space="0"/>
            <w:left w:val="none" w:sz="0" w:space="0"/>
            <w:bottom w:val="none" w:sz="0" w:space="0"/>
            <w:right w:val="none" w:sz="0" w:space="0"/>
          </w:pgBorders>
          <w:pgNumType w:fmt="decimal"/>
          <w:cols w:space="720" w:num="1"/>
          <w:docGrid w:linePitch="312" w:charSpace="0"/>
        </w:sectPr>
      </w:pPr>
    </w:p>
    <w:p>
      <w:pPr>
        <w:pStyle w:val="3"/>
        <w:spacing w:line="480" w:lineRule="exact"/>
        <w:rPr>
          <w:sz w:val="28"/>
        </w:rPr>
      </w:pPr>
      <w:bookmarkStart w:id="470" w:name="_Toc8244"/>
      <w:bookmarkStart w:id="471" w:name="_Toc28501"/>
      <w:bookmarkStart w:id="472" w:name="_Toc11090"/>
      <w:bookmarkStart w:id="473" w:name="_Toc307"/>
      <w:r>
        <w:rPr>
          <w:sz w:val="28"/>
        </w:rPr>
        <w:t>附件1</w:t>
      </w:r>
      <w:r>
        <w:rPr>
          <w:rFonts w:hint="eastAsia"/>
          <w:sz w:val="28"/>
          <w:lang w:val="en-US" w:eastAsia="zh-CN"/>
        </w:rPr>
        <w:t>4</w:t>
      </w:r>
      <w:r>
        <w:rPr>
          <w:sz w:val="28"/>
        </w:rPr>
        <w:t>环评批复</w:t>
      </w:r>
      <w:bookmarkEnd w:id="470"/>
      <w:bookmarkEnd w:id="471"/>
      <w:bookmarkEnd w:id="472"/>
      <w:bookmarkEnd w:id="473"/>
    </w:p>
    <w:p>
      <w:pPr>
        <w:jc w:val="center"/>
        <w:sectPr>
          <w:pgSz w:w="11906" w:h="16838"/>
          <w:pgMar w:top="1418" w:right="1418" w:bottom="1418" w:left="1418" w:header="851" w:footer="284" w:gutter="0"/>
          <w:pgBorders>
            <w:top w:val="none" w:sz="0" w:space="0"/>
            <w:left w:val="none" w:sz="0" w:space="0"/>
            <w:bottom w:val="none" w:sz="0" w:space="0"/>
            <w:right w:val="none" w:sz="0" w:space="0"/>
          </w:pgBorders>
          <w:pgNumType w:fmt="decimal"/>
          <w:cols w:space="720" w:num="1"/>
          <w:docGrid w:linePitch="312" w:charSpace="0"/>
        </w:sectPr>
      </w:pPr>
      <w:r>
        <w:drawing>
          <wp:inline distT="0" distB="0" distL="114300" distR="114300">
            <wp:extent cx="5744845" cy="8122285"/>
            <wp:effectExtent l="0" t="0" r="8255" b="12065"/>
            <wp:docPr id="5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7"/>
                    <pic:cNvPicPr>
                      <a:picLocks noChangeAspect="1"/>
                    </pic:cNvPicPr>
                  </pic:nvPicPr>
                  <pic:blipFill>
                    <a:blip r:embed="rId39"/>
                    <a:stretch>
                      <a:fillRect/>
                    </a:stretch>
                  </pic:blipFill>
                  <pic:spPr>
                    <a:xfrm>
                      <a:off x="0" y="0"/>
                      <a:ext cx="5744845" cy="8122285"/>
                    </a:xfrm>
                    <a:prstGeom prst="rect">
                      <a:avLst/>
                    </a:prstGeom>
                    <a:noFill/>
                    <a:ln>
                      <a:noFill/>
                    </a:ln>
                  </pic:spPr>
                </pic:pic>
              </a:graphicData>
            </a:graphic>
          </wp:inline>
        </w:drawing>
      </w:r>
      <w:r>
        <w:drawing>
          <wp:inline distT="0" distB="0" distL="114300" distR="114300">
            <wp:extent cx="5744845" cy="8122285"/>
            <wp:effectExtent l="0" t="0" r="8255" b="12065"/>
            <wp:docPr id="5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8"/>
                    <pic:cNvPicPr>
                      <a:picLocks noChangeAspect="1"/>
                    </pic:cNvPicPr>
                  </pic:nvPicPr>
                  <pic:blipFill>
                    <a:blip r:embed="rId40"/>
                    <a:stretch>
                      <a:fillRect/>
                    </a:stretch>
                  </pic:blipFill>
                  <pic:spPr>
                    <a:xfrm>
                      <a:off x="0" y="0"/>
                      <a:ext cx="5744845" cy="8122285"/>
                    </a:xfrm>
                    <a:prstGeom prst="rect">
                      <a:avLst/>
                    </a:prstGeom>
                    <a:noFill/>
                    <a:ln>
                      <a:noFill/>
                    </a:ln>
                  </pic:spPr>
                </pic:pic>
              </a:graphicData>
            </a:graphic>
          </wp:inline>
        </w:drawing>
      </w:r>
      <w:r>
        <w:drawing>
          <wp:inline distT="0" distB="0" distL="114300" distR="114300">
            <wp:extent cx="5744845" cy="8122285"/>
            <wp:effectExtent l="0" t="0" r="8255" b="12065"/>
            <wp:docPr id="5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9"/>
                    <pic:cNvPicPr>
                      <a:picLocks noChangeAspect="1"/>
                    </pic:cNvPicPr>
                  </pic:nvPicPr>
                  <pic:blipFill>
                    <a:blip r:embed="rId41"/>
                    <a:stretch>
                      <a:fillRect/>
                    </a:stretch>
                  </pic:blipFill>
                  <pic:spPr>
                    <a:xfrm>
                      <a:off x="0" y="0"/>
                      <a:ext cx="5744845" cy="8122285"/>
                    </a:xfrm>
                    <a:prstGeom prst="rect">
                      <a:avLst/>
                    </a:prstGeom>
                    <a:noFill/>
                    <a:ln>
                      <a:noFill/>
                    </a:ln>
                  </pic:spPr>
                </pic:pic>
              </a:graphicData>
            </a:graphic>
          </wp:inline>
        </w:drawing>
      </w:r>
      <w:r>
        <w:drawing>
          <wp:inline distT="0" distB="0" distL="114300" distR="114300">
            <wp:extent cx="5744845" cy="8122285"/>
            <wp:effectExtent l="0" t="0" r="8255" b="12065"/>
            <wp:docPr id="6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10"/>
                    <pic:cNvPicPr>
                      <a:picLocks noChangeAspect="1"/>
                    </pic:cNvPicPr>
                  </pic:nvPicPr>
                  <pic:blipFill>
                    <a:blip r:embed="rId42"/>
                    <a:stretch>
                      <a:fillRect/>
                    </a:stretch>
                  </pic:blipFill>
                  <pic:spPr>
                    <a:xfrm>
                      <a:off x="0" y="0"/>
                      <a:ext cx="5744845" cy="8122285"/>
                    </a:xfrm>
                    <a:prstGeom prst="rect">
                      <a:avLst/>
                    </a:prstGeom>
                    <a:noFill/>
                    <a:ln>
                      <a:noFill/>
                    </a:ln>
                  </pic:spPr>
                </pic:pic>
              </a:graphicData>
            </a:graphic>
          </wp:inline>
        </w:drawing>
      </w:r>
    </w:p>
    <w:p>
      <w:pPr>
        <w:pStyle w:val="3"/>
        <w:spacing w:line="480" w:lineRule="exact"/>
        <w:rPr>
          <w:sz w:val="28"/>
        </w:rPr>
      </w:pPr>
      <w:bookmarkStart w:id="474" w:name="_Toc28838"/>
      <w:bookmarkStart w:id="475" w:name="_Toc24007"/>
      <w:bookmarkStart w:id="476" w:name="_Toc10876"/>
      <w:bookmarkStart w:id="477" w:name="_Toc1117"/>
      <w:r>
        <w:rPr>
          <w:sz w:val="28"/>
        </w:rPr>
        <w:t>附件1</w:t>
      </w:r>
      <w:r>
        <w:rPr>
          <w:rFonts w:hint="eastAsia"/>
          <w:sz w:val="28"/>
          <w:lang w:val="en-US" w:eastAsia="zh-CN"/>
        </w:rPr>
        <w:t>5</w:t>
      </w:r>
      <w:r>
        <w:rPr>
          <w:sz w:val="28"/>
        </w:rPr>
        <w:t>废物处置合同</w:t>
      </w:r>
      <w:bookmarkEnd w:id="474"/>
      <w:bookmarkEnd w:id="475"/>
      <w:bookmarkEnd w:id="476"/>
      <w:bookmarkEnd w:id="477"/>
    </w:p>
    <w:p>
      <w:pPr>
        <w:jc w:val="center"/>
      </w:pPr>
      <w:r>
        <w:drawing>
          <wp:inline distT="0" distB="0" distL="114300" distR="114300">
            <wp:extent cx="5750560" cy="8128635"/>
            <wp:effectExtent l="0" t="0" r="2540" b="5715"/>
            <wp:docPr id="6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11"/>
                    <pic:cNvPicPr>
                      <a:picLocks noChangeAspect="1"/>
                    </pic:cNvPicPr>
                  </pic:nvPicPr>
                  <pic:blipFill>
                    <a:blip r:embed="rId43"/>
                    <a:stretch>
                      <a:fillRect/>
                    </a:stretch>
                  </pic:blipFill>
                  <pic:spPr>
                    <a:xfrm>
                      <a:off x="0" y="0"/>
                      <a:ext cx="5750560" cy="8128635"/>
                    </a:xfrm>
                    <a:prstGeom prst="rect">
                      <a:avLst/>
                    </a:prstGeom>
                    <a:noFill/>
                    <a:ln>
                      <a:noFill/>
                    </a:ln>
                  </pic:spPr>
                </pic:pic>
              </a:graphicData>
            </a:graphic>
          </wp:inline>
        </w:drawing>
      </w:r>
    </w:p>
    <w:p>
      <w:pPr>
        <w:jc w:val="center"/>
      </w:pPr>
    </w:p>
    <w:p>
      <w:pPr>
        <w:jc w:val="center"/>
      </w:pPr>
      <w:r>
        <w:drawing>
          <wp:inline distT="0" distB="0" distL="114300" distR="114300">
            <wp:extent cx="5750560" cy="8128635"/>
            <wp:effectExtent l="0" t="0" r="2540" b="5715"/>
            <wp:docPr id="7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12"/>
                    <pic:cNvPicPr>
                      <a:picLocks noChangeAspect="1"/>
                    </pic:cNvPicPr>
                  </pic:nvPicPr>
                  <pic:blipFill>
                    <a:blip r:embed="rId44"/>
                    <a:stretch>
                      <a:fillRect/>
                    </a:stretch>
                  </pic:blipFill>
                  <pic:spPr>
                    <a:xfrm>
                      <a:off x="0" y="0"/>
                      <a:ext cx="5750560" cy="8128635"/>
                    </a:xfrm>
                    <a:prstGeom prst="rect">
                      <a:avLst/>
                    </a:prstGeom>
                    <a:noFill/>
                    <a:ln>
                      <a:noFill/>
                    </a:ln>
                  </pic:spPr>
                </pic:pic>
              </a:graphicData>
            </a:graphic>
          </wp:inline>
        </w:drawing>
      </w:r>
    </w:p>
    <w:p>
      <w:pPr>
        <w:jc w:val="center"/>
      </w:pPr>
    </w:p>
    <w:p>
      <w:pPr>
        <w:jc w:val="center"/>
      </w:pPr>
    </w:p>
    <w:p>
      <w:pPr>
        <w:jc w:val="center"/>
      </w:pPr>
      <w:r>
        <w:drawing>
          <wp:inline distT="0" distB="0" distL="114300" distR="114300">
            <wp:extent cx="5750560" cy="8128635"/>
            <wp:effectExtent l="0" t="0" r="2540" b="5715"/>
            <wp:docPr id="7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13"/>
                    <pic:cNvPicPr>
                      <a:picLocks noChangeAspect="1"/>
                    </pic:cNvPicPr>
                  </pic:nvPicPr>
                  <pic:blipFill>
                    <a:blip r:embed="rId45"/>
                    <a:stretch>
                      <a:fillRect/>
                    </a:stretch>
                  </pic:blipFill>
                  <pic:spPr>
                    <a:xfrm>
                      <a:off x="0" y="0"/>
                      <a:ext cx="5750560" cy="8128635"/>
                    </a:xfrm>
                    <a:prstGeom prst="rect">
                      <a:avLst/>
                    </a:prstGeom>
                    <a:noFill/>
                    <a:ln>
                      <a:noFill/>
                    </a:ln>
                  </pic:spPr>
                </pic:pic>
              </a:graphicData>
            </a:graphic>
          </wp:inline>
        </w:drawing>
      </w:r>
      <w:r>
        <w:drawing>
          <wp:inline distT="0" distB="0" distL="114300" distR="114300">
            <wp:extent cx="5750560" cy="8128635"/>
            <wp:effectExtent l="0" t="0" r="2540" b="5715"/>
            <wp:docPr id="7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14"/>
                    <pic:cNvPicPr>
                      <a:picLocks noChangeAspect="1"/>
                    </pic:cNvPicPr>
                  </pic:nvPicPr>
                  <pic:blipFill>
                    <a:blip r:embed="rId46"/>
                    <a:stretch>
                      <a:fillRect/>
                    </a:stretch>
                  </pic:blipFill>
                  <pic:spPr>
                    <a:xfrm>
                      <a:off x="0" y="0"/>
                      <a:ext cx="5750560" cy="8128635"/>
                    </a:xfrm>
                    <a:prstGeom prst="rect">
                      <a:avLst/>
                    </a:prstGeom>
                    <a:noFill/>
                    <a:ln>
                      <a:noFill/>
                    </a:ln>
                  </pic:spPr>
                </pic:pic>
              </a:graphicData>
            </a:graphic>
          </wp:inline>
        </w:drawing>
      </w:r>
      <w:r>
        <w:drawing>
          <wp:inline distT="0" distB="0" distL="114300" distR="114300">
            <wp:extent cx="5750560" cy="8128635"/>
            <wp:effectExtent l="0" t="0" r="2540" b="5715"/>
            <wp:docPr id="7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15"/>
                    <pic:cNvPicPr>
                      <a:picLocks noChangeAspect="1"/>
                    </pic:cNvPicPr>
                  </pic:nvPicPr>
                  <pic:blipFill>
                    <a:blip r:embed="rId47"/>
                    <a:stretch>
                      <a:fillRect/>
                    </a:stretch>
                  </pic:blipFill>
                  <pic:spPr>
                    <a:xfrm>
                      <a:off x="0" y="0"/>
                      <a:ext cx="5750560" cy="8128635"/>
                    </a:xfrm>
                    <a:prstGeom prst="rect">
                      <a:avLst/>
                    </a:prstGeom>
                    <a:noFill/>
                    <a:ln>
                      <a:noFill/>
                    </a:ln>
                  </pic:spPr>
                </pic:pic>
              </a:graphicData>
            </a:graphic>
          </wp:inline>
        </w:drawing>
      </w:r>
      <w:r>
        <w:drawing>
          <wp:inline distT="0" distB="0" distL="114300" distR="114300">
            <wp:extent cx="5750560" cy="8128635"/>
            <wp:effectExtent l="0" t="0" r="2540" b="5715"/>
            <wp:docPr id="75"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16"/>
                    <pic:cNvPicPr>
                      <a:picLocks noChangeAspect="1"/>
                    </pic:cNvPicPr>
                  </pic:nvPicPr>
                  <pic:blipFill>
                    <a:blip r:embed="rId48"/>
                    <a:stretch>
                      <a:fillRect/>
                    </a:stretch>
                  </pic:blipFill>
                  <pic:spPr>
                    <a:xfrm>
                      <a:off x="0" y="0"/>
                      <a:ext cx="5750560" cy="8128635"/>
                    </a:xfrm>
                    <a:prstGeom prst="rect">
                      <a:avLst/>
                    </a:prstGeom>
                    <a:noFill/>
                    <a:ln>
                      <a:noFill/>
                    </a:ln>
                  </pic:spPr>
                </pic:pic>
              </a:graphicData>
            </a:graphic>
          </wp:inline>
        </w:drawing>
      </w:r>
      <w:r>
        <w:drawing>
          <wp:inline distT="0" distB="0" distL="114300" distR="114300">
            <wp:extent cx="5750560" cy="8128635"/>
            <wp:effectExtent l="0" t="0" r="2540" b="5715"/>
            <wp:docPr id="76"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17"/>
                    <pic:cNvPicPr>
                      <a:picLocks noChangeAspect="1"/>
                    </pic:cNvPicPr>
                  </pic:nvPicPr>
                  <pic:blipFill>
                    <a:blip r:embed="rId49"/>
                    <a:stretch>
                      <a:fillRect/>
                    </a:stretch>
                  </pic:blipFill>
                  <pic:spPr>
                    <a:xfrm>
                      <a:off x="0" y="0"/>
                      <a:ext cx="5750560" cy="8128635"/>
                    </a:xfrm>
                    <a:prstGeom prst="rect">
                      <a:avLst/>
                    </a:prstGeom>
                    <a:noFill/>
                    <a:ln>
                      <a:noFill/>
                    </a:ln>
                  </pic:spPr>
                </pic:pic>
              </a:graphicData>
            </a:graphic>
          </wp:inline>
        </w:drawing>
      </w:r>
      <w:r>
        <w:drawing>
          <wp:inline distT="0" distB="0" distL="114300" distR="114300">
            <wp:extent cx="5750560" cy="8128635"/>
            <wp:effectExtent l="0" t="0" r="2540" b="5715"/>
            <wp:docPr id="77"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18"/>
                    <pic:cNvPicPr>
                      <a:picLocks noChangeAspect="1"/>
                    </pic:cNvPicPr>
                  </pic:nvPicPr>
                  <pic:blipFill>
                    <a:blip r:embed="rId50"/>
                    <a:stretch>
                      <a:fillRect/>
                    </a:stretch>
                  </pic:blipFill>
                  <pic:spPr>
                    <a:xfrm>
                      <a:off x="0" y="0"/>
                      <a:ext cx="5750560" cy="8128635"/>
                    </a:xfrm>
                    <a:prstGeom prst="rect">
                      <a:avLst/>
                    </a:prstGeom>
                    <a:noFill/>
                    <a:ln>
                      <a:noFill/>
                    </a:ln>
                  </pic:spPr>
                </pic:pic>
              </a:graphicData>
            </a:graphic>
          </wp:inline>
        </w:drawing>
      </w:r>
      <w:r>
        <w:drawing>
          <wp:inline distT="0" distB="0" distL="114300" distR="114300">
            <wp:extent cx="5750560" cy="8128635"/>
            <wp:effectExtent l="0" t="0" r="2540" b="5715"/>
            <wp:docPr id="78"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19"/>
                    <pic:cNvPicPr>
                      <a:picLocks noChangeAspect="1"/>
                    </pic:cNvPicPr>
                  </pic:nvPicPr>
                  <pic:blipFill>
                    <a:blip r:embed="rId51"/>
                    <a:stretch>
                      <a:fillRect/>
                    </a:stretch>
                  </pic:blipFill>
                  <pic:spPr>
                    <a:xfrm>
                      <a:off x="0" y="0"/>
                      <a:ext cx="5750560" cy="8128635"/>
                    </a:xfrm>
                    <a:prstGeom prst="rect">
                      <a:avLst/>
                    </a:prstGeom>
                    <a:noFill/>
                    <a:ln>
                      <a:noFill/>
                    </a:ln>
                  </pic:spPr>
                </pic:pic>
              </a:graphicData>
            </a:graphic>
          </wp:inline>
        </w:drawing>
      </w:r>
      <w:r>
        <w:drawing>
          <wp:inline distT="0" distB="0" distL="114300" distR="114300">
            <wp:extent cx="5750560" cy="8128635"/>
            <wp:effectExtent l="0" t="0" r="2540" b="5715"/>
            <wp:docPr id="79"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20"/>
                    <pic:cNvPicPr>
                      <a:picLocks noChangeAspect="1"/>
                    </pic:cNvPicPr>
                  </pic:nvPicPr>
                  <pic:blipFill>
                    <a:blip r:embed="rId52"/>
                    <a:stretch>
                      <a:fillRect/>
                    </a:stretch>
                  </pic:blipFill>
                  <pic:spPr>
                    <a:xfrm>
                      <a:off x="0" y="0"/>
                      <a:ext cx="5750560" cy="8128635"/>
                    </a:xfrm>
                    <a:prstGeom prst="rect">
                      <a:avLst/>
                    </a:prstGeom>
                    <a:noFill/>
                    <a:ln>
                      <a:noFill/>
                    </a:ln>
                  </pic:spPr>
                </pic:pic>
              </a:graphicData>
            </a:graphic>
          </wp:inline>
        </w:drawing>
      </w:r>
      <w:r>
        <w:drawing>
          <wp:inline distT="0" distB="0" distL="114300" distR="114300">
            <wp:extent cx="5750560" cy="8128635"/>
            <wp:effectExtent l="0" t="0" r="2540" b="5715"/>
            <wp:docPr id="80"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21"/>
                    <pic:cNvPicPr>
                      <a:picLocks noChangeAspect="1"/>
                    </pic:cNvPicPr>
                  </pic:nvPicPr>
                  <pic:blipFill>
                    <a:blip r:embed="rId53"/>
                    <a:stretch>
                      <a:fillRect/>
                    </a:stretch>
                  </pic:blipFill>
                  <pic:spPr>
                    <a:xfrm>
                      <a:off x="0" y="0"/>
                      <a:ext cx="5750560" cy="8128635"/>
                    </a:xfrm>
                    <a:prstGeom prst="rect">
                      <a:avLst/>
                    </a:prstGeom>
                    <a:noFill/>
                    <a:ln>
                      <a:noFill/>
                    </a:ln>
                  </pic:spPr>
                </pic:pic>
              </a:graphicData>
            </a:graphic>
          </wp:inline>
        </w:drawing>
      </w:r>
      <w:r>
        <w:drawing>
          <wp:inline distT="0" distB="0" distL="114300" distR="114300">
            <wp:extent cx="5750560" cy="8128635"/>
            <wp:effectExtent l="0" t="0" r="2540" b="5715"/>
            <wp:docPr id="81"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22"/>
                    <pic:cNvPicPr>
                      <a:picLocks noChangeAspect="1"/>
                    </pic:cNvPicPr>
                  </pic:nvPicPr>
                  <pic:blipFill>
                    <a:blip r:embed="rId54"/>
                    <a:stretch>
                      <a:fillRect/>
                    </a:stretch>
                  </pic:blipFill>
                  <pic:spPr>
                    <a:xfrm>
                      <a:off x="0" y="0"/>
                      <a:ext cx="5750560" cy="8128635"/>
                    </a:xfrm>
                    <a:prstGeom prst="rect">
                      <a:avLst/>
                    </a:prstGeom>
                    <a:noFill/>
                    <a:ln>
                      <a:noFill/>
                    </a:ln>
                  </pic:spPr>
                </pic:pic>
              </a:graphicData>
            </a:graphic>
          </wp:inline>
        </w:drawing>
      </w:r>
      <w:r>
        <w:drawing>
          <wp:inline distT="0" distB="0" distL="114300" distR="114300">
            <wp:extent cx="5750560" cy="8128635"/>
            <wp:effectExtent l="0" t="0" r="2540" b="5715"/>
            <wp:docPr id="82"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23"/>
                    <pic:cNvPicPr>
                      <a:picLocks noChangeAspect="1"/>
                    </pic:cNvPicPr>
                  </pic:nvPicPr>
                  <pic:blipFill>
                    <a:blip r:embed="rId55"/>
                    <a:stretch>
                      <a:fillRect/>
                    </a:stretch>
                  </pic:blipFill>
                  <pic:spPr>
                    <a:xfrm>
                      <a:off x="0" y="0"/>
                      <a:ext cx="5750560" cy="8128635"/>
                    </a:xfrm>
                    <a:prstGeom prst="rect">
                      <a:avLst/>
                    </a:prstGeom>
                    <a:noFill/>
                    <a:ln>
                      <a:noFill/>
                    </a:ln>
                  </pic:spPr>
                </pic:pic>
              </a:graphicData>
            </a:graphic>
          </wp:inline>
        </w:drawing>
      </w:r>
      <w:r>
        <w:drawing>
          <wp:inline distT="0" distB="0" distL="114300" distR="114300">
            <wp:extent cx="5750560" cy="8128635"/>
            <wp:effectExtent l="0" t="0" r="2540" b="5715"/>
            <wp:docPr id="83"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24"/>
                    <pic:cNvPicPr>
                      <a:picLocks noChangeAspect="1"/>
                    </pic:cNvPicPr>
                  </pic:nvPicPr>
                  <pic:blipFill>
                    <a:blip r:embed="rId56"/>
                    <a:stretch>
                      <a:fillRect/>
                    </a:stretch>
                  </pic:blipFill>
                  <pic:spPr>
                    <a:xfrm>
                      <a:off x="0" y="0"/>
                      <a:ext cx="5750560" cy="8128635"/>
                    </a:xfrm>
                    <a:prstGeom prst="rect">
                      <a:avLst/>
                    </a:prstGeom>
                    <a:noFill/>
                    <a:ln>
                      <a:noFill/>
                    </a:ln>
                  </pic:spPr>
                </pic:pic>
              </a:graphicData>
            </a:graphic>
          </wp:inline>
        </w:drawing>
      </w:r>
      <w:r>
        <w:drawing>
          <wp:inline distT="0" distB="0" distL="114300" distR="114300">
            <wp:extent cx="5750560" cy="8128635"/>
            <wp:effectExtent l="0" t="0" r="2540" b="5715"/>
            <wp:docPr id="84"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25"/>
                    <pic:cNvPicPr>
                      <a:picLocks noChangeAspect="1"/>
                    </pic:cNvPicPr>
                  </pic:nvPicPr>
                  <pic:blipFill>
                    <a:blip r:embed="rId57"/>
                    <a:stretch>
                      <a:fillRect/>
                    </a:stretch>
                  </pic:blipFill>
                  <pic:spPr>
                    <a:xfrm>
                      <a:off x="0" y="0"/>
                      <a:ext cx="5750560" cy="8128635"/>
                    </a:xfrm>
                    <a:prstGeom prst="rect">
                      <a:avLst/>
                    </a:prstGeom>
                    <a:noFill/>
                    <a:ln>
                      <a:noFill/>
                    </a:ln>
                  </pic:spPr>
                </pic:pic>
              </a:graphicData>
            </a:graphic>
          </wp:inline>
        </w:drawing>
      </w:r>
    </w:p>
    <w:p>
      <w:pPr>
        <w:pStyle w:val="3"/>
        <w:spacing w:line="480" w:lineRule="exact"/>
        <w:rPr>
          <w:rFonts w:hint="eastAsia" w:eastAsia="宋体"/>
          <w:sz w:val="28"/>
          <w:lang w:eastAsia="zh-CN"/>
        </w:rPr>
      </w:pPr>
      <w:bookmarkStart w:id="478" w:name="_Toc17456"/>
      <w:r>
        <w:rPr>
          <w:rFonts w:hint="eastAsia"/>
          <w:sz w:val="28"/>
        </w:rPr>
        <w:t>附件1</w:t>
      </w:r>
      <w:r>
        <w:rPr>
          <w:rFonts w:hint="eastAsia"/>
          <w:sz w:val="28"/>
          <w:lang w:val="en-US" w:eastAsia="zh-CN"/>
        </w:rPr>
        <w:t>6</w:t>
      </w:r>
      <w:r>
        <w:rPr>
          <w:rFonts w:hint="eastAsia"/>
          <w:sz w:val="28"/>
          <w:lang w:eastAsia="zh-CN"/>
        </w:rPr>
        <w:t>沼液检测报告</w:t>
      </w:r>
      <w:bookmarkEnd w:id="478"/>
    </w:p>
    <w:p>
      <w:pPr>
        <w:jc w:val="center"/>
      </w:pPr>
      <w:r>
        <w:drawing>
          <wp:inline distT="0" distB="0" distL="114300" distR="114300">
            <wp:extent cx="5750560" cy="8128635"/>
            <wp:effectExtent l="0" t="0" r="2540" b="5715"/>
            <wp:docPr id="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4"/>
                    <pic:cNvPicPr>
                      <a:picLocks noChangeAspect="1"/>
                    </pic:cNvPicPr>
                  </pic:nvPicPr>
                  <pic:blipFill>
                    <a:blip r:embed="rId58"/>
                    <a:stretch>
                      <a:fillRect/>
                    </a:stretch>
                  </pic:blipFill>
                  <pic:spPr>
                    <a:xfrm>
                      <a:off x="0" y="0"/>
                      <a:ext cx="5750560" cy="8128635"/>
                    </a:xfrm>
                    <a:prstGeom prst="rect">
                      <a:avLst/>
                    </a:prstGeom>
                    <a:noFill/>
                    <a:ln>
                      <a:noFill/>
                    </a:ln>
                  </pic:spPr>
                </pic:pic>
              </a:graphicData>
            </a:graphic>
          </wp:inline>
        </w:drawing>
      </w:r>
      <w:r>
        <w:drawing>
          <wp:inline distT="0" distB="0" distL="114300" distR="114300">
            <wp:extent cx="5750560" cy="8128635"/>
            <wp:effectExtent l="0" t="0" r="2540" b="5715"/>
            <wp:docPr id="1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5"/>
                    <pic:cNvPicPr>
                      <a:picLocks noChangeAspect="1"/>
                    </pic:cNvPicPr>
                  </pic:nvPicPr>
                  <pic:blipFill>
                    <a:blip r:embed="rId59"/>
                    <a:stretch>
                      <a:fillRect/>
                    </a:stretch>
                  </pic:blipFill>
                  <pic:spPr>
                    <a:xfrm>
                      <a:off x="0" y="0"/>
                      <a:ext cx="5750560" cy="8128635"/>
                    </a:xfrm>
                    <a:prstGeom prst="rect">
                      <a:avLst/>
                    </a:prstGeom>
                    <a:noFill/>
                    <a:ln>
                      <a:noFill/>
                    </a:ln>
                  </pic:spPr>
                </pic:pic>
              </a:graphicData>
            </a:graphic>
          </wp:inline>
        </w:drawing>
      </w:r>
      <w:r>
        <w:drawing>
          <wp:inline distT="0" distB="0" distL="114300" distR="114300">
            <wp:extent cx="5750560" cy="8128635"/>
            <wp:effectExtent l="0" t="0" r="2540" b="5715"/>
            <wp:docPr id="1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6"/>
                    <pic:cNvPicPr>
                      <a:picLocks noChangeAspect="1"/>
                    </pic:cNvPicPr>
                  </pic:nvPicPr>
                  <pic:blipFill>
                    <a:blip r:embed="rId60"/>
                    <a:stretch>
                      <a:fillRect/>
                    </a:stretch>
                  </pic:blipFill>
                  <pic:spPr>
                    <a:xfrm>
                      <a:off x="0" y="0"/>
                      <a:ext cx="5750560" cy="8128635"/>
                    </a:xfrm>
                    <a:prstGeom prst="rect">
                      <a:avLst/>
                    </a:prstGeom>
                    <a:noFill/>
                    <a:ln>
                      <a:noFill/>
                    </a:ln>
                  </pic:spPr>
                </pic:pic>
              </a:graphicData>
            </a:graphic>
          </wp:inline>
        </w:drawing>
      </w:r>
      <w:r>
        <w:drawing>
          <wp:inline distT="0" distB="0" distL="114300" distR="114300">
            <wp:extent cx="5750560" cy="8128635"/>
            <wp:effectExtent l="0" t="0" r="2540" b="5715"/>
            <wp:docPr id="1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7"/>
                    <pic:cNvPicPr>
                      <a:picLocks noChangeAspect="1"/>
                    </pic:cNvPicPr>
                  </pic:nvPicPr>
                  <pic:blipFill>
                    <a:blip r:embed="rId61"/>
                    <a:stretch>
                      <a:fillRect/>
                    </a:stretch>
                  </pic:blipFill>
                  <pic:spPr>
                    <a:xfrm>
                      <a:off x="0" y="0"/>
                      <a:ext cx="5750560" cy="8128635"/>
                    </a:xfrm>
                    <a:prstGeom prst="rect">
                      <a:avLst/>
                    </a:prstGeom>
                    <a:noFill/>
                    <a:ln>
                      <a:noFill/>
                    </a:ln>
                  </pic:spPr>
                </pic:pic>
              </a:graphicData>
            </a:graphic>
          </wp:inline>
        </w:drawing>
      </w:r>
      <w:r>
        <w:drawing>
          <wp:inline distT="0" distB="0" distL="114300" distR="114300">
            <wp:extent cx="5750560" cy="8128635"/>
            <wp:effectExtent l="0" t="0" r="2540" b="5715"/>
            <wp:docPr id="1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8"/>
                    <pic:cNvPicPr>
                      <a:picLocks noChangeAspect="1"/>
                    </pic:cNvPicPr>
                  </pic:nvPicPr>
                  <pic:blipFill>
                    <a:blip r:embed="rId62"/>
                    <a:stretch>
                      <a:fillRect/>
                    </a:stretch>
                  </pic:blipFill>
                  <pic:spPr>
                    <a:xfrm>
                      <a:off x="0" y="0"/>
                      <a:ext cx="5750560" cy="8128635"/>
                    </a:xfrm>
                    <a:prstGeom prst="rect">
                      <a:avLst/>
                    </a:prstGeom>
                    <a:noFill/>
                    <a:ln>
                      <a:noFill/>
                    </a:ln>
                  </pic:spPr>
                </pic:pic>
              </a:graphicData>
            </a:graphic>
          </wp:inline>
        </w:drawing>
      </w:r>
    </w:p>
    <w:p>
      <w:pPr>
        <w:jc w:val="center"/>
      </w:pPr>
    </w:p>
    <w:p>
      <w:pPr>
        <w:jc w:val="center"/>
      </w:pPr>
    </w:p>
    <w:p>
      <w:pPr>
        <w:pStyle w:val="3"/>
        <w:spacing w:line="480" w:lineRule="exact"/>
        <w:rPr>
          <w:sz w:val="28"/>
        </w:rPr>
      </w:pPr>
      <w:bookmarkStart w:id="479" w:name="_Toc14754"/>
      <w:r>
        <w:rPr>
          <w:rFonts w:hint="eastAsia"/>
          <w:sz w:val="28"/>
        </w:rPr>
        <w:t>附件1</w:t>
      </w:r>
      <w:r>
        <w:rPr>
          <w:rFonts w:hint="eastAsia"/>
          <w:sz w:val="28"/>
          <w:lang w:val="en-US" w:eastAsia="zh-CN"/>
        </w:rPr>
        <w:t>7</w:t>
      </w:r>
      <w:r>
        <w:rPr>
          <w:rFonts w:hint="eastAsia"/>
          <w:sz w:val="28"/>
        </w:rPr>
        <w:t>验收意见</w:t>
      </w:r>
      <w:bookmarkEnd w:id="479"/>
    </w:p>
    <w:p>
      <w:r>
        <w:drawing>
          <wp:inline distT="0" distB="0" distL="114300" distR="114300">
            <wp:extent cx="5748655" cy="7908925"/>
            <wp:effectExtent l="0" t="0" r="4445" b="15875"/>
            <wp:docPr id="85"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26"/>
                    <pic:cNvPicPr>
                      <a:picLocks noChangeAspect="1"/>
                    </pic:cNvPicPr>
                  </pic:nvPicPr>
                  <pic:blipFill>
                    <a:blip r:embed="rId63"/>
                    <a:stretch>
                      <a:fillRect/>
                    </a:stretch>
                  </pic:blipFill>
                  <pic:spPr>
                    <a:xfrm>
                      <a:off x="0" y="0"/>
                      <a:ext cx="5748655" cy="7908925"/>
                    </a:xfrm>
                    <a:prstGeom prst="rect">
                      <a:avLst/>
                    </a:prstGeom>
                    <a:noFill/>
                    <a:ln>
                      <a:noFill/>
                    </a:ln>
                  </pic:spPr>
                </pic:pic>
              </a:graphicData>
            </a:graphic>
          </wp:inline>
        </w:drawing>
      </w:r>
      <w:r>
        <w:drawing>
          <wp:inline distT="0" distB="0" distL="114300" distR="114300">
            <wp:extent cx="5748655" cy="7908925"/>
            <wp:effectExtent l="0" t="0" r="4445" b="15875"/>
            <wp:docPr id="86"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27"/>
                    <pic:cNvPicPr>
                      <a:picLocks noChangeAspect="1"/>
                    </pic:cNvPicPr>
                  </pic:nvPicPr>
                  <pic:blipFill>
                    <a:blip r:embed="rId64"/>
                    <a:stretch>
                      <a:fillRect/>
                    </a:stretch>
                  </pic:blipFill>
                  <pic:spPr>
                    <a:xfrm>
                      <a:off x="0" y="0"/>
                      <a:ext cx="5748655" cy="7908925"/>
                    </a:xfrm>
                    <a:prstGeom prst="rect">
                      <a:avLst/>
                    </a:prstGeom>
                    <a:noFill/>
                    <a:ln>
                      <a:noFill/>
                    </a:ln>
                  </pic:spPr>
                </pic:pic>
              </a:graphicData>
            </a:graphic>
          </wp:inline>
        </w:drawing>
      </w:r>
      <w:r>
        <w:drawing>
          <wp:inline distT="0" distB="0" distL="114300" distR="114300">
            <wp:extent cx="5755640" cy="8126095"/>
            <wp:effectExtent l="0" t="0" r="16510" b="8255"/>
            <wp:docPr id="87"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28"/>
                    <pic:cNvPicPr>
                      <a:picLocks noChangeAspect="1"/>
                    </pic:cNvPicPr>
                  </pic:nvPicPr>
                  <pic:blipFill>
                    <a:blip r:embed="rId65"/>
                    <a:stretch>
                      <a:fillRect/>
                    </a:stretch>
                  </pic:blipFill>
                  <pic:spPr>
                    <a:xfrm>
                      <a:off x="0" y="0"/>
                      <a:ext cx="5755640" cy="8126095"/>
                    </a:xfrm>
                    <a:prstGeom prst="rect">
                      <a:avLst/>
                    </a:prstGeom>
                    <a:noFill/>
                    <a:ln>
                      <a:noFill/>
                    </a:ln>
                  </pic:spPr>
                </pic:pic>
              </a:graphicData>
            </a:graphic>
          </wp:inline>
        </w:drawing>
      </w:r>
      <w:r>
        <w:drawing>
          <wp:inline distT="0" distB="0" distL="114300" distR="114300">
            <wp:extent cx="5753735" cy="8089900"/>
            <wp:effectExtent l="0" t="0" r="18415" b="6350"/>
            <wp:docPr id="88"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29"/>
                    <pic:cNvPicPr>
                      <a:picLocks noChangeAspect="1"/>
                    </pic:cNvPicPr>
                  </pic:nvPicPr>
                  <pic:blipFill>
                    <a:blip r:embed="rId66"/>
                    <a:stretch>
                      <a:fillRect/>
                    </a:stretch>
                  </pic:blipFill>
                  <pic:spPr>
                    <a:xfrm>
                      <a:off x="0" y="0"/>
                      <a:ext cx="5753735" cy="8089900"/>
                    </a:xfrm>
                    <a:prstGeom prst="rect">
                      <a:avLst/>
                    </a:prstGeom>
                    <a:noFill/>
                    <a:ln>
                      <a:noFill/>
                    </a:ln>
                  </pic:spPr>
                </pic:pic>
              </a:graphicData>
            </a:graphic>
          </wp:inline>
        </w:drawing>
      </w:r>
      <w:r>
        <w:drawing>
          <wp:inline distT="0" distB="0" distL="114300" distR="114300">
            <wp:extent cx="5751830" cy="8067675"/>
            <wp:effectExtent l="0" t="0" r="1270" b="9525"/>
            <wp:docPr id="89"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30"/>
                    <pic:cNvPicPr>
                      <a:picLocks noChangeAspect="1"/>
                    </pic:cNvPicPr>
                  </pic:nvPicPr>
                  <pic:blipFill>
                    <a:blip r:embed="rId67"/>
                    <a:stretch>
                      <a:fillRect/>
                    </a:stretch>
                  </pic:blipFill>
                  <pic:spPr>
                    <a:xfrm>
                      <a:off x="0" y="0"/>
                      <a:ext cx="5751830" cy="8067675"/>
                    </a:xfrm>
                    <a:prstGeom prst="rect">
                      <a:avLst/>
                    </a:prstGeom>
                    <a:noFill/>
                    <a:ln>
                      <a:noFill/>
                    </a:ln>
                  </pic:spPr>
                </pic:pic>
              </a:graphicData>
            </a:graphic>
          </wp:inline>
        </w:drawing>
      </w:r>
    </w:p>
    <w:p/>
    <w:p/>
    <w:p/>
    <w:p>
      <w:pPr>
        <w:pStyle w:val="3"/>
        <w:spacing w:line="480" w:lineRule="exact"/>
        <w:rPr>
          <w:rFonts w:hint="eastAsia" w:eastAsia="宋体"/>
          <w:sz w:val="28"/>
          <w:lang w:eastAsia="zh-CN"/>
        </w:rPr>
      </w:pPr>
      <w:bookmarkStart w:id="480" w:name="_Toc3338"/>
      <w:r>
        <w:rPr>
          <w:rFonts w:hint="eastAsia"/>
          <w:sz w:val="28"/>
        </w:rPr>
        <w:t>附件1</w:t>
      </w:r>
      <w:r>
        <w:rPr>
          <w:rFonts w:hint="eastAsia"/>
          <w:sz w:val="28"/>
          <w:lang w:val="en-US" w:eastAsia="zh-CN"/>
        </w:rPr>
        <w:t>8</w:t>
      </w:r>
      <w:r>
        <w:rPr>
          <w:rFonts w:hint="eastAsia"/>
          <w:sz w:val="28"/>
          <w:lang w:eastAsia="zh-CN"/>
        </w:rPr>
        <w:t>应急专家评审会签到表</w:t>
      </w:r>
      <w:bookmarkEnd w:id="480"/>
    </w:p>
    <w:p>
      <w:r>
        <w:drawing>
          <wp:inline distT="0" distB="0" distL="114300" distR="114300">
            <wp:extent cx="5752465" cy="8129905"/>
            <wp:effectExtent l="0" t="0" r="635" b="4445"/>
            <wp:docPr id="16" name="图片 16" descr="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0001"/>
                    <pic:cNvPicPr>
                      <a:picLocks noChangeAspect="1"/>
                    </pic:cNvPicPr>
                  </pic:nvPicPr>
                  <pic:blipFill>
                    <a:blip r:embed="rId68"/>
                    <a:stretch>
                      <a:fillRect/>
                    </a:stretch>
                  </pic:blipFill>
                  <pic:spPr>
                    <a:xfrm>
                      <a:off x="0" y="0"/>
                      <a:ext cx="5752465" cy="8129905"/>
                    </a:xfrm>
                    <a:prstGeom prst="rect">
                      <a:avLst/>
                    </a:prstGeom>
                  </pic:spPr>
                </pic:pic>
              </a:graphicData>
            </a:graphic>
          </wp:inline>
        </w:drawing>
      </w:r>
    </w:p>
    <w:p>
      <w:pPr>
        <w:pStyle w:val="3"/>
        <w:spacing w:line="480" w:lineRule="exact"/>
        <w:rPr>
          <w:rFonts w:hint="eastAsia" w:eastAsia="宋体"/>
          <w:sz w:val="28"/>
          <w:lang w:eastAsia="zh-CN"/>
        </w:rPr>
      </w:pPr>
      <w:bookmarkStart w:id="481" w:name="_Toc11204"/>
      <w:r>
        <w:rPr>
          <w:rFonts w:hint="eastAsia"/>
          <w:sz w:val="28"/>
        </w:rPr>
        <w:t>附件1</w:t>
      </w:r>
      <w:r>
        <w:rPr>
          <w:rFonts w:hint="eastAsia"/>
          <w:sz w:val="28"/>
          <w:lang w:val="en-US" w:eastAsia="zh-CN"/>
        </w:rPr>
        <w:t>9</w:t>
      </w:r>
      <w:r>
        <w:rPr>
          <w:rFonts w:hint="eastAsia"/>
          <w:sz w:val="28"/>
          <w:lang w:eastAsia="zh-CN"/>
        </w:rPr>
        <w:t>应急专家评审会专家意见</w:t>
      </w:r>
      <w:bookmarkEnd w:id="481"/>
    </w:p>
    <w:p>
      <w:r>
        <w:drawing>
          <wp:inline distT="0" distB="0" distL="114300" distR="114300">
            <wp:extent cx="5752465" cy="8129905"/>
            <wp:effectExtent l="0" t="0" r="635" b="4445"/>
            <wp:docPr id="17" name="图片 17" descr="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0003"/>
                    <pic:cNvPicPr>
                      <a:picLocks noChangeAspect="1"/>
                    </pic:cNvPicPr>
                  </pic:nvPicPr>
                  <pic:blipFill>
                    <a:blip r:embed="rId69"/>
                    <a:stretch>
                      <a:fillRect/>
                    </a:stretch>
                  </pic:blipFill>
                  <pic:spPr>
                    <a:xfrm>
                      <a:off x="0" y="0"/>
                      <a:ext cx="5752465" cy="8129905"/>
                    </a:xfrm>
                    <a:prstGeom prst="rect">
                      <a:avLst/>
                    </a:prstGeom>
                  </pic:spPr>
                </pic:pic>
              </a:graphicData>
            </a:graphic>
          </wp:inline>
        </w:drawing>
      </w:r>
    </w:p>
    <w:p>
      <w:pPr>
        <w:pStyle w:val="3"/>
        <w:spacing w:line="480" w:lineRule="exact"/>
        <w:rPr>
          <w:rFonts w:hint="eastAsia" w:eastAsia="宋体"/>
          <w:sz w:val="28"/>
          <w:lang w:eastAsia="zh-CN"/>
        </w:rPr>
      </w:pPr>
      <w:bookmarkStart w:id="482" w:name="_Toc10288"/>
      <w:r>
        <w:rPr>
          <w:rFonts w:hint="eastAsia"/>
          <w:sz w:val="28"/>
        </w:rPr>
        <w:t>附件</w:t>
      </w:r>
      <w:r>
        <w:rPr>
          <w:rFonts w:hint="eastAsia"/>
          <w:sz w:val="28"/>
          <w:lang w:val="en-US" w:eastAsia="zh-CN"/>
        </w:rPr>
        <w:t>20</w:t>
      </w:r>
      <w:r>
        <w:rPr>
          <w:rFonts w:hint="eastAsia"/>
          <w:sz w:val="28"/>
          <w:lang w:eastAsia="zh-CN"/>
        </w:rPr>
        <w:t>应急专家评审会专家评分表</w:t>
      </w:r>
      <w:bookmarkEnd w:id="482"/>
    </w:p>
    <w:p>
      <w:r>
        <w:drawing>
          <wp:inline distT="0" distB="0" distL="114300" distR="114300">
            <wp:extent cx="5752465" cy="8129905"/>
            <wp:effectExtent l="0" t="0" r="635" b="4445"/>
            <wp:docPr id="55" name="图片 55" descr="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0005"/>
                    <pic:cNvPicPr>
                      <a:picLocks noChangeAspect="1"/>
                    </pic:cNvPicPr>
                  </pic:nvPicPr>
                  <pic:blipFill>
                    <a:blip r:embed="rId70"/>
                    <a:stretch>
                      <a:fillRect/>
                    </a:stretch>
                  </pic:blipFill>
                  <pic:spPr>
                    <a:xfrm>
                      <a:off x="0" y="0"/>
                      <a:ext cx="5752465" cy="8129905"/>
                    </a:xfrm>
                    <a:prstGeom prst="rect">
                      <a:avLst/>
                    </a:prstGeom>
                  </pic:spPr>
                </pic:pic>
              </a:graphicData>
            </a:graphic>
          </wp:inline>
        </w:drawing>
      </w:r>
      <w:r>
        <w:drawing>
          <wp:inline distT="0" distB="0" distL="114300" distR="114300">
            <wp:extent cx="5752465" cy="8129905"/>
            <wp:effectExtent l="0" t="0" r="635" b="4445"/>
            <wp:docPr id="18" name="图片 18" descr="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0006"/>
                    <pic:cNvPicPr>
                      <a:picLocks noChangeAspect="1"/>
                    </pic:cNvPicPr>
                  </pic:nvPicPr>
                  <pic:blipFill>
                    <a:blip r:embed="rId71"/>
                    <a:stretch>
                      <a:fillRect/>
                    </a:stretch>
                  </pic:blipFill>
                  <pic:spPr>
                    <a:xfrm>
                      <a:off x="0" y="0"/>
                      <a:ext cx="5752465" cy="8129905"/>
                    </a:xfrm>
                    <a:prstGeom prst="rect">
                      <a:avLst/>
                    </a:prstGeom>
                  </pic:spPr>
                </pic:pic>
              </a:graphicData>
            </a:graphic>
          </wp:inline>
        </w:drawing>
      </w:r>
      <w:r>
        <w:drawing>
          <wp:inline distT="0" distB="0" distL="114300" distR="114300">
            <wp:extent cx="5752465" cy="8129905"/>
            <wp:effectExtent l="0" t="0" r="635" b="4445"/>
            <wp:docPr id="19" name="图片 19" descr="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0007"/>
                    <pic:cNvPicPr>
                      <a:picLocks noChangeAspect="1"/>
                    </pic:cNvPicPr>
                  </pic:nvPicPr>
                  <pic:blipFill>
                    <a:blip r:embed="rId72"/>
                    <a:stretch>
                      <a:fillRect/>
                    </a:stretch>
                  </pic:blipFill>
                  <pic:spPr>
                    <a:xfrm>
                      <a:off x="0" y="0"/>
                      <a:ext cx="5752465" cy="8129905"/>
                    </a:xfrm>
                    <a:prstGeom prst="rect">
                      <a:avLst/>
                    </a:prstGeom>
                  </pic:spPr>
                </pic:pic>
              </a:graphicData>
            </a:graphic>
          </wp:inline>
        </w:drawing>
      </w:r>
      <w:r>
        <w:drawing>
          <wp:inline distT="0" distB="0" distL="114300" distR="114300">
            <wp:extent cx="5752465" cy="8129905"/>
            <wp:effectExtent l="0" t="0" r="635" b="4445"/>
            <wp:docPr id="20" name="图片 20" descr="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0008"/>
                    <pic:cNvPicPr>
                      <a:picLocks noChangeAspect="1"/>
                    </pic:cNvPicPr>
                  </pic:nvPicPr>
                  <pic:blipFill>
                    <a:blip r:embed="rId73"/>
                    <a:stretch>
                      <a:fillRect/>
                    </a:stretch>
                  </pic:blipFill>
                  <pic:spPr>
                    <a:xfrm>
                      <a:off x="0" y="0"/>
                      <a:ext cx="5752465" cy="8129905"/>
                    </a:xfrm>
                    <a:prstGeom prst="rect">
                      <a:avLst/>
                    </a:prstGeom>
                  </pic:spPr>
                </pic:pic>
              </a:graphicData>
            </a:graphic>
          </wp:inline>
        </w:drawing>
      </w:r>
      <w:r>
        <w:drawing>
          <wp:inline distT="0" distB="0" distL="114300" distR="114300">
            <wp:extent cx="5752465" cy="8129905"/>
            <wp:effectExtent l="0" t="0" r="635" b="4445"/>
            <wp:docPr id="21" name="图片 21" descr="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0009"/>
                    <pic:cNvPicPr>
                      <a:picLocks noChangeAspect="1"/>
                    </pic:cNvPicPr>
                  </pic:nvPicPr>
                  <pic:blipFill>
                    <a:blip r:embed="rId74"/>
                    <a:stretch>
                      <a:fillRect/>
                    </a:stretch>
                  </pic:blipFill>
                  <pic:spPr>
                    <a:xfrm>
                      <a:off x="0" y="0"/>
                      <a:ext cx="5752465" cy="8129905"/>
                    </a:xfrm>
                    <a:prstGeom prst="rect">
                      <a:avLst/>
                    </a:prstGeom>
                  </pic:spPr>
                </pic:pic>
              </a:graphicData>
            </a:graphic>
          </wp:inline>
        </w:drawing>
      </w:r>
      <w:r>
        <w:drawing>
          <wp:inline distT="0" distB="0" distL="114300" distR="114300">
            <wp:extent cx="5752465" cy="8129905"/>
            <wp:effectExtent l="0" t="0" r="635" b="4445"/>
            <wp:docPr id="22" name="图片 22" descr="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0010"/>
                    <pic:cNvPicPr>
                      <a:picLocks noChangeAspect="1"/>
                    </pic:cNvPicPr>
                  </pic:nvPicPr>
                  <pic:blipFill>
                    <a:blip r:embed="rId75"/>
                    <a:stretch>
                      <a:fillRect/>
                    </a:stretch>
                  </pic:blipFill>
                  <pic:spPr>
                    <a:xfrm>
                      <a:off x="0" y="0"/>
                      <a:ext cx="5752465" cy="8129905"/>
                    </a:xfrm>
                    <a:prstGeom prst="rect">
                      <a:avLst/>
                    </a:prstGeom>
                  </pic:spPr>
                </pic:pic>
              </a:graphicData>
            </a:graphic>
          </wp:inline>
        </w:drawing>
      </w:r>
      <w:r>
        <w:drawing>
          <wp:inline distT="0" distB="0" distL="114300" distR="114300">
            <wp:extent cx="5752465" cy="8129905"/>
            <wp:effectExtent l="0" t="0" r="635" b="4445"/>
            <wp:docPr id="23" name="图片 23" descr="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0011"/>
                    <pic:cNvPicPr>
                      <a:picLocks noChangeAspect="1"/>
                    </pic:cNvPicPr>
                  </pic:nvPicPr>
                  <pic:blipFill>
                    <a:blip r:embed="rId76"/>
                    <a:stretch>
                      <a:fillRect/>
                    </a:stretch>
                  </pic:blipFill>
                  <pic:spPr>
                    <a:xfrm>
                      <a:off x="0" y="0"/>
                      <a:ext cx="5752465" cy="8129905"/>
                    </a:xfrm>
                    <a:prstGeom prst="rect">
                      <a:avLst/>
                    </a:prstGeom>
                  </pic:spPr>
                </pic:pic>
              </a:graphicData>
            </a:graphic>
          </wp:inline>
        </w:drawing>
      </w:r>
      <w:r>
        <w:drawing>
          <wp:inline distT="0" distB="0" distL="114300" distR="114300">
            <wp:extent cx="5752465" cy="8129905"/>
            <wp:effectExtent l="0" t="0" r="635" b="4445"/>
            <wp:docPr id="24" name="图片 24" descr="0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0012"/>
                    <pic:cNvPicPr>
                      <a:picLocks noChangeAspect="1"/>
                    </pic:cNvPicPr>
                  </pic:nvPicPr>
                  <pic:blipFill>
                    <a:blip r:embed="rId77"/>
                    <a:stretch>
                      <a:fillRect/>
                    </a:stretch>
                  </pic:blipFill>
                  <pic:spPr>
                    <a:xfrm>
                      <a:off x="0" y="0"/>
                      <a:ext cx="5752465" cy="8129905"/>
                    </a:xfrm>
                    <a:prstGeom prst="rect">
                      <a:avLst/>
                    </a:prstGeom>
                  </pic:spPr>
                </pic:pic>
              </a:graphicData>
            </a:graphic>
          </wp:inline>
        </w:drawing>
      </w:r>
      <w:r>
        <w:drawing>
          <wp:inline distT="0" distB="0" distL="114300" distR="114300">
            <wp:extent cx="5752465" cy="8129905"/>
            <wp:effectExtent l="0" t="0" r="635" b="4445"/>
            <wp:docPr id="25" name="图片 25" descr="0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0013"/>
                    <pic:cNvPicPr>
                      <a:picLocks noChangeAspect="1"/>
                    </pic:cNvPicPr>
                  </pic:nvPicPr>
                  <pic:blipFill>
                    <a:blip r:embed="rId78"/>
                    <a:stretch>
                      <a:fillRect/>
                    </a:stretch>
                  </pic:blipFill>
                  <pic:spPr>
                    <a:xfrm>
                      <a:off x="0" y="0"/>
                      <a:ext cx="5752465" cy="8129905"/>
                    </a:xfrm>
                    <a:prstGeom prst="rect">
                      <a:avLst/>
                    </a:prstGeom>
                  </pic:spPr>
                </pic:pic>
              </a:graphicData>
            </a:graphic>
          </wp:inline>
        </w:drawing>
      </w:r>
      <w:r>
        <w:drawing>
          <wp:inline distT="0" distB="0" distL="114300" distR="114300">
            <wp:extent cx="5752465" cy="8129905"/>
            <wp:effectExtent l="0" t="0" r="635" b="4445"/>
            <wp:docPr id="26" name="图片 26" descr="0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0014"/>
                    <pic:cNvPicPr>
                      <a:picLocks noChangeAspect="1"/>
                    </pic:cNvPicPr>
                  </pic:nvPicPr>
                  <pic:blipFill>
                    <a:blip r:embed="rId79"/>
                    <a:stretch>
                      <a:fillRect/>
                    </a:stretch>
                  </pic:blipFill>
                  <pic:spPr>
                    <a:xfrm>
                      <a:off x="0" y="0"/>
                      <a:ext cx="5752465" cy="8129905"/>
                    </a:xfrm>
                    <a:prstGeom prst="rect">
                      <a:avLst/>
                    </a:prstGeom>
                  </pic:spPr>
                </pic:pic>
              </a:graphicData>
            </a:graphic>
          </wp:inline>
        </w:drawing>
      </w:r>
      <w:r>
        <w:drawing>
          <wp:inline distT="0" distB="0" distL="114300" distR="114300">
            <wp:extent cx="5752465" cy="8129905"/>
            <wp:effectExtent l="0" t="0" r="635" b="4445"/>
            <wp:docPr id="27" name="图片 27" descr="0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0015"/>
                    <pic:cNvPicPr>
                      <a:picLocks noChangeAspect="1"/>
                    </pic:cNvPicPr>
                  </pic:nvPicPr>
                  <pic:blipFill>
                    <a:blip r:embed="rId80"/>
                    <a:stretch>
                      <a:fillRect/>
                    </a:stretch>
                  </pic:blipFill>
                  <pic:spPr>
                    <a:xfrm>
                      <a:off x="0" y="0"/>
                      <a:ext cx="5752465" cy="8129905"/>
                    </a:xfrm>
                    <a:prstGeom prst="rect">
                      <a:avLst/>
                    </a:prstGeom>
                  </pic:spPr>
                </pic:pic>
              </a:graphicData>
            </a:graphic>
          </wp:inline>
        </w:drawing>
      </w:r>
      <w:r>
        <w:drawing>
          <wp:inline distT="0" distB="0" distL="114300" distR="114300">
            <wp:extent cx="5752465" cy="8129905"/>
            <wp:effectExtent l="0" t="0" r="635" b="4445"/>
            <wp:docPr id="29" name="图片 29" descr="0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0016"/>
                    <pic:cNvPicPr>
                      <a:picLocks noChangeAspect="1"/>
                    </pic:cNvPicPr>
                  </pic:nvPicPr>
                  <pic:blipFill>
                    <a:blip r:embed="rId81"/>
                    <a:stretch>
                      <a:fillRect/>
                    </a:stretch>
                  </pic:blipFill>
                  <pic:spPr>
                    <a:xfrm>
                      <a:off x="0" y="0"/>
                      <a:ext cx="5752465" cy="8129905"/>
                    </a:xfrm>
                    <a:prstGeom prst="rect">
                      <a:avLst/>
                    </a:prstGeom>
                  </pic:spPr>
                </pic:pic>
              </a:graphicData>
            </a:graphic>
          </wp:inline>
        </w:drawing>
      </w:r>
      <w:r>
        <w:drawing>
          <wp:inline distT="0" distB="0" distL="114300" distR="114300">
            <wp:extent cx="5752465" cy="8129905"/>
            <wp:effectExtent l="0" t="0" r="635" b="4445"/>
            <wp:docPr id="30" name="图片 30" descr="0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0017"/>
                    <pic:cNvPicPr>
                      <a:picLocks noChangeAspect="1"/>
                    </pic:cNvPicPr>
                  </pic:nvPicPr>
                  <pic:blipFill>
                    <a:blip r:embed="rId82"/>
                    <a:stretch>
                      <a:fillRect/>
                    </a:stretch>
                  </pic:blipFill>
                  <pic:spPr>
                    <a:xfrm>
                      <a:off x="0" y="0"/>
                      <a:ext cx="5752465" cy="8129905"/>
                    </a:xfrm>
                    <a:prstGeom prst="rect">
                      <a:avLst/>
                    </a:prstGeom>
                  </pic:spPr>
                </pic:pic>
              </a:graphicData>
            </a:graphic>
          </wp:inline>
        </w:drawing>
      </w:r>
      <w:r>
        <w:drawing>
          <wp:inline distT="0" distB="0" distL="114300" distR="114300">
            <wp:extent cx="5752465" cy="8129905"/>
            <wp:effectExtent l="0" t="0" r="635" b="4445"/>
            <wp:docPr id="32" name="图片 32" descr="0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0018"/>
                    <pic:cNvPicPr>
                      <a:picLocks noChangeAspect="1"/>
                    </pic:cNvPicPr>
                  </pic:nvPicPr>
                  <pic:blipFill>
                    <a:blip r:embed="rId83"/>
                    <a:stretch>
                      <a:fillRect/>
                    </a:stretch>
                  </pic:blipFill>
                  <pic:spPr>
                    <a:xfrm>
                      <a:off x="0" y="0"/>
                      <a:ext cx="5752465" cy="8129905"/>
                    </a:xfrm>
                    <a:prstGeom prst="rect">
                      <a:avLst/>
                    </a:prstGeom>
                  </pic:spPr>
                </pic:pic>
              </a:graphicData>
            </a:graphic>
          </wp:inline>
        </w:drawing>
      </w:r>
      <w:r>
        <w:drawing>
          <wp:inline distT="0" distB="0" distL="114300" distR="114300">
            <wp:extent cx="5752465" cy="8129905"/>
            <wp:effectExtent l="0" t="0" r="635" b="4445"/>
            <wp:docPr id="33" name="图片 33" descr="0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0019"/>
                    <pic:cNvPicPr>
                      <a:picLocks noChangeAspect="1"/>
                    </pic:cNvPicPr>
                  </pic:nvPicPr>
                  <pic:blipFill>
                    <a:blip r:embed="rId84"/>
                    <a:stretch>
                      <a:fillRect/>
                    </a:stretch>
                  </pic:blipFill>
                  <pic:spPr>
                    <a:xfrm>
                      <a:off x="0" y="0"/>
                      <a:ext cx="5752465" cy="8129905"/>
                    </a:xfrm>
                    <a:prstGeom prst="rect">
                      <a:avLst/>
                    </a:prstGeom>
                  </pic:spPr>
                </pic:pic>
              </a:graphicData>
            </a:graphic>
          </wp:inline>
        </w:drawing>
      </w:r>
      <w:r>
        <w:drawing>
          <wp:inline distT="0" distB="0" distL="114300" distR="114300">
            <wp:extent cx="5752465" cy="8129905"/>
            <wp:effectExtent l="0" t="0" r="635" b="4445"/>
            <wp:docPr id="34" name="图片 34" descr="0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0020"/>
                    <pic:cNvPicPr>
                      <a:picLocks noChangeAspect="1"/>
                    </pic:cNvPicPr>
                  </pic:nvPicPr>
                  <pic:blipFill>
                    <a:blip r:embed="rId85"/>
                    <a:stretch>
                      <a:fillRect/>
                    </a:stretch>
                  </pic:blipFill>
                  <pic:spPr>
                    <a:xfrm>
                      <a:off x="0" y="0"/>
                      <a:ext cx="5752465" cy="8129905"/>
                    </a:xfrm>
                    <a:prstGeom prst="rect">
                      <a:avLst/>
                    </a:prstGeom>
                  </pic:spPr>
                </pic:pic>
              </a:graphicData>
            </a:graphic>
          </wp:inline>
        </w:drawing>
      </w:r>
      <w:r>
        <w:drawing>
          <wp:inline distT="0" distB="0" distL="114300" distR="114300">
            <wp:extent cx="5752465" cy="8129905"/>
            <wp:effectExtent l="0" t="0" r="635" b="4445"/>
            <wp:docPr id="35" name="图片 35" descr="0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0021"/>
                    <pic:cNvPicPr>
                      <a:picLocks noChangeAspect="1"/>
                    </pic:cNvPicPr>
                  </pic:nvPicPr>
                  <pic:blipFill>
                    <a:blip r:embed="rId86"/>
                    <a:stretch>
                      <a:fillRect/>
                    </a:stretch>
                  </pic:blipFill>
                  <pic:spPr>
                    <a:xfrm>
                      <a:off x="0" y="0"/>
                      <a:ext cx="5752465" cy="8129905"/>
                    </a:xfrm>
                    <a:prstGeom prst="rect">
                      <a:avLst/>
                    </a:prstGeom>
                  </pic:spPr>
                </pic:pic>
              </a:graphicData>
            </a:graphic>
          </wp:inline>
        </w:drawing>
      </w:r>
      <w:r>
        <w:drawing>
          <wp:inline distT="0" distB="0" distL="114300" distR="114300">
            <wp:extent cx="5752465" cy="8129905"/>
            <wp:effectExtent l="0" t="0" r="635" b="4445"/>
            <wp:docPr id="36" name="图片 36" descr="0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0022"/>
                    <pic:cNvPicPr>
                      <a:picLocks noChangeAspect="1"/>
                    </pic:cNvPicPr>
                  </pic:nvPicPr>
                  <pic:blipFill>
                    <a:blip r:embed="rId87"/>
                    <a:stretch>
                      <a:fillRect/>
                    </a:stretch>
                  </pic:blipFill>
                  <pic:spPr>
                    <a:xfrm>
                      <a:off x="0" y="0"/>
                      <a:ext cx="5752465" cy="8129905"/>
                    </a:xfrm>
                    <a:prstGeom prst="rect">
                      <a:avLst/>
                    </a:prstGeom>
                  </pic:spPr>
                </pic:pic>
              </a:graphicData>
            </a:graphic>
          </wp:inline>
        </w:drawing>
      </w:r>
      <w:r>
        <w:drawing>
          <wp:inline distT="0" distB="0" distL="114300" distR="114300">
            <wp:extent cx="5752465" cy="8129905"/>
            <wp:effectExtent l="0" t="0" r="635" b="4445"/>
            <wp:docPr id="37" name="图片 37" descr="0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0023"/>
                    <pic:cNvPicPr>
                      <a:picLocks noChangeAspect="1"/>
                    </pic:cNvPicPr>
                  </pic:nvPicPr>
                  <pic:blipFill>
                    <a:blip r:embed="rId88"/>
                    <a:stretch>
                      <a:fillRect/>
                    </a:stretch>
                  </pic:blipFill>
                  <pic:spPr>
                    <a:xfrm>
                      <a:off x="0" y="0"/>
                      <a:ext cx="5752465" cy="8129905"/>
                    </a:xfrm>
                    <a:prstGeom prst="rect">
                      <a:avLst/>
                    </a:prstGeom>
                  </pic:spPr>
                </pic:pic>
              </a:graphicData>
            </a:graphic>
          </wp:inline>
        </w:drawing>
      </w:r>
      <w:r>
        <w:drawing>
          <wp:inline distT="0" distB="0" distL="114300" distR="114300">
            <wp:extent cx="5752465" cy="8129905"/>
            <wp:effectExtent l="0" t="0" r="635" b="4445"/>
            <wp:docPr id="38" name="图片 38" descr="0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0024"/>
                    <pic:cNvPicPr>
                      <a:picLocks noChangeAspect="1"/>
                    </pic:cNvPicPr>
                  </pic:nvPicPr>
                  <pic:blipFill>
                    <a:blip r:embed="rId89"/>
                    <a:stretch>
                      <a:fillRect/>
                    </a:stretch>
                  </pic:blipFill>
                  <pic:spPr>
                    <a:xfrm>
                      <a:off x="0" y="0"/>
                      <a:ext cx="5752465" cy="8129905"/>
                    </a:xfrm>
                    <a:prstGeom prst="rect">
                      <a:avLst/>
                    </a:prstGeom>
                  </pic:spPr>
                </pic:pic>
              </a:graphicData>
            </a:graphic>
          </wp:inline>
        </w:drawing>
      </w:r>
      <w:r>
        <w:drawing>
          <wp:inline distT="0" distB="0" distL="114300" distR="114300">
            <wp:extent cx="5752465" cy="8129905"/>
            <wp:effectExtent l="0" t="0" r="635" b="4445"/>
            <wp:docPr id="39" name="图片 39" descr="0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0025"/>
                    <pic:cNvPicPr>
                      <a:picLocks noChangeAspect="1"/>
                    </pic:cNvPicPr>
                  </pic:nvPicPr>
                  <pic:blipFill>
                    <a:blip r:embed="rId90"/>
                    <a:stretch>
                      <a:fillRect/>
                    </a:stretch>
                  </pic:blipFill>
                  <pic:spPr>
                    <a:xfrm>
                      <a:off x="0" y="0"/>
                      <a:ext cx="5752465" cy="8129905"/>
                    </a:xfrm>
                    <a:prstGeom prst="rect">
                      <a:avLst/>
                    </a:prstGeom>
                  </pic:spPr>
                </pic:pic>
              </a:graphicData>
            </a:graphic>
          </wp:inline>
        </w:drawing>
      </w:r>
      <w:r>
        <w:drawing>
          <wp:inline distT="0" distB="0" distL="114300" distR="114300">
            <wp:extent cx="5752465" cy="8129905"/>
            <wp:effectExtent l="0" t="0" r="635" b="4445"/>
            <wp:docPr id="40" name="图片 40" descr="0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0026"/>
                    <pic:cNvPicPr>
                      <a:picLocks noChangeAspect="1"/>
                    </pic:cNvPicPr>
                  </pic:nvPicPr>
                  <pic:blipFill>
                    <a:blip r:embed="rId91"/>
                    <a:stretch>
                      <a:fillRect/>
                    </a:stretch>
                  </pic:blipFill>
                  <pic:spPr>
                    <a:xfrm>
                      <a:off x="0" y="0"/>
                      <a:ext cx="5752465" cy="8129905"/>
                    </a:xfrm>
                    <a:prstGeom prst="rect">
                      <a:avLst/>
                    </a:prstGeom>
                  </pic:spPr>
                </pic:pic>
              </a:graphicData>
            </a:graphic>
          </wp:inline>
        </w:drawing>
      </w:r>
      <w:r>
        <w:drawing>
          <wp:inline distT="0" distB="0" distL="114300" distR="114300">
            <wp:extent cx="5752465" cy="8129905"/>
            <wp:effectExtent l="0" t="0" r="635" b="4445"/>
            <wp:docPr id="43" name="图片 43" descr="0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0027"/>
                    <pic:cNvPicPr>
                      <a:picLocks noChangeAspect="1"/>
                    </pic:cNvPicPr>
                  </pic:nvPicPr>
                  <pic:blipFill>
                    <a:blip r:embed="rId92"/>
                    <a:stretch>
                      <a:fillRect/>
                    </a:stretch>
                  </pic:blipFill>
                  <pic:spPr>
                    <a:xfrm>
                      <a:off x="0" y="0"/>
                      <a:ext cx="5752465" cy="8129905"/>
                    </a:xfrm>
                    <a:prstGeom prst="rect">
                      <a:avLst/>
                    </a:prstGeom>
                  </pic:spPr>
                </pic:pic>
              </a:graphicData>
            </a:graphic>
          </wp:inline>
        </w:drawing>
      </w:r>
      <w:r>
        <w:drawing>
          <wp:inline distT="0" distB="0" distL="114300" distR="114300">
            <wp:extent cx="5752465" cy="8129905"/>
            <wp:effectExtent l="0" t="0" r="635" b="4445"/>
            <wp:docPr id="44" name="图片 44" descr="0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0028"/>
                    <pic:cNvPicPr>
                      <a:picLocks noChangeAspect="1"/>
                    </pic:cNvPicPr>
                  </pic:nvPicPr>
                  <pic:blipFill>
                    <a:blip r:embed="rId93"/>
                    <a:stretch>
                      <a:fillRect/>
                    </a:stretch>
                  </pic:blipFill>
                  <pic:spPr>
                    <a:xfrm>
                      <a:off x="0" y="0"/>
                      <a:ext cx="5752465" cy="8129905"/>
                    </a:xfrm>
                    <a:prstGeom prst="rect">
                      <a:avLst/>
                    </a:prstGeom>
                  </pic:spPr>
                </pic:pic>
              </a:graphicData>
            </a:graphic>
          </wp:inline>
        </w:drawing>
      </w:r>
      <w:r>
        <w:drawing>
          <wp:inline distT="0" distB="0" distL="114300" distR="114300">
            <wp:extent cx="5752465" cy="8129905"/>
            <wp:effectExtent l="0" t="0" r="635" b="4445"/>
            <wp:docPr id="45" name="图片 45" descr="0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0029"/>
                    <pic:cNvPicPr>
                      <a:picLocks noChangeAspect="1"/>
                    </pic:cNvPicPr>
                  </pic:nvPicPr>
                  <pic:blipFill>
                    <a:blip r:embed="rId94"/>
                    <a:stretch>
                      <a:fillRect/>
                    </a:stretch>
                  </pic:blipFill>
                  <pic:spPr>
                    <a:xfrm>
                      <a:off x="0" y="0"/>
                      <a:ext cx="5752465" cy="8129905"/>
                    </a:xfrm>
                    <a:prstGeom prst="rect">
                      <a:avLst/>
                    </a:prstGeom>
                  </pic:spPr>
                </pic:pic>
              </a:graphicData>
            </a:graphic>
          </wp:inline>
        </w:drawing>
      </w:r>
      <w:r>
        <w:drawing>
          <wp:inline distT="0" distB="0" distL="114300" distR="114300">
            <wp:extent cx="5752465" cy="8129905"/>
            <wp:effectExtent l="0" t="0" r="635" b="4445"/>
            <wp:docPr id="46" name="图片 46" descr="0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0030"/>
                    <pic:cNvPicPr>
                      <a:picLocks noChangeAspect="1"/>
                    </pic:cNvPicPr>
                  </pic:nvPicPr>
                  <pic:blipFill>
                    <a:blip r:embed="rId95"/>
                    <a:stretch>
                      <a:fillRect/>
                    </a:stretch>
                  </pic:blipFill>
                  <pic:spPr>
                    <a:xfrm>
                      <a:off x="0" y="0"/>
                      <a:ext cx="5752465" cy="8129905"/>
                    </a:xfrm>
                    <a:prstGeom prst="rect">
                      <a:avLst/>
                    </a:prstGeom>
                  </pic:spPr>
                </pic:pic>
              </a:graphicData>
            </a:graphic>
          </wp:inline>
        </w:drawing>
      </w:r>
      <w:r>
        <w:drawing>
          <wp:inline distT="0" distB="0" distL="114300" distR="114300">
            <wp:extent cx="5752465" cy="8129905"/>
            <wp:effectExtent l="0" t="0" r="635" b="4445"/>
            <wp:docPr id="47" name="图片 47" descr="0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0031"/>
                    <pic:cNvPicPr>
                      <a:picLocks noChangeAspect="1"/>
                    </pic:cNvPicPr>
                  </pic:nvPicPr>
                  <pic:blipFill>
                    <a:blip r:embed="rId96"/>
                    <a:stretch>
                      <a:fillRect/>
                    </a:stretch>
                  </pic:blipFill>
                  <pic:spPr>
                    <a:xfrm>
                      <a:off x="0" y="0"/>
                      <a:ext cx="5752465" cy="8129905"/>
                    </a:xfrm>
                    <a:prstGeom prst="rect">
                      <a:avLst/>
                    </a:prstGeom>
                  </pic:spPr>
                </pic:pic>
              </a:graphicData>
            </a:graphic>
          </wp:inline>
        </w:drawing>
      </w:r>
      <w:r>
        <w:drawing>
          <wp:inline distT="0" distB="0" distL="114300" distR="114300">
            <wp:extent cx="5752465" cy="8129905"/>
            <wp:effectExtent l="0" t="0" r="635" b="4445"/>
            <wp:docPr id="48" name="图片 48" descr="0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0032"/>
                    <pic:cNvPicPr>
                      <a:picLocks noChangeAspect="1"/>
                    </pic:cNvPicPr>
                  </pic:nvPicPr>
                  <pic:blipFill>
                    <a:blip r:embed="rId97"/>
                    <a:stretch>
                      <a:fillRect/>
                    </a:stretch>
                  </pic:blipFill>
                  <pic:spPr>
                    <a:xfrm>
                      <a:off x="0" y="0"/>
                      <a:ext cx="5752465" cy="8129905"/>
                    </a:xfrm>
                    <a:prstGeom prst="rect">
                      <a:avLst/>
                    </a:prstGeom>
                  </pic:spPr>
                </pic:pic>
              </a:graphicData>
            </a:graphic>
          </wp:inline>
        </w:drawing>
      </w:r>
      <w:r>
        <w:drawing>
          <wp:inline distT="0" distB="0" distL="114300" distR="114300">
            <wp:extent cx="5752465" cy="8129905"/>
            <wp:effectExtent l="0" t="0" r="635" b="4445"/>
            <wp:docPr id="49" name="图片 49" descr="0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0033"/>
                    <pic:cNvPicPr>
                      <a:picLocks noChangeAspect="1"/>
                    </pic:cNvPicPr>
                  </pic:nvPicPr>
                  <pic:blipFill>
                    <a:blip r:embed="rId98"/>
                    <a:stretch>
                      <a:fillRect/>
                    </a:stretch>
                  </pic:blipFill>
                  <pic:spPr>
                    <a:xfrm>
                      <a:off x="0" y="0"/>
                      <a:ext cx="5752465" cy="8129905"/>
                    </a:xfrm>
                    <a:prstGeom prst="rect">
                      <a:avLst/>
                    </a:prstGeom>
                  </pic:spPr>
                </pic:pic>
              </a:graphicData>
            </a:graphic>
          </wp:inline>
        </w:drawing>
      </w:r>
      <w:r>
        <w:drawing>
          <wp:inline distT="0" distB="0" distL="114300" distR="114300">
            <wp:extent cx="5752465" cy="8129905"/>
            <wp:effectExtent l="0" t="0" r="635" b="4445"/>
            <wp:docPr id="52" name="图片 52" descr="0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0034"/>
                    <pic:cNvPicPr>
                      <a:picLocks noChangeAspect="1"/>
                    </pic:cNvPicPr>
                  </pic:nvPicPr>
                  <pic:blipFill>
                    <a:blip r:embed="rId99"/>
                    <a:stretch>
                      <a:fillRect/>
                    </a:stretch>
                  </pic:blipFill>
                  <pic:spPr>
                    <a:xfrm>
                      <a:off x="0" y="0"/>
                      <a:ext cx="5752465" cy="8129905"/>
                    </a:xfrm>
                    <a:prstGeom prst="rect">
                      <a:avLst/>
                    </a:prstGeom>
                  </pic:spPr>
                </pic:pic>
              </a:graphicData>
            </a:graphic>
          </wp:inline>
        </w:drawing>
      </w:r>
    </w:p>
    <w:p/>
    <w:p/>
    <w:p/>
    <w:p>
      <w:pPr>
        <w:pStyle w:val="3"/>
        <w:spacing w:line="480" w:lineRule="exact"/>
        <w:rPr>
          <w:rFonts w:hint="eastAsia" w:eastAsia="宋体"/>
          <w:sz w:val="28"/>
          <w:lang w:eastAsia="zh-CN"/>
        </w:rPr>
      </w:pPr>
      <w:bookmarkStart w:id="483" w:name="_Toc32465"/>
      <w:r>
        <w:rPr>
          <w:rFonts w:hint="eastAsia"/>
          <w:sz w:val="28"/>
        </w:rPr>
        <w:t>附件</w:t>
      </w:r>
      <w:r>
        <w:rPr>
          <w:rFonts w:hint="eastAsia"/>
          <w:sz w:val="28"/>
          <w:lang w:val="en-US" w:eastAsia="zh-CN"/>
        </w:rPr>
        <w:t>21</w:t>
      </w:r>
      <w:r>
        <w:rPr>
          <w:rFonts w:hint="eastAsia"/>
          <w:sz w:val="28"/>
          <w:lang w:eastAsia="zh-CN"/>
        </w:rPr>
        <w:t>现场整改图片</w:t>
      </w:r>
      <w:bookmarkEnd w:id="483"/>
    </w:p>
    <w:p>
      <w:pPr>
        <w:jc w:val="center"/>
        <w:rPr>
          <w:rFonts w:hint="eastAsia" w:eastAsia="宋体"/>
          <w:lang w:eastAsia="zh-CN"/>
        </w:rPr>
      </w:pPr>
      <w:r>
        <w:rPr>
          <w:rFonts w:hint="eastAsia" w:eastAsia="宋体"/>
          <w:lang w:eastAsia="zh-CN"/>
        </w:rPr>
        <w:drawing>
          <wp:inline distT="0" distB="0" distL="114300" distR="114300">
            <wp:extent cx="5746750" cy="4310380"/>
            <wp:effectExtent l="0" t="0" r="6350" b="13970"/>
            <wp:docPr id="58" name="图片 58" descr="9c1e247d04d5c3030c175065ba92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9c1e247d04d5c3030c175065ba92471"/>
                    <pic:cNvPicPr>
                      <a:picLocks noChangeAspect="1"/>
                    </pic:cNvPicPr>
                  </pic:nvPicPr>
                  <pic:blipFill>
                    <a:blip r:embed="rId100"/>
                    <a:stretch>
                      <a:fillRect/>
                    </a:stretch>
                  </pic:blipFill>
                  <pic:spPr>
                    <a:xfrm>
                      <a:off x="0" y="0"/>
                      <a:ext cx="5746750" cy="4310380"/>
                    </a:xfrm>
                    <a:prstGeom prst="rect">
                      <a:avLst/>
                    </a:prstGeom>
                  </pic:spPr>
                </pic:pic>
              </a:graphicData>
            </a:graphic>
          </wp:inline>
        </w:drawing>
      </w:r>
    </w:p>
    <w:p>
      <w:pPr>
        <w:jc w:val="center"/>
        <w:rPr>
          <w:rFonts w:hint="eastAsia"/>
          <w:b/>
          <w:bCs/>
          <w:lang w:eastAsia="zh-CN"/>
        </w:rPr>
      </w:pPr>
    </w:p>
    <w:p>
      <w:pPr>
        <w:jc w:val="center"/>
        <w:rPr>
          <w:rFonts w:hint="eastAsia"/>
          <w:lang w:eastAsia="zh-CN"/>
        </w:rPr>
      </w:pPr>
      <w:r>
        <w:rPr>
          <w:rFonts w:hint="eastAsia"/>
          <w:b/>
          <w:bCs/>
          <w:lang w:eastAsia="zh-CN"/>
        </w:rPr>
        <w:t>雨水总排口闸门</w:t>
      </w:r>
    </w:p>
    <w:p>
      <w:pPr>
        <w:jc w:val="center"/>
        <w:rPr>
          <w:rFonts w:hint="eastAsia"/>
          <w:lang w:eastAsia="zh-CN"/>
        </w:rPr>
      </w:pPr>
    </w:p>
    <w:p>
      <w:pPr>
        <w:jc w:val="center"/>
        <w:rPr>
          <w:rFonts w:hint="eastAsia"/>
          <w:lang w:eastAsia="zh-CN"/>
        </w:rPr>
      </w:pPr>
    </w:p>
    <w:p>
      <w:pPr>
        <w:jc w:val="center"/>
        <w:rPr>
          <w:rFonts w:hint="eastAsia"/>
          <w:lang w:eastAsia="zh-CN"/>
        </w:rPr>
      </w:pPr>
    </w:p>
    <w:p>
      <w:pPr>
        <w:jc w:val="center"/>
        <w:rPr>
          <w:rFonts w:hint="eastAsia"/>
          <w:lang w:eastAsia="zh-CN"/>
        </w:rPr>
      </w:pPr>
    </w:p>
    <w:p>
      <w:pPr>
        <w:jc w:val="center"/>
        <w:rPr>
          <w:rFonts w:hint="eastAsia"/>
          <w:lang w:eastAsia="zh-CN"/>
        </w:rPr>
      </w:pPr>
    </w:p>
    <w:p>
      <w:pPr>
        <w:jc w:val="center"/>
        <w:rPr>
          <w:rFonts w:hint="eastAsia"/>
          <w:lang w:eastAsia="zh-CN"/>
        </w:rPr>
      </w:pPr>
      <w:r>
        <w:rPr>
          <w:rFonts w:hint="eastAsia"/>
          <w:lang w:eastAsia="zh-CN"/>
        </w:rPr>
        <w:drawing>
          <wp:inline distT="0" distB="0" distL="114300" distR="114300">
            <wp:extent cx="5750560" cy="7666990"/>
            <wp:effectExtent l="0" t="0" r="2540" b="10160"/>
            <wp:docPr id="62" name="图片 62" descr="a413de026c056d36ff7e7d0a96f40b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a413de026c056d36ff7e7d0a96f40bb"/>
                    <pic:cNvPicPr>
                      <a:picLocks noChangeAspect="1"/>
                    </pic:cNvPicPr>
                  </pic:nvPicPr>
                  <pic:blipFill>
                    <a:blip r:embed="rId34"/>
                    <a:stretch>
                      <a:fillRect/>
                    </a:stretch>
                  </pic:blipFill>
                  <pic:spPr>
                    <a:xfrm>
                      <a:off x="0" y="0"/>
                      <a:ext cx="5750560" cy="7666990"/>
                    </a:xfrm>
                    <a:prstGeom prst="rect">
                      <a:avLst/>
                    </a:prstGeom>
                  </pic:spPr>
                </pic:pic>
              </a:graphicData>
            </a:graphic>
          </wp:inline>
        </w:drawing>
      </w:r>
    </w:p>
    <w:p>
      <w:pPr>
        <w:jc w:val="center"/>
        <w:rPr>
          <w:rFonts w:hint="eastAsia"/>
          <w:lang w:eastAsia="zh-CN"/>
        </w:rPr>
      </w:pPr>
    </w:p>
    <w:p>
      <w:pPr>
        <w:jc w:val="center"/>
        <w:rPr>
          <w:rFonts w:hint="eastAsia"/>
          <w:b/>
          <w:bCs/>
          <w:lang w:eastAsia="zh-CN"/>
        </w:rPr>
      </w:pPr>
      <w:r>
        <w:rPr>
          <w:rFonts w:hint="eastAsia"/>
          <w:b/>
          <w:bCs/>
          <w:lang w:eastAsia="zh-CN"/>
        </w:rPr>
        <w:t>事故废水收集输送设施</w:t>
      </w:r>
    </w:p>
    <w:p>
      <w:pPr>
        <w:jc w:val="center"/>
        <w:rPr>
          <w:rFonts w:hint="eastAsia"/>
          <w:lang w:eastAsia="zh-CN"/>
        </w:rPr>
      </w:pPr>
    </w:p>
    <w:p>
      <w:pPr>
        <w:jc w:val="center"/>
        <w:rPr>
          <w:rFonts w:hint="eastAsia"/>
          <w:lang w:eastAsia="zh-CN"/>
        </w:rPr>
      </w:pPr>
    </w:p>
    <w:p>
      <w:pPr>
        <w:jc w:val="center"/>
        <w:rPr>
          <w:rFonts w:hint="eastAsia"/>
          <w:lang w:eastAsia="zh-CN"/>
        </w:rPr>
      </w:pPr>
    </w:p>
    <w:p>
      <w:pPr>
        <w:jc w:val="center"/>
        <w:rPr>
          <w:rFonts w:hint="eastAsia"/>
          <w:lang w:eastAsia="zh-CN"/>
        </w:rPr>
      </w:pPr>
    </w:p>
    <w:p>
      <w:pPr>
        <w:jc w:val="center"/>
        <w:rPr>
          <w:rFonts w:hint="eastAsia"/>
          <w:lang w:eastAsia="zh-CN"/>
        </w:rPr>
      </w:pPr>
      <w:r>
        <w:rPr>
          <w:rFonts w:hint="eastAsia"/>
          <w:lang w:eastAsia="zh-CN"/>
        </w:rPr>
        <w:drawing>
          <wp:inline distT="0" distB="0" distL="114300" distR="114300">
            <wp:extent cx="4295140" cy="7635875"/>
            <wp:effectExtent l="0" t="0" r="10160" b="3175"/>
            <wp:docPr id="7" name="图片 7" descr="c6e54f8bc33e8e6a46d33bb995a2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c6e54f8bc33e8e6a46d33bb995a2590"/>
                    <pic:cNvPicPr>
                      <a:picLocks noChangeAspect="1"/>
                    </pic:cNvPicPr>
                  </pic:nvPicPr>
                  <pic:blipFill>
                    <a:blip r:embed="rId101"/>
                    <a:stretch>
                      <a:fillRect/>
                    </a:stretch>
                  </pic:blipFill>
                  <pic:spPr>
                    <a:xfrm>
                      <a:off x="0" y="0"/>
                      <a:ext cx="4295140" cy="7635875"/>
                    </a:xfrm>
                    <a:prstGeom prst="rect">
                      <a:avLst/>
                    </a:prstGeom>
                  </pic:spPr>
                </pic:pic>
              </a:graphicData>
            </a:graphic>
          </wp:inline>
        </w:drawing>
      </w:r>
    </w:p>
    <w:p>
      <w:pPr>
        <w:jc w:val="center"/>
        <w:rPr>
          <w:rFonts w:hint="eastAsia"/>
          <w:highlight w:val="yellow"/>
          <w:lang w:eastAsia="zh-CN"/>
        </w:rPr>
      </w:pPr>
      <w:r>
        <w:rPr>
          <w:rFonts w:hint="eastAsia"/>
          <w:highlight w:val="none"/>
          <w:lang w:eastAsia="zh-CN"/>
        </w:rPr>
        <w:t>危险废物仓库围堰</w:t>
      </w:r>
    </w:p>
    <w:p>
      <w:pPr>
        <w:jc w:val="center"/>
        <w:rPr>
          <w:rFonts w:hint="eastAsia"/>
          <w:lang w:eastAsia="zh-CN"/>
        </w:rPr>
      </w:pPr>
    </w:p>
    <w:p>
      <w:pPr>
        <w:jc w:val="center"/>
        <w:rPr>
          <w:rFonts w:hint="eastAsia"/>
          <w:lang w:eastAsia="zh-CN"/>
        </w:rPr>
      </w:pPr>
    </w:p>
    <w:p>
      <w:pPr>
        <w:jc w:val="center"/>
      </w:pPr>
    </w:p>
    <w:p>
      <w:pPr>
        <w:pStyle w:val="3"/>
        <w:spacing w:line="480" w:lineRule="exact"/>
        <w:rPr>
          <w:rFonts w:hint="eastAsia" w:eastAsia="宋体"/>
          <w:sz w:val="28"/>
          <w:lang w:eastAsia="zh-CN"/>
        </w:rPr>
      </w:pPr>
      <w:bookmarkStart w:id="484" w:name="_Toc22068"/>
      <w:r>
        <w:rPr>
          <w:rFonts w:hint="eastAsia"/>
          <w:sz w:val="28"/>
        </w:rPr>
        <w:t>附件</w:t>
      </w:r>
      <w:r>
        <w:rPr>
          <w:rFonts w:hint="eastAsia"/>
          <w:sz w:val="28"/>
          <w:lang w:val="en-US" w:eastAsia="zh-CN"/>
        </w:rPr>
        <w:t>22</w:t>
      </w:r>
      <w:r>
        <w:rPr>
          <w:rFonts w:hint="eastAsia"/>
          <w:sz w:val="28"/>
          <w:lang w:eastAsia="zh-CN"/>
        </w:rPr>
        <w:t>专家复核意见</w:t>
      </w:r>
      <w:bookmarkEnd w:id="484"/>
    </w:p>
    <w:p>
      <w:pPr>
        <w:jc w:val="center"/>
        <w:rPr>
          <w:rFonts w:hint="eastAsia" w:eastAsia="宋体"/>
          <w:lang w:eastAsia="zh-CN"/>
        </w:rPr>
      </w:pPr>
      <w:r>
        <w:drawing>
          <wp:inline distT="0" distB="0" distL="114300" distR="114300">
            <wp:extent cx="5750560" cy="8128635"/>
            <wp:effectExtent l="0" t="0" r="2540" b="5715"/>
            <wp:docPr id="6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2"/>
                    <pic:cNvPicPr>
                      <a:picLocks noChangeAspect="1"/>
                    </pic:cNvPicPr>
                  </pic:nvPicPr>
                  <pic:blipFill>
                    <a:blip r:embed="rId102"/>
                    <a:stretch>
                      <a:fillRect/>
                    </a:stretch>
                  </pic:blipFill>
                  <pic:spPr>
                    <a:xfrm>
                      <a:off x="0" y="0"/>
                      <a:ext cx="5750560" cy="8128635"/>
                    </a:xfrm>
                    <a:prstGeom prst="rect">
                      <a:avLst/>
                    </a:prstGeom>
                    <a:noFill/>
                    <a:ln>
                      <a:noFill/>
                    </a:ln>
                  </pic:spPr>
                </pic:pic>
              </a:graphicData>
            </a:graphic>
          </wp:inline>
        </w:drawing>
      </w:r>
    </w:p>
    <w:p>
      <w:pPr>
        <w:jc w:val="center"/>
        <w:rPr>
          <w:rFonts w:hint="eastAsia"/>
          <w:b/>
          <w:bCs/>
          <w:lang w:eastAsia="zh-CN"/>
        </w:rPr>
      </w:pPr>
    </w:p>
    <w:p>
      <w:pPr>
        <w:jc w:val="center"/>
        <w:rPr>
          <w:rFonts w:hint="eastAsia"/>
          <w:lang w:eastAsia="zh-CN"/>
        </w:rPr>
      </w:pPr>
    </w:p>
    <w:p>
      <w:pPr>
        <w:jc w:val="center"/>
      </w:pPr>
    </w:p>
    <w:p>
      <w:pPr>
        <w:jc w:val="center"/>
      </w:pPr>
    </w:p>
    <w:p>
      <w:pPr>
        <w:jc w:val="left"/>
      </w:pPr>
    </w:p>
    <w:p>
      <w:pPr>
        <w:jc w:val="center"/>
        <w:rPr>
          <w:rFonts w:hint="eastAsia"/>
        </w:rPr>
      </w:pPr>
    </w:p>
    <w:sectPr>
      <w:pgSz w:w="11906" w:h="16838"/>
      <w:pgMar w:top="1418" w:right="1418" w:bottom="1418" w:left="1418" w:header="851" w:footer="284" w:gutter="0"/>
      <w:pgBorders>
        <w:top w:val="none" w:sz="0" w:space="0"/>
        <w:left w:val="none" w:sz="0" w:space="0"/>
        <w:bottom w:val="none" w:sz="0" w:space="0"/>
        <w:right w:val="none" w:sz="0" w:space="0"/>
      </w:pgBorders>
      <w:pgNumType w:fmt="decimal"/>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font>
  <w:font w:name="Calibri">
    <w:panose1 w:val="020F0502020204030204"/>
    <w:charset w:val="86"/>
    <w:family w:val="swiss"/>
    <w:pitch w:val="default"/>
    <w:sig w:usb0="E10002FF" w:usb1="4000ACFF" w:usb2="00000009" w:usb3="00000000" w:csb0="2000019F" w:csb1="00000000"/>
  </w:font>
  <w:font w:name="仿宋_GB2312">
    <w:altName w:val="仿宋"/>
    <w:panose1 w:val="00000000000000000000"/>
    <w:charset w:val="00"/>
    <w:family w:val="modern"/>
    <w:pitch w:val="default"/>
    <w:sig w:usb0="00000000" w:usb1="00000000" w:usb2="00000010" w:usb3="00000000" w:csb0="00040000" w:csb1="00000000"/>
  </w:font>
  <w:font w:name="TimesNewRoman">
    <w:altName w:val="AMGDT"/>
    <w:panose1 w:val="00000000000000000000"/>
    <w:charset w:val="00"/>
    <w:family w:val="roman"/>
    <w:pitch w:val="default"/>
    <w:sig w:usb0="00000000" w:usb1="00000000" w:usb2="00000000" w:usb3="00000000" w:csb0="00000001" w:csb1="00000000"/>
  </w:font>
  <w:font w:name="新宋体">
    <w:panose1 w:val="02010609030101010101"/>
    <w:charset w:val="86"/>
    <w:family w:val="modern"/>
    <w:pitch w:val="default"/>
    <w:sig w:usb0="00000003" w:usb1="288F0000" w:usb2="00000006" w:usb3="00000000" w:csb0="00040001" w:csb1="00000000"/>
  </w:font>
  <w:font w:name="Verdana">
    <w:panose1 w:val="020B0604030504040204"/>
    <w:charset w:val="00"/>
    <w:family w:val="swiss"/>
    <w:pitch w:val="default"/>
    <w:sig w:usb0="A10006FF" w:usb1="4000205B" w:usb2="00000010" w:usb3="00000000" w:csb0="2000019F" w:csb1="00000000"/>
  </w:font>
  <w:font w:name="”“Times New Roman”“">
    <w:altName w:val="宋体"/>
    <w:panose1 w:val="00000000000000000000"/>
    <w:charset w:val="86"/>
    <w:family w:val="roman"/>
    <w:pitch w:val="default"/>
    <w:sig w:usb0="00000000" w:usb1="00000000" w:usb2="00000010" w:usb3="00000000" w:csb0="00040000" w:csb1="00000000"/>
  </w:font>
  <w:font w:name="Arial Unicode MS">
    <w:panose1 w:val="020B0604020202020204"/>
    <w:charset w:val="86"/>
    <w:family w:val="roman"/>
    <w:pitch w:val="default"/>
    <w:sig w:usb0="FFFFFFFF" w:usb1="E9FFFFFF" w:usb2="0000003F" w:usb3="00000000" w:csb0="603F01FF" w:csb1="FFFF0000"/>
  </w:font>
  <w:font w:name="Lucida Sans Unicode">
    <w:panose1 w:val="020B0602030504020204"/>
    <w:charset w:val="00"/>
    <w:family w:val="swiss"/>
    <w:pitch w:val="default"/>
    <w:sig w:usb0="80001AFF" w:usb1="0000396B" w:usb2="00000000" w:usb3="00000000" w:csb0="200000BF" w:csb1="D7F70000"/>
  </w:font>
  <w:font w:name="楷体_GB2312">
    <w:altName w:val="楷体"/>
    <w:panose1 w:val="00000000000000000000"/>
    <w:charset w:val="86"/>
    <w:family w:val="modern"/>
    <w:pitch w:val="default"/>
    <w:sig w:usb0="00000000" w:usb1="00000000" w:usb2="00000010" w:usb3="00000000" w:csb0="00040000" w:csb1="00000000"/>
  </w:font>
  <w:font w:name="隶书">
    <w:panose1 w:val="02010509060101010101"/>
    <w:charset w:val="86"/>
    <w:family w:val="modern"/>
    <w:pitch w:val="default"/>
    <w:sig w:usb0="00000001" w:usb1="080E0000" w:usb2="00000000" w:usb3="00000000" w:csb0="00040000" w:csb1="00000000"/>
  </w:font>
  <w:font w:name="楷体">
    <w:panose1 w:val="02010609060101010101"/>
    <w:charset w:val="86"/>
    <w:family w:val="auto"/>
    <w:pitch w:val="default"/>
    <w:sig w:usb0="800002BF" w:usb1="38CF7CFA" w:usb2="00000016" w:usb3="00000000" w:csb0="00040001" w:csb1="00000000"/>
  </w:font>
  <w:font w:name="仿宋">
    <w:panose1 w:val="02010609060101010101"/>
    <w:charset w:val="86"/>
    <w:family w:val="auto"/>
    <w:pitch w:val="default"/>
    <w:sig w:usb0="800002BF" w:usb1="38CF7CFA" w:usb2="00000016" w:usb3="00000000" w:csb0="00040001" w:csb1="00000000"/>
  </w:font>
  <w:font w:name="AMGDT">
    <w:panose1 w:val="02000400000000000000"/>
    <w:charset w:val="00"/>
    <w:family w:val="auto"/>
    <w:pitch w:val="default"/>
    <w:sig w:usb0="80000003" w:usb1="1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7"/>
    </w:pPr>
    <w:r>
      <w:rPr>
        <w:sz w:val="18"/>
      </w:rPr>
      <w:pict>
        <v:shape id="_x0000_s9220" o:spid="_x0000_s9220" o:spt="202" type="#_x0000_t202" style="position:absolute;left:0pt;margin-top:0pt;height:144pt;width:144pt;mso-position-horizontal:center;mso-position-horizontal-relative:margin;mso-wrap-style:none;z-index:-796658688;mso-width-relative:page;mso-height-relative:page;" filled="f" stroked="f" coordsize="21600,21600">
          <v:path/>
          <v:fill on="f" focussize="0,0"/>
          <v:stroke on="f" weight="2.25pt" endarrow="block"/>
          <v:imagedata o:title=""/>
          <o:lock v:ext="edit" aspectratio="f"/>
          <v:textbox inset="0mm,0mm,0mm,0mm" style="mso-fit-shape-to-text:t;">
            <w:txbxContent>
              <w:p>
                <w:pPr>
                  <w:pStyle w:val="27"/>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v:textbox>
        </v:shape>
      </w:pic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7"/>
      <w:wordWrap w:val="0"/>
      <w:spacing w:line="200" w:lineRule="atLeast"/>
      <w:ind w:right="356" w:rightChars="129" w:firstLine="206" w:firstLineChars="100"/>
      <w:jc w:val="right"/>
      <w:rPr>
        <w:sz w:val="21"/>
        <w:szCs w:val="21"/>
      </w:rPr>
    </w:pPr>
  </w:p>
  <w:p>
    <w:pPr>
      <w:pStyle w:val="27"/>
      <w:spacing w:line="200" w:lineRule="atLeast"/>
      <w:ind w:right="356" w:rightChars="129" w:firstLine="276" w:firstLineChars="100"/>
      <w:jc w:val="center"/>
      <w:rPr>
        <w:rFonts w:eastAsia="仿宋_GB2312"/>
        <w:sz w:val="28"/>
      </w:rPr>
    </w:pPr>
  </w:p>
  <w:p>
    <w:pPr>
      <w:pStyle w:val="27"/>
      <w:spacing w:line="160" w:lineRule="atLeast"/>
      <w:ind w:right="357" w:firstLine="2"/>
      <w:jc w:val="center"/>
      <w:rPr>
        <w:rFonts w:ascii="隶书" w:eastAsia="隶书"/>
        <w:szCs w:val="28"/>
      </w:rPr>
    </w:pPr>
    <w:r>
      <w:rPr>
        <w:sz w:val="18"/>
      </w:rPr>
      <w:pict>
        <v:shape id="_x0000_s9227" o:spid="_x0000_s9227" o:spt="202" type="#_x0000_t202" style="position:absolute;left:0pt;margin-top:0pt;height:144pt;width:144pt;mso-position-horizontal:center;mso-position-horizontal-relative:margin;mso-wrap-style:none;z-index:-796651520;mso-width-relative:page;mso-height-relative:page;" filled="f" stroked="f" coordsize="21600,21600">
          <v:path/>
          <v:fill on="f" focussize="0,0"/>
          <v:stroke on="f" weight="2.25pt" endarrow="block"/>
          <v:imagedata o:title=""/>
          <o:lock v:ext="edit" aspectratio="f"/>
          <v:textbox inset="0mm,0mm,0mm,0mm" style="mso-fit-shape-to-text:t;">
            <w:txbxContent>
              <w:p>
                <w:pPr>
                  <w:pStyle w:val="27"/>
                  <w:spacing w:line="160" w:lineRule="atLeast"/>
                  <w:ind w:right="357" w:firstLine="2"/>
                  <w:jc w:val="center"/>
                </w:pPr>
                <w:r>
                  <w:rPr>
                    <w:rFonts w:hint="eastAsia"/>
                    <w:sz w:val="21"/>
                    <w:szCs w:val="21"/>
                  </w:rPr>
                  <w:t xml:space="preserve">第 </w:t>
                </w:r>
                <w:r>
                  <w:rPr>
                    <w:sz w:val="21"/>
                    <w:szCs w:val="21"/>
                  </w:rPr>
                  <w:fldChar w:fldCharType="begin"/>
                </w:r>
                <w:r>
                  <w:rPr>
                    <w:sz w:val="21"/>
                    <w:szCs w:val="21"/>
                  </w:rPr>
                  <w:instrText xml:space="preserve"> PAGE </w:instrText>
                </w:r>
                <w:r>
                  <w:rPr>
                    <w:sz w:val="21"/>
                    <w:szCs w:val="21"/>
                  </w:rPr>
                  <w:fldChar w:fldCharType="separate"/>
                </w:r>
                <w:r>
                  <w:rPr>
                    <w:sz w:val="21"/>
                    <w:szCs w:val="21"/>
                  </w:rPr>
                  <w:t>136</w:t>
                </w:r>
                <w:r>
                  <w:rPr>
                    <w:sz w:val="21"/>
                    <w:szCs w:val="21"/>
                  </w:rPr>
                  <w:fldChar w:fldCharType="end"/>
                </w:r>
                <w:r>
                  <w:rPr>
                    <w:rFonts w:hint="eastAsia"/>
                    <w:sz w:val="21"/>
                    <w:szCs w:val="21"/>
                  </w:rPr>
                  <w:t xml:space="preserve"> 页</w:t>
                </w:r>
              </w:p>
            </w:txbxContent>
          </v:textbox>
        </v:shape>
      </w:pict>
    </w:r>
  </w:p>
  <w:p>
    <w:pPr>
      <w:pStyle w:val="27"/>
      <w:jc w:val="center"/>
      <w:rPr>
        <w:sz w:val="21"/>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7"/>
      <w:jc w:val="center"/>
    </w:pPr>
    <w:r>
      <w:rPr>
        <w:sz w:val="18"/>
      </w:rPr>
      <w:pict>
        <v:shape id="_x0000_s9221" o:spid="_x0000_s9221" o:spt="202" type="#_x0000_t202" style="position:absolute;left:0pt;margin-top:0pt;height:144pt;width:144pt;mso-position-horizontal:center;mso-position-horizontal-relative:margin;mso-wrap-style:none;z-index:-796657664;mso-width-relative:page;mso-height-relative:page;" filled="f" stroked="f" coordsize="21600,21600">
          <v:path/>
          <v:fill on="f" focussize="0,0"/>
          <v:stroke on="f" weight="2.25pt" endarrow="block"/>
          <v:imagedata o:title=""/>
          <o:lock v:ext="edit" aspectratio="f"/>
          <v:textbox inset="0mm,0mm,0mm,0mm" style="mso-fit-shape-to-text:t;">
            <w:txbxContent>
              <w:p>
                <w:pPr>
                  <w:pStyle w:val="27"/>
                  <w:jc w:val="center"/>
                </w:pPr>
                <w:r>
                  <w:fldChar w:fldCharType="begin"/>
                </w:r>
                <w:r>
                  <w:instrText xml:space="preserve"> PAGE   \* MERGEFORMAT </w:instrText>
                </w:r>
                <w:r>
                  <w:fldChar w:fldCharType="separate"/>
                </w:r>
                <w:r>
                  <w:t>5</w:t>
                </w:r>
                <w:r>
                  <w:fldChar w:fldCharType="end"/>
                </w:r>
              </w:p>
            </w:txbxContent>
          </v:textbox>
        </v:shape>
      </w:pict>
    </w:r>
  </w:p>
  <w:p>
    <w:pPr>
      <w:pStyle w:val="27"/>
      <w:rPr>
        <w:szCs w:val="24"/>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7"/>
      <w:jc w:val="center"/>
    </w:pPr>
    <w:r>
      <w:rPr>
        <w:sz w:val="18"/>
      </w:rPr>
      <w:pict>
        <v:shape id="_x0000_s9222" o:spid="_x0000_s9222" o:spt="202" type="#_x0000_t202" style="position:absolute;left:0pt;margin-top:0pt;height:144pt;width:144pt;mso-position-horizontal:center;mso-position-horizontal-relative:margin;mso-wrap-style:none;z-index:-796656640;mso-width-relative:page;mso-height-relative:page;" filled="f" stroked="f" coordsize="21600,21600">
          <v:path/>
          <v:fill on="f" focussize="0,0"/>
          <v:stroke on="f" weight="2.25pt" endarrow="block"/>
          <v:imagedata o:title=""/>
          <o:lock v:ext="edit" aspectratio="f"/>
          <v:textbox inset="0mm,0mm,0mm,0mm" style="mso-fit-shape-to-text:t;">
            <w:txbxContent>
              <w:p>
                <w:pPr>
                  <w:pStyle w:val="27"/>
                  <w:jc w:val="center"/>
                </w:pPr>
                <w:r>
                  <w:fldChar w:fldCharType="begin"/>
                </w:r>
                <w:r>
                  <w:instrText xml:space="preserve"> PAGE   \* MERGEFORMAT </w:instrText>
                </w:r>
                <w:r>
                  <w:fldChar w:fldCharType="separate"/>
                </w:r>
                <w:r>
                  <w:t>1</w:t>
                </w:r>
                <w:r>
                  <w:fldChar w:fldCharType="end"/>
                </w:r>
              </w:p>
            </w:txbxContent>
          </v:textbox>
        </v:shape>
      </w:pict>
    </w:r>
  </w:p>
  <w:p>
    <w:pPr>
      <w:pStyle w:val="27"/>
      <w:rPr>
        <w:szCs w:val="24"/>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7"/>
      <w:jc w:val="center"/>
    </w:pPr>
    <w:r>
      <w:rPr>
        <w:sz w:val="18"/>
      </w:rPr>
      <w:pict>
        <v:shape id="_x0000_s9223" o:spid="_x0000_s9223" o:spt="202" type="#_x0000_t202" style="position:absolute;left:0pt;margin-top:0pt;height:144pt;width:144pt;mso-position-horizontal:center;mso-position-horizontal-relative:margin;mso-wrap-style:none;z-index:-796655616;mso-width-relative:page;mso-height-relative:page;" filled="f" stroked="f" coordsize="21600,21600">
          <v:path/>
          <v:fill on="f" focussize="0,0"/>
          <v:stroke on="f" weight="2.25pt" endarrow="block"/>
          <v:imagedata o:title=""/>
          <o:lock v:ext="edit" aspectratio="f"/>
          <v:textbox inset="0mm,0mm,0mm,0mm" style="mso-fit-shape-to-text:t;">
            <w:txbxContent>
              <w:p>
                <w:pPr>
                  <w:pStyle w:val="27"/>
                  <w:jc w:val="center"/>
                </w:pPr>
                <w:r>
                  <w:fldChar w:fldCharType="begin"/>
                </w:r>
                <w:r>
                  <w:instrText xml:space="preserve"> PAGE   \* MERGEFORMAT </w:instrText>
                </w:r>
                <w:r>
                  <w:fldChar w:fldCharType="separate"/>
                </w:r>
                <w:r>
                  <w:t>5</w:t>
                </w:r>
                <w:r>
                  <w:fldChar w:fldCharType="end"/>
                </w:r>
              </w:p>
            </w:txbxContent>
          </v:textbox>
        </v:shape>
      </w:pict>
    </w:r>
  </w:p>
  <w:p>
    <w:pPr>
      <w:pStyle w:val="27"/>
      <w:rPr>
        <w:szCs w:val="24"/>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7"/>
      <w:jc w:val="center"/>
    </w:pPr>
    <w:r>
      <w:rPr>
        <w:sz w:val="18"/>
      </w:rPr>
      <w:pict>
        <v:shape id="_x0000_s9224" o:spid="_x0000_s9224" o:spt="202" type="#_x0000_t202" style="position:absolute;left:0pt;margin-top:0pt;height:144pt;width:144pt;mso-position-horizontal:center;mso-position-horizontal-relative:margin;mso-wrap-style:none;z-index:-796654592;mso-width-relative:page;mso-height-relative:page;" filled="f" stroked="f" coordsize="21600,21600">
          <v:path/>
          <v:fill on="f" focussize="0,0"/>
          <v:stroke on="f" weight="2.25pt" endarrow="block"/>
          <v:imagedata o:title=""/>
          <o:lock v:ext="edit" aspectratio="f"/>
          <v:textbox inset="0mm,0mm,0mm,0mm" style="mso-fit-shape-to-text:t;">
            <w:txbxContent>
              <w:p>
                <w:pPr>
                  <w:pStyle w:val="27"/>
                  <w:jc w:val="center"/>
                </w:pPr>
                <w:r>
                  <w:fldChar w:fldCharType="begin"/>
                </w:r>
                <w:r>
                  <w:instrText xml:space="preserve"> PAGE   \* MERGEFORMAT </w:instrText>
                </w:r>
                <w:r>
                  <w:fldChar w:fldCharType="separate"/>
                </w:r>
                <w:r>
                  <w:t>1</w:t>
                </w:r>
                <w:r>
                  <w:fldChar w:fldCharType="end"/>
                </w:r>
              </w:p>
            </w:txbxContent>
          </v:textbox>
        </v:shape>
      </w:pict>
    </w:r>
  </w:p>
  <w:p>
    <w:pPr>
      <w:pStyle w:val="27"/>
      <w:rPr>
        <w:szCs w:val="24"/>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before="0" w:after="0" w:line="14" w:lineRule="auto"/>
      <w:rPr>
        <w:sz w:val="20"/>
        <w:szCs w:val="20"/>
      </w:rPr>
    </w:pPr>
    <w:r>
      <w:rPr>
        <w:sz w:val="28"/>
      </w:rPr>
      <w:pict>
        <v:shape id="_x0000_s9219" o:spid="_x0000_s9219" o:spt="202" type="#_x0000_t202" style="position:absolute;left:0pt;margin-top:0pt;height:144pt;width:144pt;mso-position-horizontal:center;mso-position-horizontal-relative:margin;mso-wrap-style:none;z-index:-796659712;mso-width-relative:page;mso-height-relative:page;" filled="f" stroked="f" coordsize="21600,21600">
          <v:path/>
          <v:fill on="f" focussize="0,0"/>
          <v:stroke on="f" weight="2.25pt" endarrow="block"/>
          <v:imagedata o:title=""/>
          <o:lock v:ext="edit" aspectratio="f"/>
          <v:textbox inset="0mm,0mm,0mm,0mm" style="mso-fit-shape-to-text:t;">
            <w:txbxContent>
              <w:p>
                <w:pPr>
                  <w:pStyle w:val="27"/>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51</w:t>
                </w:r>
                <w:r>
                  <w:rPr>
                    <w:rFonts w:hint="eastAsia"/>
                    <w:lang w:eastAsia="zh-CN"/>
                  </w:rPr>
                  <w:fldChar w:fldCharType="end"/>
                </w:r>
              </w:p>
            </w:txbxContent>
          </v:textbox>
        </v:shape>
      </w:pic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before="0" w:after="0" w:line="14" w:lineRule="auto"/>
      <w:rPr>
        <w:sz w:val="20"/>
        <w:szCs w:val="20"/>
      </w:rPr>
    </w:pPr>
    <w:r>
      <w:rPr>
        <w:sz w:val="28"/>
      </w:rPr>
      <w:pict>
        <v:shape id="_x0000_s9225" o:spid="_x0000_s9225" o:spt="202" type="#_x0000_t202" style="position:absolute;left:0pt;margin-top:0pt;height:144pt;width:144pt;mso-position-horizontal:center;mso-position-horizontal-relative:margin;mso-wrap-style:none;z-index:-796653568;mso-width-relative:page;mso-height-relative:page;" filled="f" stroked="f" coordsize="21600,21600">
          <v:path/>
          <v:fill on="f" focussize="0,0"/>
          <v:stroke on="f" weight="2.25pt" endarrow="block"/>
          <v:imagedata o:title=""/>
          <o:lock v:ext="edit" aspectratio="f"/>
          <v:textbox inset="0mm,0mm,0mm,0mm" style="mso-fit-shape-to-text:t;">
            <w:txbxContent>
              <w:p>
                <w:pPr>
                  <w:pStyle w:val="27"/>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55</w:t>
                </w:r>
                <w:r>
                  <w:rPr>
                    <w:rFonts w:hint="eastAsia"/>
                    <w:lang w:eastAsia="zh-CN"/>
                  </w:rPr>
                  <w:fldChar w:fldCharType="end"/>
                </w:r>
              </w:p>
            </w:txbxContent>
          </v:textbox>
        </v:shape>
      </w:pic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7"/>
    </w:pPr>
    <w:r>
      <w:rPr>
        <w:sz w:val="18"/>
      </w:rPr>
      <w:pict>
        <v:shape id="_x0000_s9226" o:spid="_x0000_s9226" o:spt="202" type="#_x0000_t202" style="position:absolute;left:0pt;margin-top:0pt;height:144pt;width:144pt;mso-position-horizontal:center;mso-position-horizontal-relative:margin;mso-wrap-style:none;z-index:-796652544;mso-width-relative:page;mso-height-relative:page;" filled="f" stroked="f" coordsize="21600,21600">
          <v:path/>
          <v:fill on="f" focussize="0,0"/>
          <v:stroke on="f" weight="2.25pt" endarrow="block"/>
          <v:imagedata o:title=""/>
          <o:lock v:ext="edit" aspectratio="f"/>
          <v:textbox inset="0mm,0mm,0mm,0mm" style="mso-fit-shape-to-text:t;">
            <w:txbxContent>
              <w:p>
                <w:pPr>
                  <w:pStyle w:val="27"/>
                  <w:rPr>
                    <w:rStyle w:val="49"/>
                  </w:rPr>
                </w:pPr>
                <w:r>
                  <w:fldChar w:fldCharType="begin"/>
                </w:r>
                <w:r>
                  <w:rPr>
                    <w:rStyle w:val="49"/>
                  </w:rPr>
                  <w:instrText xml:space="preserve">PAGE  </w:instrText>
                </w:r>
                <w:r>
                  <w:fldChar w:fldCharType="separate"/>
                </w:r>
                <w:r>
                  <w:rPr>
                    <w:rStyle w:val="49"/>
                  </w:rPr>
                  <w:t>109</w:t>
                </w:r>
                <w:r>
                  <w:fldChar w:fldCharType="end"/>
                </w:r>
              </w:p>
            </w:txbxContent>
          </v:textbox>
        </v:shape>
      </w:pic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8"/>
      <w:pBdr>
        <w:bottom w:val="none" w:color="auto" w:sz="0"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8"/>
    </w:pPr>
    <w:r>
      <w:rPr>
        <w:rFonts w:hint="eastAsia"/>
        <w:lang w:eastAsia="zh-CN"/>
      </w:rPr>
      <w:t>中山市民东有机废物处理有限公司</w:t>
    </w:r>
    <w:r>
      <w:rPr>
        <w:rFonts w:hint="eastAsia"/>
      </w:rPr>
      <w:t>突发环境事件应急预案</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8"/>
    </w:pPr>
    <w:r>
      <w:rPr>
        <w:rFonts w:hint="eastAsia"/>
        <w:lang w:eastAsia="zh-CN"/>
      </w:rPr>
      <w:t>中山市民东有机废物处理有限公司</w:t>
    </w:r>
    <w:r>
      <w:rPr>
        <w:rFonts w:hint="eastAsia"/>
      </w:rPr>
      <w:t>突发环境事件应急预案</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8"/>
    </w:pPr>
  </w:p>
  <w:p>
    <w:pPr>
      <w:pStyle w:val="28"/>
    </w:pPr>
    <w:r>
      <w:rPr>
        <w:rFonts w:hint="eastAsia"/>
        <w:lang w:eastAsia="zh-CN"/>
      </w:rPr>
      <w:t>中山市民东有机废物处理有限公司</w:t>
    </w:r>
    <w:r>
      <w:rPr>
        <w:rFonts w:hint="eastAsia"/>
      </w:rPr>
      <w:t>突发环境事件应急预案</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8"/>
      <w:rPr>
        <w:szCs w:val="24"/>
      </w:rPr>
    </w:pPr>
    <w:r>
      <w:rPr>
        <w:rFonts w:hint="eastAsia"/>
        <w:lang w:eastAsia="zh-CN"/>
      </w:rPr>
      <w:t>中山市民东有机废物处理有限公司</w:t>
    </w:r>
    <w:r>
      <w:rPr>
        <w:rFonts w:hint="eastAsia"/>
      </w:rPr>
      <w:t>突发环境事件应急预案</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998AFBFB"/>
    <w:multiLevelType w:val="singleLevel"/>
    <w:tmpl w:val="998AFBFB"/>
    <w:lvl w:ilvl="0" w:tentative="0">
      <w:start w:val="1"/>
      <w:numFmt w:val="decimal"/>
      <w:suff w:val="nothing"/>
      <w:lvlText w:val="（%1）"/>
      <w:lvlJc w:val="left"/>
    </w:lvl>
  </w:abstractNum>
  <w:abstractNum w:abstractNumId="1">
    <w:nsid w:val="C5945C0E"/>
    <w:multiLevelType w:val="singleLevel"/>
    <w:tmpl w:val="C5945C0E"/>
    <w:lvl w:ilvl="0" w:tentative="0">
      <w:start w:val="2"/>
      <w:numFmt w:val="decimal"/>
      <w:suff w:val="nothing"/>
      <w:lvlText w:val="%1、"/>
      <w:lvlJc w:val="left"/>
    </w:lvl>
  </w:abstractNum>
  <w:abstractNum w:abstractNumId="2">
    <w:nsid w:val="EE222757"/>
    <w:multiLevelType w:val="multilevel"/>
    <w:tmpl w:val="EE222757"/>
    <w:lvl w:ilvl="0" w:tentative="0">
      <w:start w:val="1"/>
      <w:numFmt w:val="decimal"/>
      <w:lvlText w:val="（%1）"/>
      <w:lvlJc w:val="left"/>
      <w:pPr>
        <w:tabs>
          <w:tab w:val="left" w:pos="742"/>
        </w:tabs>
        <w:ind w:left="742" w:hanging="720"/>
      </w:pPr>
      <w:rPr>
        <w:rFonts w:hint="eastAsia"/>
      </w:rPr>
    </w:lvl>
    <w:lvl w:ilvl="1" w:tentative="0">
      <w:start w:val="1"/>
      <w:numFmt w:val="decimal"/>
      <w:lvlText w:val="%2、"/>
      <w:lvlJc w:val="left"/>
      <w:pPr>
        <w:tabs>
          <w:tab w:val="left" w:pos="1162"/>
        </w:tabs>
        <w:ind w:left="1162" w:hanging="720"/>
      </w:pPr>
      <w:rPr>
        <w:rFonts w:hint="eastAsia"/>
      </w:rPr>
    </w:lvl>
    <w:lvl w:ilvl="2" w:tentative="0">
      <w:start w:val="1"/>
      <w:numFmt w:val="lowerRoman"/>
      <w:lvlText w:val="%3."/>
      <w:lvlJc w:val="right"/>
      <w:pPr>
        <w:tabs>
          <w:tab w:val="left" w:pos="1282"/>
        </w:tabs>
        <w:ind w:left="1282" w:hanging="420"/>
      </w:pPr>
    </w:lvl>
    <w:lvl w:ilvl="3" w:tentative="0">
      <w:start w:val="1"/>
      <w:numFmt w:val="decimal"/>
      <w:lvlText w:val="%4."/>
      <w:lvlJc w:val="left"/>
      <w:pPr>
        <w:tabs>
          <w:tab w:val="left" w:pos="1702"/>
        </w:tabs>
        <w:ind w:left="1702" w:hanging="420"/>
      </w:pPr>
    </w:lvl>
    <w:lvl w:ilvl="4" w:tentative="0">
      <w:start w:val="1"/>
      <w:numFmt w:val="lowerLetter"/>
      <w:lvlText w:val="%5)"/>
      <w:lvlJc w:val="left"/>
      <w:pPr>
        <w:tabs>
          <w:tab w:val="left" w:pos="2122"/>
        </w:tabs>
        <w:ind w:left="2122" w:hanging="420"/>
      </w:pPr>
    </w:lvl>
    <w:lvl w:ilvl="5" w:tentative="0">
      <w:start w:val="1"/>
      <w:numFmt w:val="lowerRoman"/>
      <w:lvlText w:val="%6."/>
      <w:lvlJc w:val="right"/>
      <w:pPr>
        <w:tabs>
          <w:tab w:val="left" w:pos="2542"/>
        </w:tabs>
        <w:ind w:left="2542" w:hanging="420"/>
      </w:pPr>
    </w:lvl>
    <w:lvl w:ilvl="6" w:tentative="0">
      <w:start w:val="1"/>
      <w:numFmt w:val="decimal"/>
      <w:lvlText w:val="%7."/>
      <w:lvlJc w:val="left"/>
      <w:pPr>
        <w:tabs>
          <w:tab w:val="left" w:pos="2962"/>
        </w:tabs>
        <w:ind w:left="2962" w:hanging="420"/>
      </w:pPr>
    </w:lvl>
    <w:lvl w:ilvl="7" w:tentative="0">
      <w:start w:val="1"/>
      <w:numFmt w:val="lowerLetter"/>
      <w:lvlText w:val="%8)"/>
      <w:lvlJc w:val="left"/>
      <w:pPr>
        <w:tabs>
          <w:tab w:val="left" w:pos="3382"/>
        </w:tabs>
        <w:ind w:left="3382" w:hanging="420"/>
      </w:pPr>
    </w:lvl>
    <w:lvl w:ilvl="8" w:tentative="0">
      <w:start w:val="1"/>
      <w:numFmt w:val="lowerRoman"/>
      <w:lvlText w:val="%9."/>
      <w:lvlJc w:val="right"/>
      <w:pPr>
        <w:tabs>
          <w:tab w:val="left" w:pos="3802"/>
        </w:tabs>
        <w:ind w:left="3802" w:hanging="420"/>
      </w:pPr>
    </w:lvl>
  </w:abstractNum>
  <w:abstractNum w:abstractNumId="3">
    <w:nsid w:val="FA7C7741"/>
    <w:multiLevelType w:val="singleLevel"/>
    <w:tmpl w:val="FA7C7741"/>
    <w:lvl w:ilvl="0" w:tentative="0">
      <w:start w:val="1"/>
      <w:numFmt w:val="decimal"/>
      <w:suff w:val="nothing"/>
      <w:lvlText w:val="（%1）"/>
      <w:lvlJc w:val="left"/>
    </w:lvl>
  </w:abstractNum>
  <w:abstractNum w:abstractNumId="4">
    <w:nsid w:val="FD1210A5"/>
    <w:multiLevelType w:val="singleLevel"/>
    <w:tmpl w:val="FD1210A5"/>
    <w:lvl w:ilvl="0" w:tentative="0">
      <w:start w:val="1"/>
      <w:numFmt w:val="decimal"/>
      <w:suff w:val="nothing"/>
      <w:lvlText w:val="（%1）"/>
      <w:lvlJc w:val="left"/>
    </w:lvl>
  </w:abstractNum>
  <w:abstractNum w:abstractNumId="5">
    <w:nsid w:val="FFC90CFA"/>
    <w:multiLevelType w:val="multilevel"/>
    <w:tmpl w:val="FFC90CFA"/>
    <w:lvl w:ilvl="0" w:tentative="0">
      <w:start w:val="1"/>
      <w:numFmt w:val="decimal"/>
      <w:lvlText w:val="（%1）"/>
      <w:lvlJc w:val="left"/>
      <w:pPr>
        <w:tabs>
          <w:tab w:val="left" w:pos="742"/>
        </w:tabs>
        <w:ind w:left="742" w:hanging="720"/>
      </w:pPr>
      <w:rPr>
        <w:rFonts w:hint="eastAsia"/>
      </w:rPr>
    </w:lvl>
    <w:lvl w:ilvl="1" w:tentative="0">
      <w:start w:val="1"/>
      <w:numFmt w:val="decimal"/>
      <w:lvlText w:val="%2、"/>
      <w:lvlJc w:val="left"/>
      <w:pPr>
        <w:tabs>
          <w:tab w:val="left" w:pos="1162"/>
        </w:tabs>
        <w:ind w:left="1162" w:hanging="720"/>
      </w:pPr>
      <w:rPr>
        <w:rFonts w:hint="eastAsia"/>
      </w:rPr>
    </w:lvl>
    <w:lvl w:ilvl="2" w:tentative="0">
      <w:start w:val="1"/>
      <w:numFmt w:val="lowerRoman"/>
      <w:lvlText w:val="%3."/>
      <w:lvlJc w:val="right"/>
      <w:pPr>
        <w:tabs>
          <w:tab w:val="left" w:pos="1282"/>
        </w:tabs>
        <w:ind w:left="1282" w:hanging="420"/>
      </w:pPr>
    </w:lvl>
    <w:lvl w:ilvl="3" w:tentative="0">
      <w:start w:val="1"/>
      <w:numFmt w:val="decimal"/>
      <w:lvlText w:val="%4."/>
      <w:lvlJc w:val="left"/>
      <w:pPr>
        <w:tabs>
          <w:tab w:val="left" w:pos="1702"/>
        </w:tabs>
        <w:ind w:left="1702" w:hanging="420"/>
      </w:pPr>
    </w:lvl>
    <w:lvl w:ilvl="4" w:tentative="0">
      <w:start w:val="1"/>
      <w:numFmt w:val="lowerLetter"/>
      <w:lvlText w:val="%5)"/>
      <w:lvlJc w:val="left"/>
      <w:pPr>
        <w:tabs>
          <w:tab w:val="left" w:pos="2122"/>
        </w:tabs>
        <w:ind w:left="2122" w:hanging="420"/>
      </w:pPr>
    </w:lvl>
    <w:lvl w:ilvl="5" w:tentative="0">
      <w:start w:val="1"/>
      <w:numFmt w:val="lowerRoman"/>
      <w:lvlText w:val="%6."/>
      <w:lvlJc w:val="right"/>
      <w:pPr>
        <w:tabs>
          <w:tab w:val="left" w:pos="2542"/>
        </w:tabs>
        <w:ind w:left="2542" w:hanging="420"/>
      </w:pPr>
    </w:lvl>
    <w:lvl w:ilvl="6" w:tentative="0">
      <w:start w:val="1"/>
      <w:numFmt w:val="decimal"/>
      <w:lvlText w:val="%7."/>
      <w:lvlJc w:val="left"/>
      <w:pPr>
        <w:tabs>
          <w:tab w:val="left" w:pos="2962"/>
        </w:tabs>
        <w:ind w:left="2962" w:hanging="420"/>
      </w:pPr>
    </w:lvl>
    <w:lvl w:ilvl="7" w:tentative="0">
      <w:start w:val="1"/>
      <w:numFmt w:val="lowerLetter"/>
      <w:lvlText w:val="%8)"/>
      <w:lvlJc w:val="left"/>
      <w:pPr>
        <w:tabs>
          <w:tab w:val="left" w:pos="3382"/>
        </w:tabs>
        <w:ind w:left="3382" w:hanging="420"/>
      </w:pPr>
    </w:lvl>
    <w:lvl w:ilvl="8" w:tentative="0">
      <w:start w:val="1"/>
      <w:numFmt w:val="lowerRoman"/>
      <w:lvlText w:val="%9."/>
      <w:lvlJc w:val="right"/>
      <w:pPr>
        <w:tabs>
          <w:tab w:val="left" w:pos="3802"/>
        </w:tabs>
        <w:ind w:left="3802" w:hanging="420"/>
      </w:pPr>
    </w:lvl>
  </w:abstractNum>
  <w:abstractNum w:abstractNumId="6">
    <w:nsid w:val="07568DC8"/>
    <w:multiLevelType w:val="singleLevel"/>
    <w:tmpl w:val="07568DC8"/>
    <w:lvl w:ilvl="0" w:tentative="0">
      <w:start w:val="1"/>
      <w:numFmt w:val="decimal"/>
      <w:suff w:val="nothing"/>
      <w:lvlText w:val="（%1）"/>
      <w:lvlJc w:val="left"/>
    </w:lvl>
  </w:abstractNum>
  <w:abstractNum w:abstractNumId="7">
    <w:nsid w:val="0A974238"/>
    <w:multiLevelType w:val="singleLevel"/>
    <w:tmpl w:val="0A974238"/>
    <w:lvl w:ilvl="0" w:tentative="0">
      <w:start w:val="1"/>
      <w:numFmt w:val="decimal"/>
      <w:suff w:val="nothing"/>
      <w:lvlText w:val="（%1）"/>
      <w:lvlJc w:val="left"/>
    </w:lvl>
  </w:abstractNum>
  <w:abstractNum w:abstractNumId="8">
    <w:nsid w:val="13FD0B9B"/>
    <w:multiLevelType w:val="multilevel"/>
    <w:tmpl w:val="13FD0B9B"/>
    <w:lvl w:ilvl="0" w:tentative="0">
      <w:start w:val="1"/>
      <w:numFmt w:val="decimal"/>
      <w:lvlText w:val="（%1）"/>
      <w:lvlJc w:val="left"/>
      <w:pPr>
        <w:tabs>
          <w:tab w:val="left" w:pos="720"/>
        </w:tabs>
        <w:ind w:left="720" w:hanging="720"/>
      </w:pPr>
      <w:rPr>
        <w:rFonts w:hint="eastAsia"/>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9">
    <w:nsid w:val="2EB8D823"/>
    <w:multiLevelType w:val="singleLevel"/>
    <w:tmpl w:val="2EB8D823"/>
    <w:lvl w:ilvl="0" w:tentative="0">
      <w:start w:val="1"/>
      <w:numFmt w:val="decimal"/>
      <w:suff w:val="nothing"/>
      <w:lvlText w:val="（%1）"/>
      <w:lvlJc w:val="left"/>
    </w:lvl>
  </w:abstractNum>
  <w:abstractNum w:abstractNumId="10">
    <w:nsid w:val="3152DE3A"/>
    <w:multiLevelType w:val="singleLevel"/>
    <w:tmpl w:val="3152DE3A"/>
    <w:lvl w:ilvl="0" w:tentative="0">
      <w:start w:val="2"/>
      <w:numFmt w:val="chineseCounting"/>
      <w:suff w:val="nothing"/>
      <w:lvlText w:val="（%1）"/>
      <w:lvlJc w:val="left"/>
      <w:rPr>
        <w:rFonts w:hint="eastAsia"/>
      </w:rPr>
    </w:lvl>
  </w:abstractNum>
  <w:abstractNum w:abstractNumId="11">
    <w:nsid w:val="38B97048"/>
    <w:multiLevelType w:val="singleLevel"/>
    <w:tmpl w:val="38B97048"/>
    <w:lvl w:ilvl="0" w:tentative="0">
      <w:start w:val="1"/>
      <w:numFmt w:val="decimal"/>
      <w:suff w:val="nothing"/>
      <w:lvlText w:val="（%1）"/>
      <w:lvlJc w:val="left"/>
    </w:lvl>
  </w:abstractNum>
  <w:abstractNum w:abstractNumId="12">
    <w:nsid w:val="42784229"/>
    <w:multiLevelType w:val="multilevel"/>
    <w:tmpl w:val="42784229"/>
    <w:lvl w:ilvl="0" w:tentative="0">
      <w:start w:val="1"/>
      <w:numFmt w:val="decimal"/>
      <w:lvlText w:val="（%1）"/>
      <w:lvlJc w:val="left"/>
      <w:pPr>
        <w:tabs>
          <w:tab w:val="left" w:pos="742"/>
        </w:tabs>
        <w:ind w:left="742" w:hanging="720"/>
      </w:pPr>
      <w:rPr>
        <w:rFonts w:hint="eastAsia"/>
      </w:rPr>
    </w:lvl>
    <w:lvl w:ilvl="1" w:tentative="0">
      <w:start w:val="1"/>
      <w:numFmt w:val="decimal"/>
      <w:lvlText w:val="%2、"/>
      <w:lvlJc w:val="left"/>
      <w:pPr>
        <w:tabs>
          <w:tab w:val="left" w:pos="1162"/>
        </w:tabs>
        <w:ind w:left="1162" w:hanging="720"/>
      </w:pPr>
      <w:rPr>
        <w:rFonts w:hint="eastAsia"/>
      </w:rPr>
    </w:lvl>
    <w:lvl w:ilvl="2" w:tentative="0">
      <w:start w:val="1"/>
      <w:numFmt w:val="lowerRoman"/>
      <w:lvlText w:val="%3."/>
      <w:lvlJc w:val="right"/>
      <w:pPr>
        <w:tabs>
          <w:tab w:val="left" w:pos="1282"/>
        </w:tabs>
        <w:ind w:left="1282" w:hanging="420"/>
      </w:pPr>
    </w:lvl>
    <w:lvl w:ilvl="3" w:tentative="0">
      <w:start w:val="1"/>
      <w:numFmt w:val="decimal"/>
      <w:lvlText w:val="%4."/>
      <w:lvlJc w:val="left"/>
      <w:pPr>
        <w:tabs>
          <w:tab w:val="left" w:pos="1702"/>
        </w:tabs>
        <w:ind w:left="1702" w:hanging="420"/>
      </w:pPr>
    </w:lvl>
    <w:lvl w:ilvl="4" w:tentative="0">
      <w:start w:val="1"/>
      <w:numFmt w:val="lowerLetter"/>
      <w:lvlText w:val="%5)"/>
      <w:lvlJc w:val="left"/>
      <w:pPr>
        <w:tabs>
          <w:tab w:val="left" w:pos="2122"/>
        </w:tabs>
        <w:ind w:left="2122" w:hanging="420"/>
      </w:pPr>
    </w:lvl>
    <w:lvl w:ilvl="5" w:tentative="0">
      <w:start w:val="1"/>
      <w:numFmt w:val="lowerRoman"/>
      <w:lvlText w:val="%6."/>
      <w:lvlJc w:val="right"/>
      <w:pPr>
        <w:tabs>
          <w:tab w:val="left" w:pos="2542"/>
        </w:tabs>
        <w:ind w:left="2542" w:hanging="420"/>
      </w:pPr>
    </w:lvl>
    <w:lvl w:ilvl="6" w:tentative="0">
      <w:start w:val="1"/>
      <w:numFmt w:val="decimal"/>
      <w:lvlText w:val="%7."/>
      <w:lvlJc w:val="left"/>
      <w:pPr>
        <w:tabs>
          <w:tab w:val="left" w:pos="2962"/>
        </w:tabs>
        <w:ind w:left="2962" w:hanging="420"/>
      </w:pPr>
    </w:lvl>
    <w:lvl w:ilvl="7" w:tentative="0">
      <w:start w:val="1"/>
      <w:numFmt w:val="lowerLetter"/>
      <w:lvlText w:val="%8)"/>
      <w:lvlJc w:val="left"/>
      <w:pPr>
        <w:tabs>
          <w:tab w:val="left" w:pos="3382"/>
        </w:tabs>
        <w:ind w:left="3382" w:hanging="420"/>
      </w:pPr>
    </w:lvl>
    <w:lvl w:ilvl="8" w:tentative="0">
      <w:start w:val="1"/>
      <w:numFmt w:val="lowerRoman"/>
      <w:lvlText w:val="%9."/>
      <w:lvlJc w:val="right"/>
      <w:pPr>
        <w:tabs>
          <w:tab w:val="left" w:pos="3802"/>
        </w:tabs>
        <w:ind w:left="3802" w:hanging="420"/>
      </w:pPr>
    </w:lvl>
  </w:abstractNum>
  <w:abstractNum w:abstractNumId="13">
    <w:nsid w:val="4823AC92"/>
    <w:multiLevelType w:val="singleLevel"/>
    <w:tmpl w:val="4823AC92"/>
    <w:lvl w:ilvl="0" w:tentative="0">
      <w:start w:val="1"/>
      <w:numFmt w:val="decimal"/>
      <w:suff w:val="nothing"/>
      <w:lvlText w:val="（%1）"/>
      <w:lvlJc w:val="left"/>
    </w:lvl>
  </w:abstractNum>
  <w:abstractNum w:abstractNumId="14">
    <w:nsid w:val="51B56487"/>
    <w:multiLevelType w:val="multilevel"/>
    <w:tmpl w:val="51B56487"/>
    <w:lvl w:ilvl="0" w:tentative="0">
      <w:start w:val="1"/>
      <w:numFmt w:val="decimal"/>
      <w:lvlText w:val="（%1）"/>
      <w:lvlJc w:val="left"/>
      <w:pPr>
        <w:tabs>
          <w:tab w:val="left" w:pos="720"/>
        </w:tabs>
        <w:ind w:left="720" w:hanging="720"/>
      </w:pPr>
      <w:rPr>
        <w:rFonts w:hint="eastAsia"/>
      </w:rPr>
    </w:lvl>
    <w:lvl w:ilvl="1" w:tentative="0">
      <w:start w:val="1"/>
      <w:numFmt w:val="decimal"/>
      <w:lvlText w:val="（%2）"/>
      <w:lvlJc w:val="left"/>
      <w:pPr>
        <w:tabs>
          <w:tab w:val="left" w:pos="1275"/>
        </w:tabs>
        <w:ind w:left="1275" w:hanging="855"/>
      </w:pPr>
      <w:rPr>
        <w:rFonts w:hint="default"/>
      </w:r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15">
    <w:nsid w:val="6B4299E2"/>
    <w:multiLevelType w:val="singleLevel"/>
    <w:tmpl w:val="6B4299E2"/>
    <w:lvl w:ilvl="0" w:tentative="0">
      <w:start w:val="1"/>
      <w:numFmt w:val="decimal"/>
      <w:suff w:val="nothing"/>
      <w:lvlText w:val="（%1）"/>
      <w:lvlJc w:val="left"/>
    </w:lvl>
  </w:abstractNum>
  <w:abstractNum w:abstractNumId="16">
    <w:nsid w:val="72381EC2"/>
    <w:multiLevelType w:val="multilevel"/>
    <w:tmpl w:val="72381EC2"/>
    <w:lvl w:ilvl="0" w:tentative="0">
      <w:start w:val="1"/>
      <w:numFmt w:val="decimal"/>
      <w:lvlText w:val="（%1）"/>
      <w:lvlJc w:val="left"/>
      <w:pPr>
        <w:tabs>
          <w:tab w:val="left" w:pos="855"/>
        </w:tabs>
        <w:ind w:left="855" w:hanging="855"/>
      </w:pPr>
      <w:rPr>
        <w:rFonts w:hint="default"/>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17">
    <w:nsid w:val="7C95251D"/>
    <w:multiLevelType w:val="singleLevel"/>
    <w:tmpl w:val="7C95251D"/>
    <w:lvl w:ilvl="0" w:tentative="0">
      <w:start w:val="1"/>
      <w:numFmt w:val="decimal"/>
      <w:suff w:val="nothing"/>
      <w:lvlText w:val="（%1）"/>
      <w:lvlJc w:val="left"/>
    </w:lvl>
  </w:abstractNum>
  <w:num w:numId="1">
    <w:abstractNumId w:val="10"/>
  </w:num>
  <w:num w:numId="2">
    <w:abstractNumId w:val="1"/>
  </w:num>
  <w:num w:numId="3">
    <w:abstractNumId w:val="14"/>
  </w:num>
  <w:num w:numId="4">
    <w:abstractNumId w:val="16"/>
  </w:num>
  <w:num w:numId="5">
    <w:abstractNumId w:val="12"/>
  </w:num>
  <w:num w:numId="6">
    <w:abstractNumId w:val="5"/>
  </w:num>
  <w:num w:numId="7">
    <w:abstractNumId w:val="2"/>
  </w:num>
  <w:num w:numId="8">
    <w:abstractNumId w:val="7"/>
  </w:num>
  <w:num w:numId="9">
    <w:abstractNumId w:val="9"/>
  </w:num>
  <w:num w:numId="10">
    <w:abstractNumId w:val="6"/>
  </w:num>
  <w:num w:numId="11">
    <w:abstractNumId w:val="4"/>
  </w:num>
  <w:num w:numId="12">
    <w:abstractNumId w:val="3"/>
  </w:num>
  <w:num w:numId="13">
    <w:abstractNumId w:val="13"/>
  </w:num>
  <w:num w:numId="14">
    <w:abstractNumId w:val="11"/>
  </w:num>
  <w:num w:numId="15">
    <w:abstractNumId w:val="8"/>
  </w:num>
  <w:num w:numId="16">
    <w:abstractNumId w:val="15"/>
  </w:num>
  <w:num w:numId="17">
    <w:abstractNumId w:val="0"/>
  </w:num>
  <w:num w:numId="18">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val="0"/>
  <w:bordersDoNotSurroundFooter w:val="0"/>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drawingGridHorizontalSpacing w:val="138"/>
  <w:drawingGridVerticalSpacing w:val="2"/>
  <w:displayHorizontalDrawingGridEvery w:val="1"/>
  <w:displayVerticalDrawingGridEvery w:val="1"/>
  <w:noPunctuationKerning w:val="1"/>
  <w:characterSpacingControl w:val="compressPunctuation"/>
  <w:hdrShapeDefaults>
    <o:shapelayout v:ext="edit">
      <o:idmap v:ext="edit" data="9"/>
    </o:shapelayout>
  </w:hdrShapeDefaults>
  <w:compat>
    <w:spaceForUL/>
    <w:balanceSingleByteDoubleByteWidth/>
    <w:doNotLeaveBackslashAlone/>
    <w:doNotExpandShiftReturn/>
    <w:adjustLineHeightInTable/>
    <w:doNotWrapTextWithPunct/>
    <w:doNotUseEastAsianBreakRules/>
    <w:useFELayout/>
    <w:doNotUseIndentAsNumberingTabStop/>
    <w:useAltKinsokuLineBreakRules/>
    <w:compatSetting w:name="compatibilityMode" w:uri="http://schemas.microsoft.com/office/word" w:val="12"/>
  </w:compat>
  <w:rsids>
    <w:rsidRoot w:val="00172A27"/>
    <w:rsid w:val="00000788"/>
    <w:rsid w:val="0000113A"/>
    <w:rsid w:val="00001905"/>
    <w:rsid w:val="0000203D"/>
    <w:rsid w:val="00002EA7"/>
    <w:rsid w:val="000032D5"/>
    <w:rsid w:val="0000335A"/>
    <w:rsid w:val="00004EDD"/>
    <w:rsid w:val="0000523F"/>
    <w:rsid w:val="00005B7F"/>
    <w:rsid w:val="00005DB5"/>
    <w:rsid w:val="0000623E"/>
    <w:rsid w:val="00006DAC"/>
    <w:rsid w:val="00010168"/>
    <w:rsid w:val="00010459"/>
    <w:rsid w:val="00012563"/>
    <w:rsid w:val="000126A6"/>
    <w:rsid w:val="0001281C"/>
    <w:rsid w:val="000143E7"/>
    <w:rsid w:val="000158F5"/>
    <w:rsid w:val="0001715F"/>
    <w:rsid w:val="000176F9"/>
    <w:rsid w:val="00022460"/>
    <w:rsid w:val="0002313C"/>
    <w:rsid w:val="000237A6"/>
    <w:rsid w:val="0002433B"/>
    <w:rsid w:val="00024D84"/>
    <w:rsid w:val="00025625"/>
    <w:rsid w:val="0002600D"/>
    <w:rsid w:val="000262D4"/>
    <w:rsid w:val="0002657D"/>
    <w:rsid w:val="0002780D"/>
    <w:rsid w:val="000301CF"/>
    <w:rsid w:val="000305A7"/>
    <w:rsid w:val="0003068A"/>
    <w:rsid w:val="00033295"/>
    <w:rsid w:val="000337D3"/>
    <w:rsid w:val="00034A54"/>
    <w:rsid w:val="00034B1A"/>
    <w:rsid w:val="00034CD7"/>
    <w:rsid w:val="000358A6"/>
    <w:rsid w:val="00036468"/>
    <w:rsid w:val="000375B6"/>
    <w:rsid w:val="000379FE"/>
    <w:rsid w:val="00040EB9"/>
    <w:rsid w:val="0004180B"/>
    <w:rsid w:val="00041DED"/>
    <w:rsid w:val="00042A2A"/>
    <w:rsid w:val="00042A66"/>
    <w:rsid w:val="00042C8F"/>
    <w:rsid w:val="00044EB5"/>
    <w:rsid w:val="00045190"/>
    <w:rsid w:val="000465F7"/>
    <w:rsid w:val="00047F1F"/>
    <w:rsid w:val="000511B7"/>
    <w:rsid w:val="000525A8"/>
    <w:rsid w:val="00052962"/>
    <w:rsid w:val="00052B3B"/>
    <w:rsid w:val="000537C4"/>
    <w:rsid w:val="00054860"/>
    <w:rsid w:val="000569F5"/>
    <w:rsid w:val="00056FF1"/>
    <w:rsid w:val="000571E5"/>
    <w:rsid w:val="000577AC"/>
    <w:rsid w:val="0006036A"/>
    <w:rsid w:val="000612EC"/>
    <w:rsid w:val="00061561"/>
    <w:rsid w:val="00062471"/>
    <w:rsid w:val="00063915"/>
    <w:rsid w:val="00063DF4"/>
    <w:rsid w:val="00064858"/>
    <w:rsid w:val="00064896"/>
    <w:rsid w:val="00064B48"/>
    <w:rsid w:val="00066B5C"/>
    <w:rsid w:val="0006713E"/>
    <w:rsid w:val="0006717C"/>
    <w:rsid w:val="00067F04"/>
    <w:rsid w:val="000721FD"/>
    <w:rsid w:val="00072670"/>
    <w:rsid w:val="00072B93"/>
    <w:rsid w:val="00073E9E"/>
    <w:rsid w:val="000742F5"/>
    <w:rsid w:val="00074B4E"/>
    <w:rsid w:val="00075B22"/>
    <w:rsid w:val="000761A1"/>
    <w:rsid w:val="00076F31"/>
    <w:rsid w:val="000777ED"/>
    <w:rsid w:val="00080885"/>
    <w:rsid w:val="000809A8"/>
    <w:rsid w:val="00080FE1"/>
    <w:rsid w:val="00082018"/>
    <w:rsid w:val="0008293C"/>
    <w:rsid w:val="000829CA"/>
    <w:rsid w:val="000837BA"/>
    <w:rsid w:val="000840C2"/>
    <w:rsid w:val="00085084"/>
    <w:rsid w:val="00085EAC"/>
    <w:rsid w:val="00086959"/>
    <w:rsid w:val="00086FEB"/>
    <w:rsid w:val="00090CB0"/>
    <w:rsid w:val="000925C4"/>
    <w:rsid w:val="00092E57"/>
    <w:rsid w:val="000949EC"/>
    <w:rsid w:val="00094B9C"/>
    <w:rsid w:val="000971D7"/>
    <w:rsid w:val="000975ED"/>
    <w:rsid w:val="000A0CA9"/>
    <w:rsid w:val="000A0E7E"/>
    <w:rsid w:val="000A20AA"/>
    <w:rsid w:val="000A32D8"/>
    <w:rsid w:val="000A39E1"/>
    <w:rsid w:val="000A3DB3"/>
    <w:rsid w:val="000A4756"/>
    <w:rsid w:val="000A4D60"/>
    <w:rsid w:val="000A544F"/>
    <w:rsid w:val="000A5C28"/>
    <w:rsid w:val="000B15C6"/>
    <w:rsid w:val="000B2A37"/>
    <w:rsid w:val="000B379C"/>
    <w:rsid w:val="000B53D4"/>
    <w:rsid w:val="000B5B40"/>
    <w:rsid w:val="000B6BF1"/>
    <w:rsid w:val="000B6DE9"/>
    <w:rsid w:val="000B7DA4"/>
    <w:rsid w:val="000C03F7"/>
    <w:rsid w:val="000C2284"/>
    <w:rsid w:val="000C2499"/>
    <w:rsid w:val="000C3095"/>
    <w:rsid w:val="000C36CE"/>
    <w:rsid w:val="000C3945"/>
    <w:rsid w:val="000C40F2"/>
    <w:rsid w:val="000C4ABE"/>
    <w:rsid w:val="000C5625"/>
    <w:rsid w:val="000C5B10"/>
    <w:rsid w:val="000C70C7"/>
    <w:rsid w:val="000C7185"/>
    <w:rsid w:val="000C7A54"/>
    <w:rsid w:val="000D0075"/>
    <w:rsid w:val="000D1A93"/>
    <w:rsid w:val="000D258E"/>
    <w:rsid w:val="000D2708"/>
    <w:rsid w:val="000D327A"/>
    <w:rsid w:val="000D513E"/>
    <w:rsid w:val="000D6A10"/>
    <w:rsid w:val="000D7680"/>
    <w:rsid w:val="000D77F7"/>
    <w:rsid w:val="000D798F"/>
    <w:rsid w:val="000D7A61"/>
    <w:rsid w:val="000E0B01"/>
    <w:rsid w:val="000E0B3B"/>
    <w:rsid w:val="000E0CE4"/>
    <w:rsid w:val="000E1B00"/>
    <w:rsid w:val="000E202F"/>
    <w:rsid w:val="000E3E11"/>
    <w:rsid w:val="000E48F8"/>
    <w:rsid w:val="000E56B0"/>
    <w:rsid w:val="000E6374"/>
    <w:rsid w:val="000E681D"/>
    <w:rsid w:val="000E6ED3"/>
    <w:rsid w:val="000E7233"/>
    <w:rsid w:val="000E7317"/>
    <w:rsid w:val="000E7EF7"/>
    <w:rsid w:val="000F04EE"/>
    <w:rsid w:val="000F07A0"/>
    <w:rsid w:val="000F289F"/>
    <w:rsid w:val="000F2DD8"/>
    <w:rsid w:val="000F3616"/>
    <w:rsid w:val="000F36AB"/>
    <w:rsid w:val="000F3BDF"/>
    <w:rsid w:val="000F4262"/>
    <w:rsid w:val="000F44D3"/>
    <w:rsid w:val="000F4C52"/>
    <w:rsid w:val="000F67DE"/>
    <w:rsid w:val="00102D05"/>
    <w:rsid w:val="00103203"/>
    <w:rsid w:val="001036E9"/>
    <w:rsid w:val="001043AD"/>
    <w:rsid w:val="001057B5"/>
    <w:rsid w:val="00107694"/>
    <w:rsid w:val="0010784F"/>
    <w:rsid w:val="00107DA0"/>
    <w:rsid w:val="00110FE5"/>
    <w:rsid w:val="00111D90"/>
    <w:rsid w:val="00112053"/>
    <w:rsid w:val="00113D2A"/>
    <w:rsid w:val="00115201"/>
    <w:rsid w:val="00115E8E"/>
    <w:rsid w:val="0011605A"/>
    <w:rsid w:val="0011637D"/>
    <w:rsid w:val="001167C0"/>
    <w:rsid w:val="00116E01"/>
    <w:rsid w:val="001174D4"/>
    <w:rsid w:val="00117C34"/>
    <w:rsid w:val="0012018D"/>
    <w:rsid w:val="001209E9"/>
    <w:rsid w:val="001213E6"/>
    <w:rsid w:val="001228D6"/>
    <w:rsid w:val="001229E6"/>
    <w:rsid w:val="0012303E"/>
    <w:rsid w:val="0012306B"/>
    <w:rsid w:val="0012390D"/>
    <w:rsid w:val="00124A8C"/>
    <w:rsid w:val="00125180"/>
    <w:rsid w:val="001255CF"/>
    <w:rsid w:val="001255F9"/>
    <w:rsid w:val="00125B14"/>
    <w:rsid w:val="00127128"/>
    <w:rsid w:val="00130F59"/>
    <w:rsid w:val="00131213"/>
    <w:rsid w:val="00131315"/>
    <w:rsid w:val="0013243A"/>
    <w:rsid w:val="00133539"/>
    <w:rsid w:val="00134544"/>
    <w:rsid w:val="00135D61"/>
    <w:rsid w:val="001362E3"/>
    <w:rsid w:val="001370C6"/>
    <w:rsid w:val="0013710E"/>
    <w:rsid w:val="00137DB9"/>
    <w:rsid w:val="00137FDF"/>
    <w:rsid w:val="001400BA"/>
    <w:rsid w:val="0014165E"/>
    <w:rsid w:val="001418B9"/>
    <w:rsid w:val="00141CFD"/>
    <w:rsid w:val="00142BF8"/>
    <w:rsid w:val="00143F9A"/>
    <w:rsid w:val="00145DD1"/>
    <w:rsid w:val="0014696A"/>
    <w:rsid w:val="00147038"/>
    <w:rsid w:val="0014721C"/>
    <w:rsid w:val="00150114"/>
    <w:rsid w:val="00150620"/>
    <w:rsid w:val="0015072F"/>
    <w:rsid w:val="0015079E"/>
    <w:rsid w:val="00150FBD"/>
    <w:rsid w:val="001512AD"/>
    <w:rsid w:val="001516F2"/>
    <w:rsid w:val="00151F0D"/>
    <w:rsid w:val="001526BE"/>
    <w:rsid w:val="0015447A"/>
    <w:rsid w:val="00155423"/>
    <w:rsid w:val="00155545"/>
    <w:rsid w:val="00156581"/>
    <w:rsid w:val="00160E34"/>
    <w:rsid w:val="00161C2D"/>
    <w:rsid w:val="00162237"/>
    <w:rsid w:val="00162322"/>
    <w:rsid w:val="001624E9"/>
    <w:rsid w:val="00162E7C"/>
    <w:rsid w:val="00163382"/>
    <w:rsid w:val="001644CF"/>
    <w:rsid w:val="00164E1D"/>
    <w:rsid w:val="00165386"/>
    <w:rsid w:val="00165E0D"/>
    <w:rsid w:val="00166503"/>
    <w:rsid w:val="00167688"/>
    <w:rsid w:val="001677A2"/>
    <w:rsid w:val="00170F55"/>
    <w:rsid w:val="00171DB5"/>
    <w:rsid w:val="00172F7B"/>
    <w:rsid w:val="00173463"/>
    <w:rsid w:val="00173FB6"/>
    <w:rsid w:val="00174AB8"/>
    <w:rsid w:val="00175E78"/>
    <w:rsid w:val="00176071"/>
    <w:rsid w:val="0017636B"/>
    <w:rsid w:val="001773C4"/>
    <w:rsid w:val="001801E2"/>
    <w:rsid w:val="001817B4"/>
    <w:rsid w:val="001825E0"/>
    <w:rsid w:val="001835D7"/>
    <w:rsid w:val="00184DD4"/>
    <w:rsid w:val="001858EE"/>
    <w:rsid w:val="00185CBC"/>
    <w:rsid w:val="001861F8"/>
    <w:rsid w:val="0018646E"/>
    <w:rsid w:val="0019041F"/>
    <w:rsid w:val="00191669"/>
    <w:rsid w:val="0019271B"/>
    <w:rsid w:val="00192981"/>
    <w:rsid w:val="00192CA4"/>
    <w:rsid w:val="001933AA"/>
    <w:rsid w:val="00194C31"/>
    <w:rsid w:val="00195DEA"/>
    <w:rsid w:val="00196568"/>
    <w:rsid w:val="001972EA"/>
    <w:rsid w:val="0019742C"/>
    <w:rsid w:val="00197A48"/>
    <w:rsid w:val="001A00DC"/>
    <w:rsid w:val="001A0A2E"/>
    <w:rsid w:val="001A1228"/>
    <w:rsid w:val="001A1B8B"/>
    <w:rsid w:val="001A2517"/>
    <w:rsid w:val="001A28AA"/>
    <w:rsid w:val="001A28B5"/>
    <w:rsid w:val="001A3E0E"/>
    <w:rsid w:val="001A4894"/>
    <w:rsid w:val="001A4C2E"/>
    <w:rsid w:val="001A64F7"/>
    <w:rsid w:val="001B040E"/>
    <w:rsid w:val="001B04DD"/>
    <w:rsid w:val="001B0D0C"/>
    <w:rsid w:val="001B19D4"/>
    <w:rsid w:val="001B2388"/>
    <w:rsid w:val="001B3F39"/>
    <w:rsid w:val="001B4903"/>
    <w:rsid w:val="001B553F"/>
    <w:rsid w:val="001B5EFE"/>
    <w:rsid w:val="001B73A3"/>
    <w:rsid w:val="001C29F5"/>
    <w:rsid w:val="001C2C7D"/>
    <w:rsid w:val="001C31A0"/>
    <w:rsid w:val="001C674E"/>
    <w:rsid w:val="001C6A3C"/>
    <w:rsid w:val="001C7B7A"/>
    <w:rsid w:val="001D04FB"/>
    <w:rsid w:val="001D19FF"/>
    <w:rsid w:val="001D39BA"/>
    <w:rsid w:val="001D4CFE"/>
    <w:rsid w:val="001D5889"/>
    <w:rsid w:val="001D5914"/>
    <w:rsid w:val="001D5CFC"/>
    <w:rsid w:val="001D5FD6"/>
    <w:rsid w:val="001D6214"/>
    <w:rsid w:val="001D7239"/>
    <w:rsid w:val="001E07F5"/>
    <w:rsid w:val="001E1352"/>
    <w:rsid w:val="001E1472"/>
    <w:rsid w:val="001E1A71"/>
    <w:rsid w:val="001E20EF"/>
    <w:rsid w:val="001E39CB"/>
    <w:rsid w:val="001E3B00"/>
    <w:rsid w:val="001E4164"/>
    <w:rsid w:val="001E5034"/>
    <w:rsid w:val="001E565A"/>
    <w:rsid w:val="001E65D2"/>
    <w:rsid w:val="001E66E2"/>
    <w:rsid w:val="001F3390"/>
    <w:rsid w:val="001F3CA0"/>
    <w:rsid w:val="001F5EF9"/>
    <w:rsid w:val="001F67B2"/>
    <w:rsid w:val="001F6823"/>
    <w:rsid w:val="001F70D0"/>
    <w:rsid w:val="001F71C7"/>
    <w:rsid w:val="002007A6"/>
    <w:rsid w:val="00201D5B"/>
    <w:rsid w:val="0020217A"/>
    <w:rsid w:val="0020282D"/>
    <w:rsid w:val="00202ABC"/>
    <w:rsid w:val="002042B3"/>
    <w:rsid w:val="002043CB"/>
    <w:rsid w:val="002047B0"/>
    <w:rsid w:val="00205279"/>
    <w:rsid w:val="00205484"/>
    <w:rsid w:val="00206CF1"/>
    <w:rsid w:val="00206E1F"/>
    <w:rsid w:val="0020724D"/>
    <w:rsid w:val="0020782F"/>
    <w:rsid w:val="002101C8"/>
    <w:rsid w:val="00210714"/>
    <w:rsid w:val="00210D57"/>
    <w:rsid w:val="00211234"/>
    <w:rsid w:val="00211241"/>
    <w:rsid w:val="002124DF"/>
    <w:rsid w:val="00212E20"/>
    <w:rsid w:val="00212FA5"/>
    <w:rsid w:val="002131DF"/>
    <w:rsid w:val="002136AA"/>
    <w:rsid w:val="00213EC8"/>
    <w:rsid w:val="002144AE"/>
    <w:rsid w:val="00215382"/>
    <w:rsid w:val="00215C38"/>
    <w:rsid w:val="002162D9"/>
    <w:rsid w:val="00216595"/>
    <w:rsid w:val="0021746A"/>
    <w:rsid w:val="002203A7"/>
    <w:rsid w:val="00220BC0"/>
    <w:rsid w:val="0022191A"/>
    <w:rsid w:val="0022512B"/>
    <w:rsid w:val="0022526B"/>
    <w:rsid w:val="00226477"/>
    <w:rsid w:val="00226892"/>
    <w:rsid w:val="002275C5"/>
    <w:rsid w:val="002277B8"/>
    <w:rsid w:val="0023166D"/>
    <w:rsid w:val="00231BE4"/>
    <w:rsid w:val="00231E27"/>
    <w:rsid w:val="00231EC0"/>
    <w:rsid w:val="0023349E"/>
    <w:rsid w:val="00234998"/>
    <w:rsid w:val="0023515A"/>
    <w:rsid w:val="002352B5"/>
    <w:rsid w:val="0023594F"/>
    <w:rsid w:val="002378B6"/>
    <w:rsid w:val="00237A82"/>
    <w:rsid w:val="00237D72"/>
    <w:rsid w:val="002402A9"/>
    <w:rsid w:val="00241125"/>
    <w:rsid w:val="00243504"/>
    <w:rsid w:val="00243D79"/>
    <w:rsid w:val="00243E40"/>
    <w:rsid w:val="00244217"/>
    <w:rsid w:val="002449C1"/>
    <w:rsid w:val="00244E7A"/>
    <w:rsid w:val="00245520"/>
    <w:rsid w:val="0024558E"/>
    <w:rsid w:val="0024569B"/>
    <w:rsid w:val="0024578A"/>
    <w:rsid w:val="002457E7"/>
    <w:rsid w:val="00247935"/>
    <w:rsid w:val="00247BFC"/>
    <w:rsid w:val="00250A6D"/>
    <w:rsid w:val="00250C3E"/>
    <w:rsid w:val="00253A79"/>
    <w:rsid w:val="002543D9"/>
    <w:rsid w:val="002561EC"/>
    <w:rsid w:val="0025748D"/>
    <w:rsid w:val="00260795"/>
    <w:rsid w:val="002636DA"/>
    <w:rsid w:val="00263CDB"/>
    <w:rsid w:val="0026489F"/>
    <w:rsid w:val="00266511"/>
    <w:rsid w:val="0026653F"/>
    <w:rsid w:val="002667A1"/>
    <w:rsid w:val="0026799D"/>
    <w:rsid w:val="00267D0A"/>
    <w:rsid w:val="00270A58"/>
    <w:rsid w:val="00271888"/>
    <w:rsid w:val="00272D20"/>
    <w:rsid w:val="0027461E"/>
    <w:rsid w:val="0027484B"/>
    <w:rsid w:val="00274A54"/>
    <w:rsid w:val="00274BCF"/>
    <w:rsid w:val="00274C8F"/>
    <w:rsid w:val="00274FB1"/>
    <w:rsid w:val="0027677F"/>
    <w:rsid w:val="0027696B"/>
    <w:rsid w:val="00276CBB"/>
    <w:rsid w:val="0027762F"/>
    <w:rsid w:val="00281221"/>
    <w:rsid w:val="00281420"/>
    <w:rsid w:val="00281F50"/>
    <w:rsid w:val="00282528"/>
    <w:rsid w:val="00283E5D"/>
    <w:rsid w:val="00283F4B"/>
    <w:rsid w:val="0028457A"/>
    <w:rsid w:val="002908C6"/>
    <w:rsid w:val="00290944"/>
    <w:rsid w:val="00290E82"/>
    <w:rsid w:val="00293292"/>
    <w:rsid w:val="00293DD8"/>
    <w:rsid w:val="00294216"/>
    <w:rsid w:val="00295439"/>
    <w:rsid w:val="002956DC"/>
    <w:rsid w:val="002959B3"/>
    <w:rsid w:val="00295EA6"/>
    <w:rsid w:val="002967B7"/>
    <w:rsid w:val="00297A3F"/>
    <w:rsid w:val="00297B55"/>
    <w:rsid w:val="002A035F"/>
    <w:rsid w:val="002A0646"/>
    <w:rsid w:val="002A09B4"/>
    <w:rsid w:val="002A1A32"/>
    <w:rsid w:val="002A1A85"/>
    <w:rsid w:val="002A3240"/>
    <w:rsid w:val="002A38B9"/>
    <w:rsid w:val="002A399B"/>
    <w:rsid w:val="002A48A5"/>
    <w:rsid w:val="002A5436"/>
    <w:rsid w:val="002A621B"/>
    <w:rsid w:val="002A700C"/>
    <w:rsid w:val="002B09AB"/>
    <w:rsid w:val="002B117F"/>
    <w:rsid w:val="002B14EE"/>
    <w:rsid w:val="002B159C"/>
    <w:rsid w:val="002B3C61"/>
    <w:rsid w:val="002B4E4F"/>
    <w:rsid w:val="002B5692"/>
    <w:rsid w:val="002B639C"/>
    <w:rsid w:val="002B6765"/>
    <w:rsid w:val="002B6E7B"/>
    <w:rsid w:val="002B715C"/>
    <w:rsid w:val="002B7D1B"/>
    <w:rsid w:val="002C13CE"/>
    <w:rsid w:val="002C224F"/>
    <w:rsid w:val="002C2E14"/>
    <w:rsid w:val="002C3774"/>
    <w:rsid w:val="002C3A8C"/>
    <w:rsid w:val="002C72BD"/>
    <w:rsid w:val="002C7521"/>
    <w:rsid w:val="002D1557"/>
    <w:rsid w:val="002D27C0"/>
    <w:rsid w:val="002D2A53"/>
    <w:rsid w:val="002D330F"/>
    <w:rsid w:val="002D3D35"/>
    <w:rsid w:val="002D582D"/>
    <w:rsid w:val="002D5980"/>
    <w:rsid w:val="002D7A78"/>
    <w:rsid w:val="002E023D"/>
    <w:rsid w:val="002E1DE0"/>
    <w:rsid w:val="002E2358"/>
    <w:rsid w:val="002E2B6B"/>
    <w:rsid w:val="002E2DF1"/>
    <w:rsid w:val="002E3D0F"/>
    <w:rsid w:val="002E4529"/>
    <w:rsid w:val="002E5485"/>
    <w:rsid w:val="002E5CE7"/>
    <w:rsid w:val="002E643F"/>
    <w:rsid w:val="002E75F7"/>
    <w:rsid w:val="002E7691"/>
    <w:rsid w:val="002F0763"/>
    <w:rsid w:val="002F0C18"/>
    <w:rsid w:val="002F3369"/>
    <w:rsid w:val="002F36CD"/>
    <w:rsid w:val="002F37F0"/>
    <w:rsid w:val="002F4410"/>
    <w:rsid w:val="002F4BDE"/>
    <w:rsid w:val="002F53FA"/>
    <w:rsid w:val="002F5562"/>
    <w:rsid w:val="002F588C"/>
    <w:rsid w:val="002F5A46"/>
    <w:rsid w:val="0030006A"/>
    <w:rsid w:val="00300AC8"/>
    <w:rsid w:val="00301822"/>
    <w:rsid w:val="00301A54"/>
    <w:rsid w:val="00301CF3"/>
    <w:rsid w:val="00301FD2"/>
    <w:rsid w:val="00302FF2"/>
    <w:rsid w:val="00303826"/>
    <w:rsid w:val="00304528"/>
    <w:rsid w:val="0030559E"/>
    <w:rsid w:val="00306FEF"/>
    <w:rsid w:val="00310372"/>
    <w:rsid w:val="0031208D"/>
    <w:rsid w:val="0031257D"/>
    <w:rsid w:val="003126EC"/>
    <w:rsid w:val="00312AD5"/>
    <w:rsid w:val="00312F1B"/>
    <w:rsid w:val="00313E69"/>
    <w:rsid w:val="00314031"/>
    <w:rsid w:val="00314DA2"/>
    <w:rsid w:val="0031567C"/>
    <w:rsid w:val="00316790"/>
    <w:rsid w:val="00316D3C"/>
    <w:rsid w:val="00320221"/>
    <w:rsid w:val="003202F2"/>
    <w:rsid w:val="00320896"/>
    <w:rsid w:val="00321997"/>
    <w:rsid w:val="00323040"/>
    <w:rsid w:val="00323445"/>
    <w:rsid w:val="003237A4"/>
    <w:rsid w:val="00323A25"/>
    <w:rsid w:val="00323ADD"/>
    <w:rsid w:val="00323B1D"/>
    <w:rsid w:val="00324992"/>
    <w:rsid w:val="00324BD7"/>
    <w:rsid w:val="00324E25"/>
    <w:rsid w:val="00326D21"/>
    <w:rsid w:val="00326D71"/>
    <w:rsid w:val="00327AC7"/>
    <w:rsid w:val="0033058D"/>
    <w:rsid w:val="0033094F"/>
    <w:rsid w:val="0033129C"/>
    <w:rsid w:val="00331EAD"/>
    <w:rsid w:val="00332622"/>
    <w:rsid w:val="003326F6"/>
    <w:rsid w:val="00332EF7"/>
    <w:rsid w:val="00333BE6"/>
    <w:rsid w:val="00334B5A"/>
    <w:rsid w:val="003355E3"/>
    <w:rsid w:val="00335AA6"/>
    <w:rsid w:val="00335D1D"/>
    <w:rsid w:val="0033738A"/>
    <w:rsid w:val="0033752A"/>
    <w:rsid w:val="00337CC1"/>
    <w:rsid w:val="0034050B"/>
    <w:rsid w:val="00340CD4"/>
    <w:rsid w:val="00341624"/>
    <w:rsid w:val="00341F54"/>
    <w:rsid w:val="00343399"/>
    <w:rsid w:val="00344D7A"/>
    <w:rsid w:val="00345504"/>
    <w:rsid w:val="003473F9"/>
    <w:rsid w:val="00347562"/>
    <w:rsid w:val="003506C3"/>
    <w:rsid w:val="00351968"/>
    <w:rsid w:val="00352292"/>
    <w:rsid w:val="003547E0"/>
    <w:rsid w:val="0035481F"/>
    <w:rsid w:val="003549A8"/>
    <w:rsid w:val="00355399"/>
    <w:rsid w:val="00355E38"/>
    <w:rsid w:val="003571D8"/>
    <w:rsid w:val="0035763B"/>
    <w:rsid w:val="0036113D"/>
    <w:rsid w:val="003621D6"/>
    <w:rsid w:val="00364998"/>
    <w:rsid w:val="003658D9"/>
    <w:rsid w:val="00366370"/>
    <w:rsid w:val="003670F6"/>
    <w:rsid w:val="0036775A"/>
    <w:rsid w:val="00367E0F"/>
    <w:rsid w:val="0037154A"/>
    <w:rsid w:val="00372775"/>
    <w:rsid w:val="00372DBB"/>
    <w:rsid w:val="00375621"/>
    <w:rsid w:val="00377A94"/>
    <w:rsid w:val="003800B8"/>
    <w:rsid w:val="0038113B"/>
    <w:rsid w:val="00381751"/>
    <w:rsid w:val="0038238C"/>
    <w:rsid w:val="00382A88"/>
    <w:rsid w:val="00382F68"/>
    <w:rsid w:val="0038365F"/>
    <w:rsid w:val="003847AB"/>
    <w:rsid w:val="003848CE"/>
    <w:rsid w:val="00384938"/>
    <w:rsid w:val="00384BB7"/>
    <w:rsid w:val="003851CF"/>
    <w:rsid w:val="0038594A"/>
    <w:rsid w:val="0038599B"/>
    <w:rsid w:val="00386C7C"/>
    <w:rsid w:val="00387265"/>
    <w:rsid w:val="00390301"/>
    <w:rsid w:val="00390C01"/>
    <w:rsid w:val="00390D7B"/>
    <w:rsid w:val="00391FAB"/>
    <w:rsid w:val="003922AE"/>
    <w:rsid w:val="00392352"/>
    <w:rsid w:val="0039309E"/>
    <w:rsid w:val="00393332"/>
    <w:rsid w:val="003949B6"/>
    <w:rsid w:val="00396C3B"/>
    <w:rsid w:val="003A1660"/>
    <w:rsid w:val="003A2C8F"/>
    <w:rsid w:val="003A2D23"/>
    <w:rsid w:val="003A37AB"/>
    <w:rsid w:val="003A62F3"/>
    <w:rsid w:val="003A775C"/>
    <w:rsid w:val="003A7EA7"/>
    <w:rsid w:val="003B0774"/>
    <w:rsid w:val="003B0A3B"/>
    <w:rsid w:val="003B12BE"/>
    <w:rsid w:val="003B1C6F"/>
    <w:rsid w:val="003B2783"/>
    <w:rsid w:val="003B3490"/>
    <w:rsid w:val="003B4E67"/>
    <w:rsid w:val="003B5666"/>
    <w:rsid w:val="003B6ED4"/>
    <w:rsid w:val="003B7811"/>
    <w:rsid w:val="003C040D"/>
    <w:rsid w:val="003C1538"/>
    <w:rsid w:val="003C1750"/>
    <w:rsid w:val="003C301B"/>
    <w:rsid w:val="003C3371"/>
    <w:rsid w:val="003C482A"/>
    <w:rsid w:val="003C5FED"/>
    <w:rsid w:val="003C60F5"/>
    <w:rsid w:val="003C6314"/>
    <w:rsid w:val="003C65F3"/>
    <w:rsid w:val="003C7574"/>
    <w:rsid w:val="003C7ABA"/>
    <w:rsid w:val="003C7B5D"/>
    <w:rsid w:val="003D0B05"/>
    <w:rsid w:val="003D0BB2"/>
    <w:rsid w:val="003D0CD8"/>
    <w:rsid w:val="003D1393"/>
    <w:rsid w:val="003D1534"/>
    <w:rsid w:val="003D1769"/>
    <w:rsid w:val="003D2548"/>
    <w:rsid w:val="003D2DDF"/>
    <w:rsid w:val="003D3725"/>
    <w:rsid w:val="003D5262"/>
    <w:rsid w:val="003D5476"/>
    <w:rsid w:val="003D58AB"/>
    <w:rsid w:val="003D6724"/>
    <w:rsid w:val="003D6992"/>
    <w:rsid w:val="003E08C7"/>
    <w:rsid w:val="003E22AA"/>
    <w:rsid w:val="003E2C35"/>
    <w:rsid w:val="003E2ECF"/>
    <w:rsid w:val="003E3F6F"/>
    <w:rsid w:val="003E5144"/>
    <w:rsid w:val="003E5C47"/>
    <w:rsid w:val="003E65D1"/>
    <w:rsid w:val="003E6FBF"/>
    <w:rsid w:val="003E757F"/>
    <w:rsid w:val="003F00EA"/>
    <w:rsid w:val="003F0714"/>
    <w:rsid w:val="003F08E8"/>
    <w:rsid w:val="003F1972"/>
    <w:rsid w:val="003F2868"/>
    <w:rsid w:val="003F3EB3"/>
    <w:rsid w:val="003F6987"/>
    <w:rsid w:val="003F724F"/>
    <w:rsid w:val="003F7EA8"/>
    <w:rsid w:val="004004CF"/>
    <w:rsid w:val="00401B56"/>
    <w:rsid w:val="0040253B"/>
    <w:rsid w:val="00402A73"/>
    <w:rsid w:val="004036B5"/>
    <w:rsid w:val="004037FF"/>
    <w:rsid w:val="00403938"/>
    <w:rsid w:val="00404FF6"/>
    <w:rsid w:val="00405AEC"/>
    <w:rsid w:val="004068CD"/>
    <w:rsid w:val="00406B4F"/>
    <w:rsid w:val="0040769C"/>
    <w:rsid w:val="004113CC"/>
    <w:rsid w:val="004113EF"/>
    <w:rsid w:val="00412D0F"/>
    <w:rsid w:val="00415D90"/>
    <w:rsid w:val="0042199C"/>
    <w:rsid w:val="0042283B"/>
    <w:rsid w:val="00422F5A"/>
    <w:rsid w:val="004247B2"/>
    <w:rsid w:val="00424ACB"/>
    <w:rsid w:val="00425825"/>
    <w:rsid w:val="00426AB9"/>
    <w:rsid w:val="00426FB7"/>
    <w:rsid w:val="00430159"/>
    <w:rsid w:val="00430BDF"/>
    <w:rsid w:val="00430CC1"/>
    <w:rsid w:val="00431033"/>
    <w:rsid w:val="00431E6D"/>
    <w:rsid w:val="00432368"/>
    <w:rsid w:val="00433496"/>
    <w:rsid w:val="004349B2"/>
    <w:rsid w:val="004353F9"/>
    <w:rsid w:val="0043547D"/>
    <w:rsid w:val="00436CB0"/>
    <w:rsid w:val="00436F19"/>
    <w:rsid w:val="00437143"/>
    <w:rsid w:val="0044004B"/>
    <w:rsid w:val="00440DB0"/>
    <w:rsid w:val="00440EE2"/>
    <w:rsid w:val="004416CD"/>
    <w:rsid w:val="00441B2C"/>
    <w:rsid w:val="004425AE"/>
    <w:rsid w:val="00442779"/>
    <w:rsid w:val="00442F8D"/>
    <w:rsid w:val="00443805"/>
    <w:rsid w:val="00443A6A"/>
    <w:rsid w:val="00443F82"/>
    <w:rsid w:val="004446A2"/>
    <w:rsid w:val="00444980"/>
    <w:rsid w:val="00444FF2"/>
    <w:rsid w:val="00447761"/>
    <w:rsid w:val="004478F7"/>
    <w:rsid w:val="00447CBA"/>
    <w:rsid w:val="00450465"/>
    <w:rsid w:val="004512D1"/>
    <w:rsid w:val="00451B87"/>
    <w:rsid w:val="00453135"/>
    <w:rsid w:val="004537F0"/>
    <w:rsid w:val="004539F1"/>
    <w:rsid w:val="00453F12"/>
    <w:rsid w:val="00454195"/>
    <w:rsid w:val="0045475F"/>
    <w:rsid w:val="004548E2"/>
    <w:rsid w:val="00454E30"/>
    <w:rsid w:val="004568F1"/>
    <w:rsid w:val="00460B7A"/>
    <w:rsid w:val="004651F3"/>
    <w:rsid w:val="0046610B"/>
    <w:rsid w:val="004676E4"/>
    <w:rsid w:val="0046776C"/>
    <w:rsid w:val="004679C7"/>
    <w:rsid w:val="0047138D"/>
    <w:rsid w:val="00471CD7"/>
    <w:rsid w:val="00476CF0"/>
    <w:rsid w:val="00476E90"/>
    <w:rsid w:val="00480183"/>
    <w:rsid w:val="00480D24"/>
    <w:rsid w:val="004820C1"/>
    <w:rsid w:val="00483267"/>
    <w:rsid w:val="00483DB4"/>
    <w:rsid w:val="0048433C"/>
    <w:rsid w:val="0048481F"/>
    <w:rsid w:val="00484BEB"/>
    <w:rsid w:val="00484C2A"/>
    <w:rsid w:val="00484D70"/>
    <w:rsid w:val="0048521E"/>
    <w:rsid w:val="00485C51"/>
    <w:rsid w:val="00485F0E"/>
    <w:rsid w:val="00486128"/>
    <w:rsid w:val="00486461"/>
    <w:rsid w:val="00486A12"/>
    <w:rsid w:val="0049021A"/>
    <w:rsid w:val="0049048F"/>
    <w:rsid w:val="00490E57"/>
    <w:rsid w:val="0049100A"/>
    <w:rsid w:val="004914A6"/>
    <w:rsid w:val="00493230"/>
    <w:rsid w:val="0049390E"/>
    <w:rsid w:val="004940AF"/>
    <w:rsid w:val="00495101"/>
    <w:rsid w:val="0049565C"/>
    <w:rsid w:val="004956FA"/>
    <w:rsid w:val="004957B7"/>
    <w:rsid w:val="004977BE"/>
    <w:rsid w:val="00497B90"/>
    <w:rsid w:val="004A08E1"/>
    <w:rsid w:val="004A3EE9"/>
    <w:rsid w:val="004A4336"/>
    <w:rsid w:val="004A555E"/>
    <w:rsid w:val="004A56EB"/>
    <w:rsid w:val="004A5808"/>
    <w:rsid w:val="004A6A00"/>
    <w:rsid w:val="004A73A1"/>
    <w:rsid w:val="004A7F6A"/>
    <w:rsid w:val="004B02D9"/>
    <w:rsid w:val="004B1400"/>
    <w:rsid w:val="004B5D44"/>
    <w:rsid w:val="004B6628"/>
    <w:rsid w:val="004B6B15"/>
    <w:rsid w:val="004B6BD2"/>
    <w:rsid w:val="004B6E59"/>
    <w:rsid w:val="004B7352"/>
    <w:rsid w:val="004C02F2"/>
    <w:rsid w:val="004C0631"/>
    <w:rsid w:val="004C0936"/>
    <w:rsid w:val="004C32B2"/>
    <w:rsid w:val="004C3D8C"/>
    <w:rsid w:val="004C44D4"/>
    <w:rsid w:val="004C477E"/>
    <w:rsid w:val="004C6054"/>
    <w:rsid w:val="004C727F"/>
    <w:rsid w:val="004C74CF"/>
    <w:rsid w:val="004C7CDB"/>
    <w:rsid w:val="004D0A87"/>
    <w:rsid w:val="004D1829"/>
    <w:rsid w:val="004D1C41"/>
    <w:rsid w:val="004D20DA"/>
    <w:rsid w:val="004D2CB7"/>
    <w:rsid w:val="004D2D12"/>
    <w:rsid w:val="004D487F"/>
    <w:rsid w:val="004D4EBD"/>
    <w:rsid w:val="004D5A5C"/>
    <w:rsid w:val="004D5E70"/>
    <w:rsid w:val="004D6AAE"/>
    <w:rsid w:val="004D755D"/>
    <w:rsid w:val="004E02CC"/>
    <w:rsid w:val="004E0560"/>
    <w:rsid w:val="004E46FB"/>
    <w:rsid w:val="004E5DCB"/>
    <w:rsid w:val="004E7607"/>
    <w:rsid w:val="004E7CD3"/>
    <w:rsid w:val="004E7FD0"/>
    <w:rsid w:val="004F04BE"/>
    <w:rsid w:val="004F198E"/>
    <w:rsid w:val="004F24BC"/>
    <w:rsid w:val="004F2832"/>
    <w:rsid w:val="004F5E4A"/>
    <w:rsid w:val="004F6DB9"/>
    <w:rsid w:val="0050018B"/>
    <w:rsid w:val="0050088A"/>
    <w:rsid w:val="0050252C"/>
    <w:rsid w:val="005036C4"/>
    <w:rsid w:val="00505EFC"/>
    <w:rsid w:val="005077DD"/>
    <w:rsid w:val="00511ED8"/>
    <w:rsid w:val="00513080"/>
    <w:rsid w:val="00514828"/>
    <w:rsid w:val="00515BE7"/>
    <w:rsid w:val="00515D03"/>
    <w:rsid w:val="00516693"/>
    <w:rsid w:val="005167A6"/>
    <w:rsid w:val="00517792"/>
    <w:rsid w:val="00521F47"/>
    <w:rsid w:val="00522BBB"/>
    <w:rsid w:val="00522C32"/>
    <w:rsid w:val="005258FE"/>
    <w:rsid w:val="005274FB"/>
    <w:rsid w:val="00527F60"/>
    <w:rsid w:val="005300B3"/>
    <w:rsid w:val="005320FA"/>
    <w:rsid w:val="00532DE2"/>
    <w:rsid w:val="00534AEB"/>
    <w:rsid w:val="0053610A"/>
    <w:rsid w:val="00536CB9"/>
    <w:rsid w:val="00537066"/>
    <w:rsid w:val="0053745A"/>
    <w:rsid w:val="005403E6"/>
    <w:rsid w:val="0054588A"/>
    <w:rsid w:val="005466D5"/>
    <w:rsid w:val="00547EB2"/>
    <w:rsid w:val="00547EEB"/>
    <w:rsid w:val="0055040B"/>
    <w:rsid w:val="005504A2"/>
    <w:rsid w:val="00550646"/>
    <w:rsid w:val="0055089C"/>
    <w:rsid w:val="00550D2C"/>
    <w:rsid w:val="00551513"/>
    <w:rsid w:val="0055152C"/>
    <w:rsid w:val="00551EDD"/>
    <w:rsid w:val="00552CCB"/>
    <w:rsid w:val="005550DA"/>
    <w:rsid w:val="00555799"/>
    <w:rsid w:val="00556BDD"/>
    <w:rsid w:val="0055774A"/>
    <w:rsid w:val="00565C47"/>
    <w:rsid w:val="00565F9D"/>
    <w:rsid w:val="005670F8"/>
    <w:rsid w:val="005701FF"/>
    <w:rsid w:val="00572017"/>
    <w:rsid w:val="00572A6C"/>
    <w:rsid w:val="005732EA"/>
    <w:rsid w:val="005749AB"/>
    <w:rsid w:val="00574A5D"/>
    <w:rsid w:val="005754BA"/>
    <w:rsid w:val="00576D6D"/>
    <w:rsid w:val="00577CBE"/>
    <w:rsid w:val="00580787"/>
    <w:rsid w:val="00580A27"/>
    <w:rsid w:val="00580BD9"/>
    <w:rsid w:val="00581814"/>
    <w:rsid w:val="00581A95"/>
    <w:rsid w:val="005821F9"/>
    <w:rsid w:val="005822EA"/>
    <w:rsid w:val="00583591"/>
    <w:rsid w:val="00583DC4"/>
    <w:rsid w:val="00584F7E"/>
    <w:rsid w:val="00585757"/>
    <w:rsid w:val="00585BE2"/>
    <w:rsid w:val="00585D11"/>
    <w:rsid w:val="0058617A"/>
    <w:rsid w:val="00586CBE"/>
    <w:rsid w:val="00587CE4"/>
    <w:rsid w:val="00590004"/>
    <w:rsid w:val="00590A20"/>
    <w:rsid w:val="005914FF"/>
    <w:rsid w:val="005916E5"/>
    <w:rsid w:val="00591B34"/>
    <w:rsid w:val="00592B22"/>
    <w:rsid w:val="00593EF0"/>
    <w:rsid w:val="005943D9"/>
    <w:rsid w:val="00595124"/>
    <w:rsid w:val="005953FD"/>
    <w:rsid w:val="00595BDE"/>
    <w:rsid w:val="005973E6"/>
    <w:rsid w:val="00597D83"/>
    <w:rsid w:val="005A0D90"/>
    <w:rsid w:val="005A1D91"/>
    <w:rsid w:val="005A20F2"/>
    <w:rsid w:val="005A3307"/>
    <w:rsid w:val="005A455F"/>
    <w:rsid w:val="005A4715"/>
    <w:rsid w:val="005A4B64"/>
    <w:rsid w:val="005B0436"/>
    <w:rsid w:val="005B04F1"/>
    <w:rsid w:val="005B1002"/>
    <w:rsid w:val="005B205E"/>
    <w:rsid w:val="005B3A04"/>
    <w:rsid w:val="005B3C71"/>
    <w:rsid w:val="005B52F7"/>
    <w:rsid w:val="005B5479"/>
    <w:rsid w:val="005B61C5"/>
    <w:rsid w:val="005B7188"/>
    <w:rsid w:val="005B7CEC"/>
    <w:rsid w:val="005C07AB"/>
    <w:rsid w:val="005C16AD"/>
    <w:rsid w:val="005C3FDC"/>
    <w:rsid w:val="005C4696"/>
    <w:rsid w:val="005C5964"/>
    <w:rsid w:val="005C5C4E"/>
    <w:rsid w:val="005C70A5"/>
    <w:rsid w:val="005D0478"/>
    <w:rsid w:val="005D2167"/>
    <w:rsid w:val="005D32A1"/>
    <w:rsid w:val="005D4454"/>
    <w:rsid w:val="005D4C14"/>
    <w:rsid w:val="005D54AC"/>
    <w:rsid w:val="005D5823"/>
    <w:rsid w:val="005D61B5"/>
    <w:rsid w:val="005D6B1F"/>
    <w:rsid w:val="005D6BA0"/>
    <w:rsid w:val="005D6D3D"/>
    <w:rsid w:val="005D7038"/>
    <w:rsid w:val="005E0298"/>
    <w:rsid w:val="005E30DE"/>
    <w:rsid w:val="005E3128"/>
    <w:rsid w:val="005E363B"/>
    <w:rsid w:val="005E3C72"/>
    <w:rsid w:val="005E45A1"/>
    <w:rsid w:val="005F1BCF"/>
    <w:rsid w:val="005F26A3"/>
    <w:rsid w:val="005F506F"/>
    <w:rsid w:val="005F57AE"/>
    <w:rsid w:val="005F690C"/>
    <w:rsid w:val="005F6955"/>
    <w:rsid w:val="00601193"/>
    <w:rsid w:val="00602BC3"/>
    <w:rsid w:val="0060354E"/>
    <w:rsid w:val="00604123"/>
    <w:rsid w:val="00604CD2"/>
    <w:rsid w:val="0060515E"/>
    <w:rsid w:val="00605893"/>
    <w:rsid w:val="006071ED"/>
    <w:rsid w:val="00607370"/>
    <w:rsid w:val="006108DF"/>
    <w:rsid w:val="00612D26"/>
    <w:rsid w:val="00612D32"/>
    <w:rsid w:val="00613029"/>
    <w:rsid w:val="006143AC"/>
    <w:rsid w:val="00614A77"/>
    <w:rsid w:val="0061540A"/>
    <w:rsid w:val="00615F65"/>
    <w:rsid w:val="00617AB8"/>
    <w:rsid w:val="006217B4"/>
    <w:rsid w:val="006220A5"/>
    <w:rsid w:val="00622752"/>
    <w:rsid w:val="00622BA4"/>
    <w:rsid w:val="00622E26"/>
    <w:rsid w:val="00623E85"/>
    <w:rsid w:val="0062579E"/>
    <w:rsid w:val="00625868"/>
    <w:rsid w:val="00626346"/>
    <w:rsid w:val="006264D4"/>
    <w:rsid w:val="006264E4"/>
    <w:rsid w:val="00627254"/>
    <w:rsid w:val="00627452"/>
    <w:rsid w:val="00627C1C"/>
    <w:rsid w:val="00627CDA"/>
    <w:rsid w:val="0063036F"/>
    <w:rsid w:val="00631222"/>
    <w:rsid w:val="00631FCE"/>
    <w:rsid w:val="0063228F"/>
    <w:rsid w:val="00632585"/>
    <w:rsid w:val="0063259F"/>
    <w:rsid w:val="00632C07"/>
    <w:rsid w:val="00632CA3"/>
    <w:rsid w:val="006333F8"/>
    <w:rsid w:val="00633986"/>
    <w:rsid w:val="00633D10"/>
    <w:rsid w:val="00635D9E"/>
    <w:rsid w:val="00635E21"/>
    <w:rsid w:val="00636E98"/>
    <w:rsid w:val="006378CB"/>
    <w:rsid w:val="0064006F"/>
    <w:rsid w:val="00640490"/>
    <w:rsid w:val="0064138C"/>
    <w:rsid w:val="00641802"/>
    <w:rsid w:val="00643225"/>
    <w:rsid w:val="0064372D"/>
    <w:rsid w:val="00645711"/>
    <w:rsid w:val="00645CD3"/>
    <w:rsid w:val="006473C3"/>
    <w:rsid w:val="006478FA"/>
    <w:rsid w:val="00650BF5"/>
    <w:rsid w:val="006529F6"/>
    <w:rsid w:val="00652A5D"/>
    <w:rsid w:val="00653C6D"/>
    <w:rsid w:val="00654063"/>
    <w:rsid w:val="006544EA"/>
    <w:rsid w:val="00654AFB"/>
    <w:rsid w:val="00654BB7"/>
    <w:rsid w:val="006564E0"/>
    <w:rsid w:val="0065655C"/>
    <w:rsid w:val="006567AE"/>
    <w:rsid w:val="00660977"/>
    <w:rsid w:val="00660DEC"/>
    <w:rsid w:val="00661383"/>
    <w:rsid w:val="0066192C"/>
    <w:rsid w:val="006640E4"/>
    <w:rsid w:val="00664829"/>
    <w:rsid w:val="00665075"/>
    <w:rsid w:val="00665558"/>
    <w:rsid w:val="0066729E"/>
    <w:rsid w:val="00671B9D"/>
    <w:rsid w:val="0067469D"/>
    <w:rsid w:val="0067519D"/>
    <w:rsid w:val="00675B22"/>
    <w:rsid w:val="006766BF"/>
    <w:rsid w:val="00676F13"/>
    <w:rsid w:val="00677DEA"/>
    <w:rsid w:val="00681C25"/>
    <w:rsid w:val="00682012"/>
    <w:rsid w:val="00682263"/>
    <w:rsid w:val="0068240C"/>
    <w:rsid w:val="00683A43"/>
    <w:rsid w:val="00683D4D"/>
    <w:rsid w:val="00684787"/>
    <w:rsid w:val="00684CF8"/>
    <w:rsid w:val="00684D1E"/>
    <w:rsid w:val="006851D5"/>
    <w:rsid w:val="00685AF3"/>
    <w:rsid w:val="00687077"/>
    <w:rsid w:val="006876D6"/>
    <w:rsid w:val="0069054A"/>
    <w:rsid w:val="006911A1"/>
    <w:rsid w:val="00691713"/>
    <w:rsid w:val="006918FF"/>
    <w:rsid w:val="00691C3C"/>
    <w:rsid w:val="006924F2"/>
    <w:rsid w:val="006928CC"/>
    <w:rsid w:val="006928DD"/>
    <w:rsid w:val="00693704"/>
    <w:rsid w:val="00693FEC"/>
    <w:rsid w:val="00694017"/>
    <w:rsid w:val="00694960"/>
    <w:rsid w:val="00695157"/>
    <w:rsid w:val="0069521C"/>
    <w:rsid w:val="0069567E"/>
    <w:rsid w:val="0069795A"/>
    <w:rsid w:val="006A094D"/>
    <w:rsid w:val="006A0CD7"/>
    <w:rsid w:val="006A1125"/>
    <w:rsid w:val="006A1888"/>
    <w:rsid w:val="006A1D79"/>
    <w:rsid w:val="006A3282"/>
    <w:rsid w:val="006A4A26"/>
    <w:rsid w:val="006A655B"/>
    <w:rsid w:val="006A7A37"/>
    <w:rsid w:val="006B10CB"/>
    <w:rsid w:val="006B11F1"/>
    <w:rsid w:val="006B1D71"/>
    <w:rsid w:val="006B35BA"/>
    <w:rsid w:val="006B3954"/>
    <w:rsid w:val="006B3E38"/>
    <w:rsid w:val="006B400F"/>
    <w:rsid w:val="006B419E"/>
    <w:rsid w:val="006B4F76"/>
    <w:rsid w:val="006B6B62"/>
    <w:rsid w:val="006C05E2"/>
    <w:rsid w:val="006C1C9E"/>
    <w:rsid w:val="006C342E"/>
    <w:rsid w:val="006C3880"/>
    <w:rsid w:val="006C46D5"/>
    <w:rsid w:val="006C5C54"/>
    <w:rsid w:val="006C5F2E"/>
    <w:rsid w:val="006C62F3"/>
    <w:rsid w:val="006C6516"/>
    <w:rsid w:val="006C6F14"/>
    <w:rsid w:val="006C70C3"/>
    <w:rsid w:val="006C7AEA"/>
    <w:rsid w:val="006D120E"/>
    <w:rsid w:val="006D1264"/>
    <w:rsid w:val="006D3514"/>
    <w:rsid w:val="006D55C7"/>
    <w:rsid w:val="006D659C"/>
    <w:rsid w:val="006D7061"/>
    <w:rsid w:val="006D7A25"/>
    <w:rsid w:val="006E1AD7"/>
    <w:rsid w:val="006E223B"/>
    <w:rsid w:val="006E22C3"/>
    <w:rsid w:val="006E250C"/>
    <w:rsid w:val="006E2ADB"/>
    <w:rsid w:val="006E3B39"/>
    <w:rsid w:val="006E467E"/>
    <w:rsid w:val="006E4AA9"/>
    <w:rsid w:val="006E4E76"/>
    <w:rsid w:val="006E5696"/>
    <w:rsid w:val="006E5BEE"/>
    <w:rsid w:val="006E6762"/>
    <w:rsid w:val="006E6895"/>
    <w:rsid w:val="006E6EC6"/>
    <w:rsid w:val="006F0CF1"/>
    <w:rsid w:val="006F1C2E"/>
    <w:rsid w:val="006F2350"/>
    <w:rsid w:val="006F371C"/>
    <w:rsid w:val="006F391C"/>
    <w:rsid w:val="006F42A0"/>
    <w:rsid w:val="006F5233"/>
    <w:rsid w:val="006F57A1"/>
    <w:rsid w:val="006F6998"/>
    <w:rsid w:val="00700184"/>
    <w:rsid w:val="007011EE"/>
    <w:rsid w:val="00701C75"/>
    <w:rsid w:val="007033AB"/>
    <w:rsid w:val="00703D23"/>
    <w:rsid w:val="00704E1F"/>
    <w:rsid w:val="007050A2"/>
    <w:rsid w:val="007063B0"/>
    <w:rsid w:val="00707199"/>
    <w:rsid w:val="007101A8"/>
    <w:rsid w:val="00711984"/>
    <w:rsid w:val="00711C61"/>
    <w:rsid w:val="00712D77"/>
    <w:rsid w:val="0071300D"/>
    <w:rsid w:val="0071306A"/>
    <w:rsid w:val="0071317F"/>
    <w:rsid w:val="0071386E"/>
    <w:rsid w:val="00713DCF"/>
    <w:rsid w:val="00714099"/>
    <w:rsid w:val="00715506"/>
    <w:rsid w:val="00716230"/>
    <w:rsid w:val="007163EB"/>
    <w:rsid w:val="007174B2"/>
    <w:rsid w:val="007178A9"/>
    <w:rsid w:val="007202FE"/>
    <w:rsid w:val="007209F6"/>
    <w:rsid w:val="00720D13"/>
    <w:rsid w:val="007220A0"/>
    <w:rsid w:val="0072249F"/>
    <w:rsid w:val="00722C4C"/>
    <w:rsid w:val="0072405D"/>
    <w:rsid w:val="0072652D"/>
    <w:rsid w:val="00726899"/>
    <w:rsid w:val="00727378"/>
    <w:rsid w:val="00727F0D"/>
    <w:rsid w:val="007301A6"/>
    <w:rsid w:val="00731CCD"/>
    <w:rsid w:val="007336C8"/>
    <w:rsid w:val="007341E9"/>
    <w:rsid w:val="0073439A"/>
    <w:rsid w:val="00735D44"/>
    <w:rsid w:val="0073655D"/>
    <w:rsid w:val="00736F7C"/>
    <w:rsid w:val="00737592"/>
    <w:rsid w:val="00737B32"/>
    <w:rsid w:val="00737BD2"/>
    <w:rsid w:val="007409FD"/>
    <w:rsid w:val="00740B0C"/>
    <w:rsid w:val="00740C15"/>
    <w:rsid w:val="0074214C"/>
    <w:rsid w:val="00742284"/>
    <w:rsid w:val="00742429"/>
    <w:rsid w:val="00743428"/>
    <w:rsid w:val="00744561"/>
    <w:rsid w:val="00744E7A"/>
    <w:rsid w:val="00745FF4"/>
    <w:rsid w:val="007515CB"/>
    <w:rsid w:val="007520CC"/>
    <w:rsid w:val="00753B28"/>
    <w:rsid w:val="00753E21"/>
    <w:rsid w:val="00753E3A"/>
    <w:rsid w:val="007544D9"/>
    <w:rsid w:val="00755203"/>
    <w:rsid w:val="007568C7"/>
    <w:rsid w:val="00756C68"/>
    <w:rsid w:val="00756FAF"/>
    <w:rsid w:val="00760344"/>
    <w:rsid w:val="00760EAE"/>
    <w:rsid w:val="00764700"/>
    <w:rsid w:val="007647A1"/>
    <w:rsid w:val="007663F1"/>
    <w:rsid w:val="0076783B"/>
    <w:rsid w:val="00770A9B"/>
    <w:rsid w:val="00770B55"/>
    <w:rsid w:val="00771B44"/>
    <w:rsid w:val="00771B95"/>
    <w:rsid w:val="00771BE0"/>
    <w:rsid w:val="00771F10"/>
    <w:rsid w:val="007726A8"/>
    <w:rsid w:val="0077323F"/>
    <w:rsid w:val="00774239"/>
    <w:rsid w:val="007747B3"/>
    <w:rsid w:val="007777D2"/>
    <w:rsid w:val="00777FAB"/>
    <w:rsid w:val="0078043A"/>
    <w:rsid w:val="00781656"/>
    <w:rsid w:val="00781BDB"/>
    <w:rsid w:val="00783273"/>
    <w:rsid w:val="0078509D"/>
    <w:rsid w:val="007870AC"/>
    <w:rsid w:val="00787169"/>
    <w:rsid w:val="00787435"/>
    <w:rsid w:val="00790201"/>
    <w:rsid w:val="00791F93"/>
    <w:rsid w:val="00793CED"/>
    <w:rsid w:val="007948E1"/>
    <w:rsid w:val="00794BE2"/>
    <w:rsid w:val="007A01DA"/>
    <w:rsid w:val="007A081F"/>
    <w:rsid w:val="007A0B9A"/>
    <w:rsid w:val="007A0EFE"/>
    <w:rsid w:val="007A1475"/>
    <w:rsid w:val="007A16BB"/>
    <w:rsid w:val="007A1730"/>
    <w:rsid w:val="007A19CE"/>
    <w:rsid w:val="007A1B82"/>
    <w:rsid w:val="007A2227"/>
    <w:rsid w:val="007A272C"/>
    <w:rsid w:val="007A2E67"/>
    <w:rsid w:val="007A34FD"/>
    <w:rsid w:val="007A5343"/>
    <w:rsid w:val="007A5DB7"/>
    <w:rsid w:val="007A6A24"/>
    <w:rsid w:val="007A6C61"/>
    <w:rsid w:val="007A6DAC"/>
    <w:rsid w:val="007A7BC4"/>
    <w:rsid w:val="007A7F3A"/>
    <w:rsid w:val="007B0799"/>
    <w:rsid w:val="007B0B1E"/>
    <w:rsid w:val="007B0B78"/>
    <w:rsid w:val="007B0E93"/>
    <w:rsid w:val="007B1EC0"/>
    <w:rsid w:val="007B1F20"/>
    <w:rsid w:val="007B24DB"/>
    <w:rsid w:val="007B2A4F"/>
    <w:rsid w:val="007B5A44"/>
    <w:rsid w:val="007B617A"/>
    <w:rsid w:val="007B6F01"/>
    <w:rsid w:val="007B70CF"/>
    <w:rsid w:val="007C0E73"/>
    <w:rsid w:val="007C3313"/>
    <w:rsid w:val="007C4248"/>
    <w:rsid w:val="007C4E2F"/>
    <w:rsid w:val="007C4EC8"/>
    <w:rsid w:val="007C5A36"/>
    <w:rsid w:val="007C5A89"/>
    <w:rsid w:val="007C605D"/>
    <w:rsid w:val="007C6BE9"/>
    <w:rsid w:val="007D0586"/>
    <w:rsid w:val="007D0A62"/>
    <w:rsid w:val="007D1092"/>
    <w:rsid w:val="007D1B09"/>
    <w:rsid w:val="007D260F"/>
    <w:rsid w:val="007D2BAD"/>
    <w:rsid w:val="007D2DE9"/>
    <w:rsid w:val="007D3F05"/>
    <w:rsid w:val="007D4752"/>
    <w:rsid w:val="007D49FA"/>
    <w:rsid w:val="007D4A1D"/>
    <w:rsid w:val="007D5701"/>
    <w:rsid w:val="007D6C4D"/>
    <w:rsid w:val="007D6F08"/>
    <w:rsid w:val="007E15BC"/>
    <w:rsid w:val="007E161A"/>
    <w:rsid w:val="007E17C9"/>
    <w:rsid w:val="007E19E5"/>
    <w:rsid w:val="007E1D5F"/>
    <w:rsid w:val="007E29B9"/>
    <w:rsid w:val="007E3402"/>
    <w:rsid w:val="007E353A"/>
    <w:rsid w:val="007E451F"/>
    <w:rsid w:val="007E5953"/>
    <w:rsid w:val="007E6365"/>
    <w:rsid w:val="007E68F9"/>
    <w:rsid w:val="007E6F25"/>
    <w:rsid w:val="007E7715"/>
    <w:rsid w:val="007E7C10"/>
    <w:rsid w:val="007F133B"/>
    <w:rsid w:val="007F3C55"/>
    <w:rsid w:val="007F5036"/>
    <w:rsid w:val="007F53D7"/>
    <w:rsid w:val="007F57FF"/>
    <w:rsid w:val="007F7E02"/>
    <w:rsid w:val="00800482"/>
    <w:rsid w:val="00800597"/>
    <w:rsid w:val="0080061E"/>
    <w:rsid w:val="00800B33"/>
    <w:rsid w:val="00801DD0"/>
    <w:rsid w:val="0080209B"/>
    <w:rsid w:val="0080268E"/>
    <w:rsid w:val="008030C1"/>
    <w:rsid w:val="00803BB7"/>
    <w:rsid w:val="00803CA8"/>
    <w:rsid w:val="00804AE0"/>
    <w:rsid w:val="00804FDA"/>
    <w:rsid w:val="00805A2B"/>
    <w:rsid w:val="00806217"/>
    <w:rsid w:val="008071D3"/>
    <w:rsid w:val="008104BC"/>
    <w:rsid w:val="0081099E"/>
    <w:rsid w:val="00813CE2"/>
    <w:rsid w:val="008146A9"/>
    <w:rsid w:val="0081579C"/>
    <w:rsid w:val="0081686C"/>
    <w:rsid w:val="00817161"/>
    <w:rsid w:val="00820A4D"/>
    <w:rsid w:val="00820AE5"/>
    <w:rsid w:val="00821607"/>
    <w:rsid w:val="008230E4"/>
    <w:rsid w:val="00823A23"/>
    <w:rsid w:val="00825DC1"/>
    <w:rsid w:val="00827ACD"/>
    <w:rsid w:val="00827EE9"/>
    <w:rsid w:val="008313E9"/>
    <w:rsid w:val="0083243F"/>
    <w:rsid w:val="008325D8"/>
    <w:rsid w:val="00833C05"/>
    <w:rsid w:val="00833C93"/>
    <w:rsid w:val="00834073"/>
    <w:rsid w:val="008346F1"/>
    <w:rsid w:val="00834FD4"/>
    <w:rsid w:val="00837DC0"/>
    <w:rsid w:val="00840177"/>
    <w:rsid w:val="00840A8C"/>
    <w:rsid w:val="0084136F"/>
    <w:rsid w:val="008418EC"/>
    <w:rsid w:val="00841D06"/>
    <w:rsid w:val="00842E54"/>
    <w:rsid w:val="00844399"/>
    <w:rsid w:val="0084677B"/>
    <w:rsid w:val="008513A8"/>
    <w:rsid w:val="008523A5"/>
    <w:rsid w:val="008529A3"/>
    <w:rsid w:val="008529F2"/>
    <w:rsid w:val="00853274"/>
    <w:rsid w:val="008535D9"/>
    <w:rsid w:val="00853B01"/>
    <w:rsid w:val="00854AEA"/>
    <w:rsid w:val="008575F7"/>
    <w:rsid w:val="008577DB"/>
    <w:rsid w:val="00860673"/>
    <w:rsid w:val="00861945"/>
    <w:rsid w:val="008623CD"/>
    <w:rsid w:val="008626A1"/>
    <w:rsid w:val="0086316D"/>
    <w:rsid w:val="00864031"/>
    <w:rsid w:val="00865B21"/>
    <w:rsid w:val="00865D0C"/>
    <w:rsid w:val="008662D5"/>
    <w:rsid w:val="008664CD"/>
    <w:rsid w:val="00866AF3"/>
    <w:rsid w:val="00867C00"/>
    <w:rsid w:val="00867C16"/>
    <w:rsid w:val="0087107E"/>
    <w:rsid w:val="00871C21"/>
    <w:rsid w:val="00872FDC"/>
    <w:rsid w:val="00873030"/>
    <w:rsid w:val="0087360A"/>
    <w:rsid w:val="00874AD3"/>
    <w:rsid w:val="00875306"/>
    <w:rsid w:val="0087596C"/>
    <w:rsid w:val="00877175"/>
    <w:rsid w:val="0087759F"/>
    <w:rsid w:val="0088101D"/>
    <w:rsid w:val="00882683"/>
    <w:rsid w:val="00882B83"/>
    <w:rsid w:val="008842DB"/>
    <w:rsid w:val="0088495F"/>
    <w:rsid w:val="00884C6A"/>
    <w:rsid w:val="00886F76"/>
    <w:rsid w:val="008873E1"/>
    <w:rsid w:val="008877FD"/>
    <w:rsid w:val="008878A4"/>
    <w:rsid w:val="00887B8B"/>
    <w:rsid w:val="008903E5"/>
    <w:rsid w:val="008904F2"/>
    <w:rsid w:val="00890C47"/>
    <w:rsid w:val="00890FDA"/>
    <w:rsid w:val="00892CA6"/>
    <w:rsid w:val="00893890"/>
    <w:rsid w:val="00894874"/>
    <w:rsid w:val="008950BB"/>
    <w:rsid w:val="008A0856"/>
    <w:rsid w:val="008A135B"/>
    <w:rsid w:val="008A1508"/>
    <w:rsid w:val="008A3719"/>
    <w:rsid w:val="008A37E8"/>
    <w:rsid w:val="008B0798"/>
    <w:rsid w:val="008B3189"/>
    <w:rsid w:val="008B349E"/>
    <w:rsid w:val="008B39C5"/>
    <w:rsid w:val="008B4ACF"/>
    <w:rsid w:val="008B539E"/>
    <w:rsid w:val="008B67BA"/>
    <w:rsid w:val="008B783E"/>
    <w:rsid w:val="008C0016"/>
    <w:rsid w:val="008C042F"/>
    <w:rsid w:val="008C0867"/>
    <w:rsid w:val="008C0E79"/>
    <w:rsid w:val="008C28CD"/>
    <w:rsid w:val="008C43DC"/>
    <w:rsid w:val="008C4D42"/>
    <w:rsid w:val="008C548D"/>
    <w:rsid w:val="008C61AC"/>
    <w:rsid w:val="008C6BE6"/>
    <w:rsid w:val="008C6F1C"/>
    <w:rsid w:val="008C71A4"/>
    <w:rsid w:val="008C77F3"/>
    <w:rsid w:val="008D159D"/>
    <w:rsid w:val="008D1983"/>
    <w:rsid w:val="008D2B9A"/>
    <w:rsid w:val="008D2C55"/>
    <w:rsid w:val="008D3713"/>
    <w:rsid w:val="008D6512"/>
    <w:rsid w:val="008D6EAA"/>
    <w:rsid w:val="008D708F"/>
    <w:rsid w:val="008D74A2"/>
    <w:rsid w:val="008D7A2C"/>
    <w:rsid w:val="008E1A74"/>
    <w:rsid w:val="008E21DF"/>
    <w:rsid w:val="008E23A9"/>
    <w:rsid w:val="008E2D15"/>
    <w:rsid w:val="008E2F83"/>
    <w:rsid w:val="008E361B"/>
    <w:rsid w:val="008E3620"/>
    <w:rsid w:val="008E50D5"/>
    <w:rsid w:val="008E5928"/>
    <w:rsid w:val="008E5CB2"/>
    <w:rsid w:val="008E65BB"/>
    <w:rsid w:val="008E688A"/>
    <w:rsid w:val="008E6E67"/>
    <w:rsid w:val="008F09B7"/>
    <w:rsid w:val="008F1D6B"/>
    <w:rsid w:val="008F216F"/>
    <w:rsid w:val="008F2657"/>
    <w:rsid w:val="008F486D"/>
    <w:rsid w:val="008F4FF6"/>
    <w:rsid w:val="008F5030"/>
    <w:rsid w:val="008F64E4"/>
    <w:rsid w:val="008F6EEF"/>
    <w:rsid w:val="008F7278"/>
    <w:rsid w:val="009004E9"/>
    <w:rsid w:val="00901933"/>
    <w:rsid w:val="00901E0C"/>
    <w:rsid w:val="009038B4"/>
    <w:rsid w:val="00904333"/>
    <w:rsid w:val="0090497E"/>
    <w:rsid w:val="00905695"/>
    <w:rsid w:val="00905815"/>
    <w:rsid w:val="00906773"/>
    <w:rsid w:val="0090711B"/>
    <w:rsid w:val="009079E3"/>
    <w:rsid w:val="00907A2C"/>
    <w:rsid w:val="00910B6B"/>
    <w:rsid w:val="00911817"/>
    <w:rsid w:val="00912D30"/>
    <w:rsid w:val="0091462C"/>
    <w:rsid w:val="00915B20"/>
    <w:rsid w:val="00915CEB"/>
    <w:rsid w:val="00916271"/>
    <w:rsid w:val="00916B7D"/>
    <w:rsid w:val="009179F5"/>
    <w:rsid w:val="00917A11"/>
    <w:rsid w:val="009205F2"/>
    <w:rsid w:val="00921CFD"/>
    <w:rsid w:val="0092391D"/>
    <w:rsid w:val="00924F3D"/>
    <w:rsid w:val="009255AC"/>
    <w:rsid w:val="00925B9A"/>
    <w:rsid w:val="00926545"/>
    <w:rsid w:val="009267E3"/>
    <w:rsid w:val="00926E86"/>
    <w:rsid w:val="00927480"/>
    <w:rsid w:val="00927567"/>
    <w:rsid w:val="009279EB"/>
    <w:rsid w:val="0093072E"/>
    <w:rsid w:val="00930A7D"/>
    <w:rsid w:val="009322DB"/>
    <w:rsid w:val="00933CDF"/>
    <w:rsid w:val="00934373"/>
    <w:rsid w:val="00934A5A"/>
    <w:rsid w:val="00934BCD"/>
    <w:rsid w:val="0093567A"/>
    <w:rsid w:val="00935A4F"/>
    <w:rsid w:val="009361D1"/>
    <w:rsid w:val="00937ACC"/>
    <w:rsid w:val="009410B4"/>
    <w:rsid w:val="009418B6"/>
    <w:rsid w:val="00941990"/>
    <w:rsid w:val="00941ED0"/>
    <w:rsid w:val="0094234F"/>
    <w:rsid w:val="0094244E"/>
    <w:rsid w:val="00942B0A"/>
    <w:rsid w:val="00943D1B"/>
    <w:rsid w:val="009444BC"/>
    <w:rsid w:val="00944B33"/>
    <w:rsid w:val="00944F28"/>
    <w:rsid w:val="00945BB3"/>
    <w:rsid w:val="00946657"/>
    <w:rsid w:val="00946F9C"/>
    <w:rsid w:val="00951C1C"/>
    <w:rsid w:val="0095274B"/>
    <w:rsid w:val="00952B20"/>
    <w:rsid w:val="00952D5A"/>
    <w:rsid w:val="00953793"/>
    <w:rsid w:val="00953D85"/>
    <w:rsid w:val="0095480B"/>
    <w:rsid w:val="0095520D"/>
    <w:rsid w:val="00955D58"/>
    <w:rsid w:val="00956330"/>
    <w:rsid w:val="00956403"/>
    <w:rsid w:val="00956989"/>
    <w:rsid w:val="00956C57"/>
    <w:rsid w:val="009570EE"/>
    <w:rsid w:val="00957563"/>
    <w:rsid w:val="009577A6"/>
    <w:rsid w:val="009579BA"/>
    <w:rsid w:val="009603C7"/>
    <w:rsid w:val="009607A7"/>
    <w:rsid w:val="00960E82"/>
    <w:rsid w:val="009624CA"/>
    <w:rsid w:val="00962558"/>
    <w:rsid w:val="0096368B"/>
    <w:rsid w:val="00964E90"/>
    <w:rsid w:val="00964EE2"/>
    <w:rsid w:val="00964F79"/>
    <w:rsid w:val="00965EDC"/>
    <w:rsid w:val="00967A0B"/>
    <w:rsid w:val="00970689"/>
    <w:rsid w:val="009715FE"/>
    <w:rsid w:val="00971CD9"/>
    <w:rsid w:val="00972788"/>
    <w:rsid w:val="009728D6"/>
    <w:rsid w:val="00973094"/>
    <w:rsid w:val="00974B23"/>
    <w:rsid w:val="00974B86"/>
    <w:rsid w:val="00976D0C"/>
    <w:rsid w:val="00977576"/>
    <w:rsid w:val="00977E5C"/>
    <w:rsid w:val="00980965"/>
    <w:rsid w:val="0098096E"/>
    <w:rsid w:val="0098235C"/>
    <w:rsid w:val="00983D0B"/>
    <w:rsid w:val="00984801"/>
    <w:rsid w:val="0098792C"/>
    <w:rsid w:val="0099126F"/>
    <w:rsid w:val="0099147F"/>
    <w:rsid w:val="009922DA"/>
    <w:rsid w:val="00992A02"/>
    <w:rsid w:val="00992CA5"/>
    <w:rsid w:val="00993067"/>
    <w:rsid w:val="00993648"/>
    <w:rsid w:val="00994B6E"/>
    <w:rsid w:val="00996043"/>
    <w:rsid w:val="00996147"/>
    <w:rsid w:val="00996298"/>
    <w:rsid w:val="009A001F"/>
    <w:rsid w:val="009A06B8"/>
    <w:rsid w:val="009A12E5"/>
    <w:rsid w:val="009A2522"/>
    <w:rsid w:val="009A338C"/>
    <w:rsid w:val="009A52B5"/>
    <w:rsid w:val="009A52D4"/>
    <w:rsid w:val="009A54C6"/>
    <w:rsid w:val="009A64F0"/>
    <w:rsid w:val="009A70B5"/>
    <w:rsid w:val="009A744E"/>
    <w:rsid w:val="009B0F71"/>
    <w:rsid w:val="009B18E9"/>
    <w:rsid w:val="009B1901"/>
    <w:rsid w:val="009B27BB"/>
    <w:rsid w:val="009B40AE"/>
    <w:rsid w:val="009B45E7"/>
    <w:rsid w:val="009B4A30"/>
    <w:rsid w:val="009B4E18"/>
    <w:rsid w:val="009B5AE8"/>
    <w:rsid w:val="009B5D3F"/>
    <w:rsid w:val="009B6FF2"/>
    <w:rsid w:val="009B70FD"/>
    <w:rsid w:val="009C103E"/>
    <w:rsid w:val="009C20A5"/>
    <w:rsid w:val="009C2818"/>
    <w:rsid w:val="009C3C43"/>
    <w:rsid w:val="009C3DDC"/>
    <w:rsid w:val="009C47A9"/>
    <w:rsid w:val="009C5499"/>
    <w:rsid w:val="009C57F6"/>
    <w:rsid w:val="009C5846"/>
    <w:rsid w:val="009C5DD4"/>
    <w:rsid w:val="009C73DE"/>
    <w:rsid w:val="009D0F18"/>
    <w:rsid w:val="009D11BE"/>
    <w:rsid w:val="009D240A"/>
    <w:rsid w:val="009D2483"/>
    <w:rsid w:val="009D2D42"/>
    <w:rsid w:val="009D4907"/>
    <w:rsid w:val="009D5FB4"/>
    <w:rsid w:val="009D612A"/>
    <w:rsid w:val="009D6517"/>
    <w:rsid w:val="009D6B32"/>
    <w:rsid w:val="009D6C7E"/>
    <w:rsid w:val="009D717E"/>
    <w:rsid w:val="009D796B"/>
    <w:rsid w:val="009D79BD"/>
    <w:rsid w:val="009D7EE4"/>
    <w:rsid w:val="009E043A"/>
    <w:rsid w:val="009E2A51"/>
    <w:rsid w:val="009E2DBB"/>
    <w:rsid w:val="009E3070"/>
    <w:rsid w:val="009E36BA"/>
    <w:rsid w:val="009E4344"/>
    <w:rsid w:val="009E4B9F"/>
    <w:rsid w:val="009E5219"/>
    <w:rsid w:val="009E675E"/>
    <w:rsid w:val="009E7AA7"/>
    <w:rsid w:val="009F1807"/>
    <w:rsid w:val="009F1CCE"/>
    <w:rsid w:val="009F296E"/>
    <w:rsid w:val="009F3243"/>
    <w:rsid w:val="009F3599"/>
    <w:rsid w:val="009F48EE"/>
    <w:rsid w:val="009F5EF1"/>
    <w:rsid w:val="009F6153"/>
    <w:rsid w:val="009F6333"/>
    <w:rsid w:val="009F635C"/>
    <w:rsid w:val="009F6D10"/>
    <w:rsid w:val="009F6E95"/>
    <w:rsid w:val="009F7A85"/>
    <w:rsid w:val="009F7E7F"/>
    <w:rsid w:val="00A014CB"/>
    <w:rsid w:val="00A01655"/>
    <w:rsid w:val="00A01844"/>
    <w:rsid w:val="00A01A98"/>
    <w:rsid w:val="00A01C1B"/>
    <w:rsid w:val="00A02536"/>
    <w:rsid w:val="00A02872"/>
    <w:rsid w:val="00A02EA2"/>
    <w:rsid w:val="00A03687"/>
    <w:rsid w:val="00A039AE"/>
    <w:rsid w:val="00A05ED4"/>
    <w:rsid w:val="00A0678B"/>
    <w:rsid w:val="00A067E9"/>
    <w:rsid w:val="00A06D53"/>
    <w:rsid w:val="00A0786E"/>
    <w:rsid w:val="00A07961"/>
    <w:rsid w:val="00A07F8F"/>
    <w:rsid w:val="00A10277"/>
    <w:rsid w:val="00A10790"/>
    <w:rsid w:val="00A135AC"/>
    <w:rsid w:val="00A13C7D"/>
    <w:rsid w:val="00A14837"/>
    <w:rsid w:val="00A14F49"/>
    <w:rsid w:val="00A15D3E"/>
    <w:rsid w:val="00A163D1"/>
    <w:rsid w:val="00A1719C"/>
    <w:rsid w:val="00A17FD8"/>
    <w:rsid w:val="00A204F0"/>
    <w:rsid w:val="00A213B2"/>
    <w:rsid w:val="00A2297F"/>
    <w:rsid w:val="00A238B8"/>
    <w:rsid w:val="00A23C67"/>
    <w:rsid w:val="00A2461C"/>
    <w:rsid w:val="00A24FCC"/>
    <w:rsid w:val="00A26F86"/>
    <w:rsid w:val="00A27CD2"/>
    <w:rsid w:val="00A300BF"/>
    <w:rsid w:val="00A306FC"/>
    <w:rsid w:val="00A307D2"/>
    <w:rsid w:val="00A31246"/>
    <w:rsid w:val="00A3152F"/>
    <w:rsid w:val="00A32278"/>
    <w:rsid w:val="00A32663"/>
    <w:rsid w:val="00A33595"/>
    <w:rsid w:val="00A344AC"/>
    <w:rsid w:val="00A34EB1"/>
    <w:rsid w:val="00A3599B"/>
    <w:rsid w:val="00A36C61"/>
    <w:rsid w:val="00A373A1"/>
    <w:rsid w:val="00A37617"/>
    <w:rsid w:val="00A37C6B"/>
    <w:rsid w:val="00A40D24"/>
    <w:rsid w:val="00A42525"/>
    <w:rsid w:val="00A4465F"/>
    <w:rsid w:val="00A4516E"/>
    <w:rsid w:val="00A4530D"/>
    <w:rsid w:val="00A45578"/>
    <w:rsid w:val="00A4568B"/>
    <w:rsid w:val="00A45C51"/>
    <w:rsid w:val="00A50A7E"/>
    <w:rsid w:val="00A50DCA"/>
    <w:rsid w:val="00A51FC9"/>
    <w:rsid w:val="00A52680"/>
    <w:rsid w:val="00A5326A"/>
    <w:rsid w:val="00A540C7"/>
    <w:rsid w:val="00A5444E"/>
    <w:rsid w:val="00A547BB"/>
    <w:rsid w:val="00A54AD2"/>
    <w:rsid w:val="00A553C3"/>
    <w:rsid w:val="00A55B9E"/>
    <w:rsid w:val="00A56323"/>
    <w:rsid w:val="00A56D22"/>
    <w:rsid w:val="00A574E1"/>
    <w:rsid w:val="00A5770C"/>
    <w:rsid w:val="00A57C7C"/>
    <w:rsid w:val="00A60BE7"/>
    <w:rsid w:val="00A60F1B"/>
    <w:rsid w:val="00A628F2"/>
    <w:rsid w:val="00A62CA9"/>
    <w:rsid w:val="00A62FD2"/>
    <w:rsid w:val="00A63989"/>
    <w:rsid w:val="00A65834"/>
    <w:rsid w:val="00A6680A"/>
    <w:rsid w:val="00A67670"/>
    <w:rsid w:val="00A67A64"/>
    <w:rsid w:val="00A727EB"/>
    <w:rsid w:val="00A7291E"/>
    <w:rsid w:val="00A72AFE"/>
    <w:rsid w:val="00A736D7"/>
    <w:rsid w:val="00A7454E"/>
    <w:rsid w:val="00A74980"/>
    <w:rsid w:val="00A74A11"/>
    <w:rsid w:val="00A759DF"/>
    <w:rsid w:val="00A76733"/>
    <w:rsid w:val="00A76B1D"/>
    <w:rsid w:val="00A76BF1"/>
    <w:rsid w:val="00A76EC1"/>
    <w:rsid w:val="00A80ACD"/>
    <w:rsid w:val="00A817EA"/>
    <w:rsid w:val="00A81A1D"/>
    <w:rsid w:val="00A822BB"/>
    <w:rsid w:val="00A82D03"/>
    <w:rsid w:val="00A82D9F"/>
    <w:rsid w:val="00A82EF8"/>
    <w:rsid w:val="00A85360"/>
    <w:rsid w:val="00A8566F"/>
    <w:rsid w:val="00A858B8"/>
    <w:rsid w:val="00A85B75"/>
    <w:rsid w:val="00A879C3"/>
    <w:rsid w:val="00A900F1"/>
    <w:rsid w:val="00A90B7F"/>
    <w:rsid w:val="00A91725"/>
    <w:rsid w:val="00A91A84"/>
    <w:rsid w:val="00A91D6C"/>
    <w:rsid w:val="00A9225C"/>
    <w:rsid w:val="00A92C42"/>
    <w:rsid w:val="00A933CF"/>
    <w:rsid w:val="00A944A0"/>
    <w:rsid w:val="00A95FF2"/>
    <w:rsid w:val="00A97628"/>
    <w:rsid w:val="00AA0344"/>
    <w:rsid w:val="00AA08F5"/>
    <w:rsid w:val="00AA0BAB"/>
    <w:rsid w:val="00AA1978"/>
    <w:rsid w:val="00AA1FFF"/>
    <w:rsid w:val="00AA2783"/>
    <w:rsid w:val="00AA3DA5"/>
    <w:rsid w:val="00AA3E18"/>
    <w:rsid w:val="00AA40CB"/>
    <w:rsid w:val="00AA4163"/>
    <w:rsid w:val="00AA51D1"/>
    <w:rsid w:val="00AA56F4"/>
    <w:rsid w:val="00AA6FDD"/>
    <w:rsid w:val="00AB1FC8"/>
    <w:rsid w:val="00AB292D"/>
    <w:rsid w:val="00AB6417"/>
    <w:rsid w:val="00AB67D7"/>
    <w:rsid w:val="00AB7CDC"/>
    <w:rsid w:val="00AB7E98"/>
    <w:rsid w:val="00AC0794"/>
    <w:rsid w:val="00AC0BCA"/>
    <w:rsid w:val="00AC0FED"/>
    <w:rsid w:val="00AC1159"/>
    <w:rsid w:val="00AC1F37"/>
    <w:rsid w:val="00AC217E"/>
    <w:rsid w:val="00AC26F0"/>
    <w:rsid w:val="00AC2BA7"/>
    <w:rsid w:val="00AC2D97"/>
    <w:rsid w:val="00AC3D3A"/>
    <w:rsid w:val="00AC3D3E"/>
    <w:rsid w:val="00AC5285"/>
    <w:rsid w:val="00AC5D04"/>
    <w:rsid w:val="00AC5D0F"/>
    <w:rsid w:val="00AC6B5E"/>
    <w:rsid w:val="00AD1194"/>
    <w:rsid w:val="00AD11F7"/>
    <w:rsid w:val="00AD1B6F"/>
    <w:rsid w:val="00AD1BA2"/>
    <w:rsid w:val="00AD2C0C"/>
    <w:rsid w:val="00AD2C7E"/>
    <w:rsid w:val="00AD2EE5"/>
    <w:rsid w:val="00AD35AB"/>
    <w:rsid w:val="00AD41F3"/>
    <w:rsid w:val="00AD42C4"/>
    <w:rsid w:val="00AD44F8"/>
    <w:rsid w:val="00AD5986"/>
    <w:rsid w:val="00AD5E58"/>
    <w:rsid w:val="00AE0D0D"/>
    <w:rsid w:val="00AE3018"/>
    <w:rsid w:val="00AE33E2"/>
    <w:rsid w:val="00AE37C8"/>
    <w:rsid w:val="00AE3EA4"/>
    <w:rsid w:val="00AE495A"/>
    <w:rsid w:val="00AE4B4F"/>
    <w:rsid w:val="00AE5891"/>
    <w:rsid w:val="00AE64E3"/>
    <w:rsid w:val="00AE6DB9"/>
    <w:rsid w:val="00AF1BA9"/>
    <w:rsid w:val="00AF2D70"/>
    <w:rsid w:val="00AF3156"/>
    <w:rsid w:val="00AF3BF4"/>
    <w:rsid w:val="00AF3F84"/>
    <w:rsid w:val="00AF5242"/>
    <w:rsid w:val="00B002D7"/>
    <w:rsid w:val="00B00430"/>
    <w:rsid w:val="00B01CF9"/>
    <w:rsid w:val="00B02036"/>
    <w:rsid w:val="00B02663"/>
    <w:rsid w:val="00B039DA"/>
    <w:rsid w:val="00B03F9A"/>
    <w:rsid w:val="00B05340"/>
    <w:rsid w:val="00B0553C"/>
    <w:rsid w:val="00B05822"/>
    <w:rsid w:val="00B06A2A"/>
    <w:rsid w:val="00B06D80"/>
    <w:rsid w:val="00B074CB"/>
    <w:rsid w:val="00B078B9"/>
    <w:rsid w:val="00B07B2A"/>
    <w:rsid w:val="00B1077E"/>
    <w:rsid w:val="00B10A22"/>
    <w:rsid w:val="00B13C10"/>
    <w:rsid w:val="00B15196"/>
    <w:rsid w:val="00B16D8C"/>
    <w:rsid w:val="00B17A0B"/>
    <w:rsid w:val="00B17EB3"/>
    <w:rsid w:val="00B20632"/>
    <w:rsid w:val="00B20B9E"/>
    <w:rsid w:val="00B20C64"/>
    <w:rsid w:val="00B21ADE"/>
    <w:rsid w:val="00B21EA6"/>
    <w:rsid w:val="00B22048"/>
    <w:rsid w:val="00B2342E"/>
    <w:rsid w:val="00B23712"/>
    <w:rsid w:val="00B239FF"/>
    <w:rsid w:val="00B24469"/>
    <w:rsid w:val="00B25201"/>
    <w:rsid w:val="00B253D6"/>
    <w:rsid w:val="00B2621F"/>
    <w:rsid w:val="00B26680"/>
    <w:rsid w:val="00B271E4"/>
    <w:rsid w:val="00B27B81"/>
    <w:rsid w:val="00B30054"/>
    <w:rsid w:val="00B302E1"/>
    <w:rsid w:val="00B30BE2"/>
    <w:rsid w:val="00B3199E"/>
    <w:rsid w:val="00B34064"/>
    <w:rsid w:val="00B35EB5"/>
    <w:rsid w:val="00B3611C"/>
    <w:rsid w:val="00B362CA"/>
    <w:rsid w:val="00B36A84"/>
    <w:rsid w:val="00B372E4"/>
    <w:rsid w:val="00B40C3E"/>
    <w:rsid w:val="00B41501"/>
    <w:rsid w:val="00B417D4"/>
    <w:rsid w:val="00B41A7E"/>
    <w:rsid w:val="00B41BBE"/>
    <w:rsid w:val="00B42D4A"/>
    <w:rsid w:val="00B43980"/>
    <w:rsid w:val="00B43FC3"/>
    <w:rsid w:val="00B44088"/>
    <w:rsid w:val="00B44A6D"/>
    <w:rsid w:val="00B44CE3"/>
    <w:rsid w:val="00B514B2"/>
    <w:rsid w:val="00B53418"/>
    <w:rsid w:val="00B53961"/>
    <w:rsid w:val="00B53A19"/>
    <w:rsid w:val="00B53B08"/>
    <w:rsid w:val="00B563CA"/>
    <w:rsid w:val="00B5705A"/>
    <w:rsid w:val="00B61699"/>
    <w:rsid w:val="00B62AE2"/>
    <w:rsid w:val="00B62CEB"/>
    <w:rsid w:val="00B641D7"/>
    <w:rsid w:val="00B66DFB"/>
    <w:rsid w:val="00B675DE"/>
    <w:rsid w:val="00B7051D"/>
    <w:rsid w:val="00B71E13"/>
    <w:rsid w:val="00B721B6"/>
    <w:rsid w:val="00B7234E"/>
    <w:rsid w:val="00B72C98"/>
    <w:rsid w:val="00B738F5"/>
    <w:rsid w:val="00B745C7"/>
    <w:rsid w:val="00B74FBA"/>
    <w:rsid w:val="00B7562C"/>
    <w:rsid w:val="00B75767"/>
    <w:rsid w:val="00B75CA2"/>
    <w:rsid w:val="00B76330"/>
    <w:rsid w:val="00B76EB1"/>
    <w:rsid w:val="00B773C5"/>
    <w:rsid w:val="00B774EC"/>
    <w:rsid w:val="00B80869"/>
    <w:rsid w:val="00B82347"/>
    <w:rsid w:val="00B833FD"/>
    <w:rsid w:val="00B842C6"/>
    <w:rsid w:val="00B85173"/>
    <w:rsid w:val="00B8571B"/>
    <w:rsid w:val="00B8666A"/>
    <w:rsid w:val="00B86837"/>
    <w:rsid w:val="00B90E8D"/>
    <w:rsid w:val="00B9116F"/>
    <w:rsid w:val="00B919C9"/>
    <w:rsid w:val="00B91EA5"/>
    <w:rsid w:val="00B9462F"/>
    <w:rsid w:val="00B96827"/>
    <w:rsid w:val="00B96F97"/>
    <w:rsid w:val="00B97603"/>
    <w:rsid w:val="00B97D99"/>
    <w:rsid w:val="00BA00D0"/>
    <w:rsid w:val="00BA0241"/>
    <w:rsid w:val="00BA0589"/>
    <w:rsid w:val="00BA0775"/>
    <w:rsid w:val="00BA14D0"/>
    <w:rsid w:val="00BA18A4"/>
    <w:rsid w:val="00BA5262"/>
    <w:rsid w:val="00BA6CFD"/>
    <w:rsid w:val="00BA71E9"/>
    <w:rsid w:val="00BA7504"/>
    <w:rsid w:val="00BA7C03"/>
    <w:rsid w:val="00BA7F50"/>
    <w:rsid w:val="00BB0C05"/>
    <w:rsid w:val="00BB1E9A"/>
    <w:rsid w:val="00BB2B13"/>
    <w:rsid w:val="00BB317D"/>
    <w:rsid w:val="00BB34E9"/>
    <w:rsid w:val="00BB39BF"/>
    <w:rsid w:val="00BB479E"/>
    <w:rsid w:val="00BB4A71"/>
    <w:rsid w:val="00BB566C"/>
    <w:rsid w:val="00BB6192"/>
    <w:rsid w:val="00BB61A5"/>
    <w:rsid w:val="00BB61B9"/>
    <w:rsid w:val="00BB6879"/>
    <w:rsid w:val="00BB71BF"/>
    <w:rsid w:val="00BB7771"/>
    <w:rsid w:val="00BB7862"/>
    <w:rsid w:val="00BC0118"/>
    <w:rsid w:val="00BC394A"/>
    <w:rsid w:val="00BC3BF5"/>
    <w:rsid w:val="00BC521A"/>
    <w:rsid w:val="00BC539A"/>
    <w:rsid w:val="00BC5800"/>
    <w:rsid w:val="00BC7710"/>
    <w:rsid w:val="00BD0FA3"/>
    <w:rsid w:val="00BD1E26"/>
    <w:rsid w:val="00BD26CA"/>
    <w:rsid w:val="00BD2E4E"/>
    <w:rsid w:val="00BD3035"/>
    <w:rsid w:val="00BD3BFA"/>
    <w:rsid w:val="00BD5AF4"/>
    <w:rsid w:val="00BD7141"/>
    <w:rsid w:val="00BE0707"/>
    <w:rsid w:val="00BE17D5"/>
    <w:rsid w:val="00BE1C6D"/>
    <w:rsid w:val="00BE24A4"/>
    <w:rsid w:val="00BE3086"/>
    <w:rsid w:val="00BE321D"/>
    <w:rsid w:val="00BE4896"/>
    <w:rsid w:val="00BE6639"/>
    <w:rsid w:val="00BF33B0"/>
    <w:rsid w:val="00BF3DF3"/>
    <w:rsid w:val="00BF4408"/>
    <w:rsid w:val="00BF4594"/>
    <w:rsid w:val="00BF7E4C"/>
    <w:rsid w:val="00BF7F08"/>
    <w:rsid w:val="00C002BD"/>
    <w:rsid w:val="00C00870"/>
    <w:rsid w:val="00C00BDE"/>
    <w:rsid w:val="00C00E56"/>
    <w:rsid w:val="00C03AF4"/>
    <w:rsid w:val="00C04E2B"/>
    <w:rsid w:val="00C0529C"/>
    <w:rsid w:val="00C06843"/>
    <w:rsid w:val="00C06A09"/>
    <w:rsid w:val="00C0745C"/>
    <w:rsid w:val="00C1014C"/>
    <w:rsid w:val="00C10219"/>
    <w:rsid w:val="00C105FD"/>
    <w:rsid w:val="00C10694"/>
    <w:rsid w:val="00C11244"/>
    <w:rsid w:val="00C124A5"/>
    <w:rsid w:val="00C12624"/>
    <w:rsid w:val="00C131AD"/>
    <w:rsid w:val="00C14361"/>
    <w:rsid w:val="00C15647"/>
    <w:rsid w:val="00C16BAD"/>
    <w:rsid w:val="00C17FF8"/>
    <w:rsid w:val="00C20055"/>
    <w:rsid w:val="00C2129F"/>
    <w:rsid w:val="00C22E0C"/>
    <w:rsid w:val="00C231DE"/>
    <w:rsid w:val="00C23C17"/>
    <w:rsid w:val="00C24137"/>
    <w:rsid w:val="00C24279"/>
    <w:rsid w:val="00C24963"/>
    <w:rsid w:val="00C2562F"/>
    <w:rsid w:val="00C26984"/>
    <w:rsid w:val="00C269C6"/>
    <w:rsid w:val="00C269D6"/>
    <w:rsid w:val="00C26A2A"/>
    <w:rsid w:val="00C301AB"/>
    <w:rsid w:val="00C30A4A"/>
    <w:rsid w:val="00C31A90"/>
    <w:rsid w:val="00C327DC"/>
    <w:rsid w:val="00C33A91"/>
    <w:rsid w:val="00C34D69"/>
    <w:rsid w:val="00C35356"/>
    <w:rsid w:val="00C35E89"/>
    <w:rsid w:val="00C3608E"/>
    <w:rsid w:val="00C36A8B"/>
    <w:rsid w:val="00C37057"/>
    <w:rsid w:val="00C3715E"/>
    <w:rsid w:val="00C40027"/>
    <w:rsid w:val="00C40306"/>
    <w:rsid w:val="00C41CC1"/>
    <w:rsid w:val="00C422D6"/>
    <w:rsid w:val="00C435A4"/>
    <w:rsid w:val="00C43E91"/>
    <w:rsid w:val="00C4569B"/>
    <w:rsid w:val="00C4718E"/>
    <w:rsid w:val="00C4725F"/>
    <w:rsid w:val="00C47567"/>
    <w:rsid w:val="00C4778B"/>
    <w:rsid w:val="00C47CEE"/>
    <w:rsid w:val="00C502B0"/>
    <w:rsid w:val="00C51604"/>
    <w:rsid w:val="00C51EE6"/>
    <w:rsid w:val="00C53F3E"/>
    <w:rsid w:val="00C53F9C"/>
    <w:rsid w:val="00C5453C"/>
    <w:rsid w:val="00C55308"/>
    <w:rsid w:val="00C55D44"/>
    <w:rsid w:val="00C575C3"/>
    <w:rsid w:val="00C5785A"/>
    <w:rsid w:val="00C57D1F"/>
    <w:rsid w:val="00C60CBB"/>
    <w:rsid w:val="00C611C0"/>
    <w:rsid w:val="00C611DF"/>
    <w:rsid w:val="00C6137B"/>
    <w:rsid w:val="00C6229C"/>
    <w:rsid w:val="00C64A2F"/>
    <w:rsid w:val="00C65362"/>
    <w:rsid w:val="00C66321"/>
    <w:rsid w:val="00C66492"/>
    <w:rsid w:val="00C71327"/>
    <w:rsid w:val="00C714C0"/>
    <w:rsid w:val="00C71612"/>
    <w:rsid w:val="00C72880"/>
    <w:rsid w:val="00C72BA2"/>
    <w:rsid w:val="00C73434"/>
    <w:rsid w:val="00C7360B"/>
    <w:rsid w:val="00C73AC4"/>
    <w:rsid w:val="00C740B9"/>
    <w:rsid w:val="00C74243"/>
    <w:rsid w:val="00C74454"/>
    <w:rsid w:val="00C744CC"/>
    <w:rsid w:val="00C7523C"/>
    <w:rsid w:val="00C755F0"/>
    <w:rsid w:val="00C7641A"/>
    <w:rsid w:val="00C76C3E"/>
    <w:rsid w:val="00C76F78"/>
    <w:rsid w:val="00C77EE7"/>
    <w:rsid w:val="00C80950"/>
    <w:rsid w:val="00C81750"/>
    <w:rsid w:val="00C821AF"/>
    <w:rsid w:val="00C82964"/>
    <w:rsid w:val="00C85E64"/>
    <w:rsid w:val="00C90D46"/>
    <w:rsid w:val="00C91CF3"/>
    <w:rsid w:val="00C9369E"/>
    <w:rsid w:val="00C95143"/>
    <w:rsid w:val="00C95A1F"/>
    <w:rsid w:val="00CA0929"/>
    <w:rsid w:val="00CA2D16"/>
    <w:rsid w:val="00CA4BBD"/>
    <w:rsid w:val="00CA695B"/>
    <w:rsid w:val="00CA6DC0"/>
    <w:rsid w:val="00CA70D3"/>
    <w:rsid w:val="00CB09BC"/>
    <w:rsid w:val="00CB0BB4"/>
    <w:rsid w:val="00CB13E7"/>
    <w:rsid w:val="00CB143B"/>
    <w:rsid w:val="00CB18E2"/>
    <w:rsid w:val="00CB22E1"/>
    <w:rsid w:val="00CB3CB7"/>
    <w:rsid w:val="00CB421D"/>
    <w:rsid w:val="00CB4A96"/>
    <w:rsid w:val="00CB4D4B"/>
    <w:rsid w:val="00CB5362"/>
    <w:rsid w:val="00CB55BC"/>
    <w:rsid w:val="00CB6B35"/>
    <w:rsid w:val="00CC0760"/>
    <w:rsid w:val="00CC098F"/>
    <w:rsid w:val="00CC1A74"/>
    <w:rsid w:val="00CC2A0F"/>
    <w:rsid w:val="00CC3C0C"/>
    <w:rsid w:val="00CC41EE"/>
    <w:rsid w:val="00CC4639"/>
    <w:rsid w:val="00CC4651"/>
    <w:rsid w:val="00CC4FD0"/>
    <w:rsid w:val="00CC5282"/>
    <w:rsid w:val="00CC7A6B"/>
    <w:rsid w:val="00CD086A"/>
    <w:rsid w:val="00CD2A42"/>
    <w:rsid w:val="00CD3120"/>
    <w:rsid w:val="00CD3C7A"/>
    <w:rsid w:val="00CD7063"/>
    <w:rsid w:val="00CD73A9"/>
    <w:rsid w:val="00CD7852"/>
    <w:rsid w:val="00CD7AC0"/>
    <w:rsid w:val="00CE143D"/>
    <w:rsid w:val="00CE205D"/>
    <w:rsid w:val="00CE42D9"/>
    <w:rsid w:val="00CE56B4"/>
    <w:rsid w:val="00CE57F7"/>
    <w:rsid w:val="00CE68DE"/>
    <w:rsid w:val="00CE6D54"/>
    <w:rsid w:val="00CF0588"/>
    <w:rsid w:val="00CF063F"/>
    <w:rsid w:val="00CF06EF"/>
    <w:rsid w:val="00CF0BD0"/>
    <w:rsid w:val="00CF0CC0"/>
    <w:rsid w:val="00CF1B63"/>
    <w:rsid w:val="00CF27CD"/>
    <w:rsid w:val="00CF294A"/>
    <w:rsid w:val="00CF33E4"/>
    <w:rsid w:val="00CF443A"/>
    <w:rsid w:val="00CF4C8F"/>
    <w:rsid w:val="00CF5A27"/>
    <w:rsid w:val="00CF5AD6"/>
    <w:rsid w:val="00CF628C"/>
    <w:rsid w:val="00CF6C40"/>
    <w:rsid w:val="00CF7906"/>
    <w:rsid w:val="00D0066E"/>
    <w:rsid w:val="00D00F46"/>
    <w:rsid w:val="00D019E0"/>
    <w:rsid w:val="00D027F4"/>
    <w:rsid w:val="00D0300F"/>
    <w:rsid w:val="00D03500"/>
    <w:rsid w:val="00D05917"/>
    <w:rsid w:val="00D0660A"/>
    <w:rsid w:val="00D10371"/>
    <w:rsid w:val="00D109A9"/>
    <w:rsid w:val="00D11AA6"/>
    <w:rsid w:val="00D11C7E"/>
    <w:rsid w:val="00D128EC"/>
    <w:rsid w:val="00D12F51"/>
    <w:rsid w:val="00D14814"/>
    <w:rsid w:val="00D16176"/>
    <w:rsid w:val="00D1656E"/>
    <w:rsid w:val="00D1684F"/>
    <w:rsid w:val="00D16A40"/>
    <w:rsid w:val="00D16C18"/>
    <w:rsid w:val="00D17FD5"/>
    <w:rsid w:val="00D22391"/>
    <w:rsid w:val="00D228FC"/>
    <w:rsid w:val="00D23691"/>
    <w:rsid w:val="00D25E3F"/>
    <w:rsid w:val="00D25E5F"/>
    <w:rsid w:val="00D25FF9"/>
    <w:rsid w:val="00D26680"/>
    <w:rsid w:val="00D27804"/>
    <w:rsid w:val="00D316E7"/>
    <w:rsid w:val="00D317A2"/>
    <w:rsid w:val="00D31CC4"/>
    <w:rsid w:val="00D32016"/>
    <w:rsid w:val="00D32AC0"/>
    <w:rsid w:val="00D33096"/>
    <w:rsid w:val="00D342FA"/>
    <w:rsid w:val="00D34970"/>
    <w:rsid w:val="00D3600D"/>
    <w:rsid w:val="00D40519"/>
    <w:rsid w:val="00D41101"/>
    <w:rsid w:val="00D4132B"/>
    <w:rsid w:val="00D41382"/>
    <w:rsid w:val="00D41872"/>
    <w:rsid w:val="00D421AE"/>
    <w:rsid w:val="00D4273C"/>
    <w:rsid w:val="00D44062"/>
    <w:rsid w:val="00D4468E"/>
    <w:rsid w:val="00D44CBB"/>
    <w:rsid w:val="00D45106"/>
    <w:rsid w:val="00D451CB"/>
    <w:rsid w:val="00D45647"/>
    <w:rsid w:val="00D45990"/>
    <w:rsid w:val="00D46526"/>
    <w:rsid w:val="00D46AAF"/>
    <w:rsid w:val="00D46C57"/>
    <w:rsid w:val="00D479AE"/>
    <w:rsid w:val="00D51EE7"/>
    <w:rsid w:val="00D53C89"/>
    <w:rsid w:val="00D53CBD"/>
    <w:rsid w:val="00D554AE"/>
    <w:rsid w:val="00D55E33"/>
    <w:rsid w:val="00D60DD8"/>
    <w:rsid w:val="00D60F4B"/>
    <w:rsid w:val="00D61552"/>
    <w:rsid w:val="00D62672"/>
    <w:rsid w:val="00D62FA7"/>
    <w:rsid w:val="00D63093"/>
    <w:rsid w:val="00D637A3"/>
    <w:rsid w:val="00D63FA5"/>
    <w:rsid w:val="00D650B2"/>
    <w:rsid w:val="00D663DC"/>
    <w:rsid w:val="00D67FF4"/>
    <w:rsid w:val="00D7094F"/>
    <w:rsid w:val="00D712BF"/>
    <w:rsid w:val="00D723C4"/>
    <w:rsid w:val="00D72472"/>
    <w:rsid w:val="00D728CC"/>
    <w:rsid w:val="00D72CDA"/>
    <w:rsid w:val="00D73109"/>
    <w:rsid w:val="00D73CAF"/>
    <w:rsid w:val="00D755A3"/>
    <w:rsid w:val="00D75869"/>
    <w:rsid w:val="00D75AAB"/>
    <w:rsid w:val="00D75BB9"/>
    <w:rsid w:val="00D82145"/>
    <w:rsid w:val="00D829BA"/>
    <w:rsid w:val="00D82BA3"/>
    <w:rsid w:val="00D82BD7"/>
    <w:rsid w:val="00D82CE5"/>
    <w:rsid w:val="00D82D58"/>
    <w:rsid w:val="00D82E66"/>
    <w:rsid w:val="00D83028"/>
    <w:rsid w:val="00D8480D"/>
    <w:rsid w:val="00D84C84"/>
    <w:rsid w:val="00D8508C"/>
    <w:rsid w:val="00D87478"/>
    <w:rsid w:val="00D902FF"/>
    <w:rsid w:val="00D91F4E"/>
    <w:rsid w:val="00D9250D"/>
    <w:rsid w:val="00D92B2C"/>
    <w:rsid w:val="00D94F31"/>
    <w:rsid w:val="00D97767"/>
    <w:rsid w:val="00D97C5B"/>
    <w:rsid w:val="00D97DB6"/>
    <w:rsid w:val="00DA00A7"/>
    <w:rsid w:val="00DA0A97"/>
    <w:rsid w:val="00DA0C41"/>
    <w:rsid w:val="00DA1AE0"/>
    <w:rsid w:val="00DA3998"/>
    <w:rsid w:val="00DA3EB2"/>
    <w:rsid w:val="00DA3F37"/>
    <w:rsid w:val="00DA42D2"/>
    <w:rsid w:val="00DA50DF"/>
    <w:rsid w:val="00DA5F9B"/>
    <w:rsid w:val="00DA655C"/>
    <w:rsid w:val="00DA725D"/>
    <w:rsid w:val="00DA75DD"/>
    <w:rsid w:val="00DB050A"/>
    <w:rsid w:val="00DB23A1"/>
    <w:rsid w:val="00DB3B54"/>
    <w:rsid w:val="00DB4FBD"/>
    <w:rsid w:val="00DB57DB"/>
    <w:rsid w:val="00DB5CA8"/>
    <w:rsid w:val="00DB6419"/>
    <w:rsid w:val="00DB79BE"/>
    <w:rsid w:val="00DB7C48"/>
    <w:rsid w:val="00DC0783"/>
    <w:rsid w:val="00DC0CBF"/>
    <w:rsid w:val="00DC0F76"/>
    <w:rsid w:val="00DC1087"/>
    <w:rsid w:val="00DC20AE"/>
    <w:rsid w:val="00DC37C5"/>
    <w:rsid w:val="00DC39DA"/>
    <w:rsid w:val="00DC3CD2"/>
    <w:rsid w:val="00DC42A0"/>
    <w:rsid w:val="00DC4A6A"/>
    <w:rsid w:val="00DC51B6"/>
    <w:rsid w:val="00DC57A0"/>
    <w:rsid w:val="00DC628F"/>
    <w:rsid w:val="00DC6AFD"/>
    <w:rsid w:val="00DC6BCD"/>
    <w:rsid w:val="00DC7758"/>
    <w:rsid w:val="00DC7F8B"/>
    <w:rsid w:val="00DD049C"/>
    <w:rsid w:val="00DD0FD1"/>
    <w:rsid w:val="00DD129F"/>
    <w:rsid w:val="00DD2026"/>
    <w:rsid w:val="00DD2594"/>
    <w:rsid w:val="00DD2A14"/>
    <w:rsid w:val="00DD41A8"/>
    <w:rsid w:val="00DD473A"/>
    <w:rsid w:val="00DD5639"/>
    <w:rsid w:val="00DD699C"/>
    <w:rsid w:val="00DD7428"/>
    <w:rsid w:val="00DD7933"/>
    <w:rsid w:val="00DE0674"/>
    <w:rsid w:val="00DE0938"/>
    <w:rsid w:val="00DE1645"/>
    <w:rsid w:val="00DE30DE"/>
    <w:rsid w:val="00DE3124"/>
    <w:rsid w:val="00DE430B"/>
    <w:rsid w:val="00DE4FCA"/>
    <w:rsid w:val="00DE58CA"/>
    <w:rsid w:val="00DE6C26"/>
    <w:rsid w:val="00DE7055"/>
    <w:rsid w:val="00DE76F5"/>
    <w:rsid w:val="00DE775C"/>
    <w:rsid w:val="00DE7F0C"/>
    <w:rsid w:val="00DF24BC"/>
    <w:rsid w:val="00DF2D5D"/>
    <w:rsid w:val="00DF2E25"/>
    <w:rsid w:val="00DF3A35"/>
    <w:rsid w:val="00DF3EDE"/>
    <w:rsid w:val="00DF62A9"/>
    <w:rsid w:val="00E001C9"/>
    <w:rsid w:val="00E00605"/>
    <w:rsid w:val="00E006AA"/>
    <w:rsid w:val="00E00725"/>
    <w:rsid w:val="00E027F6"/>
    <w:rsid w:val="00E04BEC"/>
    <w:rsid w:val="00E04E76"/>
    <w:rsid w:val="00E05486"/>
    <w:rsid w:val="00E10B62"/>
    <w:rsid w:val="00E12CA7"/>
    <w:rsid w:val="00E13927"/>
    <w:rsid w:val="00E14BA1"/>
    <w:rsid w:val="00E1537C"/>
    <w:rsid w:val="00E1587A"/>
    <w:rsid w:val="00E15E34"/>
    <w:rsid w:val="00E1675F"/>
    <w:rsid w:val="00E22845"/>
    <w:rsid w:val="00E22ED7"/>
    <w:rsid w:val="00E23B99"/>
    <w:rsid w:val="00E2405F"/>
    <w:rsid w:val="00E2435E"/>
    <w:rsid w:val="00E24FF3"/>
    <w:rsid w:val="00E30FC5"/>
    <w:rsid w:val="00E319BA"/>
    <w:rsid w:val="00E3342B"/>
    <w:rsid w:val="00E3456C"/>
    <w:rsid w:val="00E34EAC"/>
    <w:rsid w:val="00E3621D"/>
    <w:rsid w:val="00E3653C"/>
    <w:rsid w:val="00E36915"/>
    <w:rsid w:val="00E36FF7"/>
    <w:rsid w:val="00E37372"/>
    <w:rsid w:val="00E404D3"/>
    <w:rsid w:val="00E41056"/>
    <w:rsid w:val="00E411DC"/>
    <w:rsid w:val="00E42875"/>
    <w:rsid w:val="00E44164"/>
    <w:rsid w:val="00E44BDA"/>
    <w:rsid w:val="00E44DDE"/>
    <w:rsid w:val="00E46405"/>
    <w:rsid w:val="00E4691D"/>
    <w:rsid w:val="00E46AB4"/>
    <w:rsid w:val="00E475BC"/>
    <w:rsid w:val="00E47D86"/>
    <w:rsid w:val="00E50087"/>
    <w:rsid w:val="00E51D05"/>
    <w:rsid w:val="00E520E4"/>
    <w:rsid w:val="00E521BA"/>
    <w:rsid w:val="00E52218"/>
    <w:rsid w:val="00E52BCA"/>
    <w:rsid w:val="00E55324"/>
    <w:rsid w:val="00E55770"/>
    <w:rsid w:val="00E55AA6"/>
    <w:rsid w:val="00E5618C"/>
    <w:rsid w:val="00E601D7"/>
    <w:rsid w:val="00E603B3"/>
    <w:rsid w:val="00E60455"/>
    <w:rsid w:val="00E61435"/>
    <w:rsid w:val="00E61E87"/>
    <w:rsid w:val="00E62346"/>
    <w:rsid w:val="00E65638"/>
    <w:rsid w:val="00E65661"/>
    <w:rsid w:val="00E66DBC"/>
    <w:rsid w:val="00E6751C"/>
    <w:rsid w:val="00E67B80"/>
    <w:rsid w:val="00E67DF4"/>
    <w:rsid w:val="00E7048E"/>
    <w:rsid w:val="00E71D5B"/>
    <w:rsid w:val="00E72A31"/>
    <w:rsid w:val="00E74389"/>
    <w:rsid w:val="00E746E8"/>
    <w:rsid w:val="00E74D5D"/>
    <w:rsid w:val="00E751FC"/>
    <w:rsid w:val="00E75B3D"/>
    <w:rsid w:val="00E772F5"/>
    <w:rsid w:val="00E77557"/>
    <w:rsid w:val="00E8055F"/>
    <w:rsid w:val="00E80A97"/>
    <w:rsid w:val="00E81367"/>
    <w:rsid w:val="00E81AA2"/>
    <w:rsid w:val="00E84031"/>
    <w:rsid w:val="00E86D19"/>
    <w:rsid w:val="00E87271"/>
    <w:rsid w:val="00E87E55"/>
    <w:rsid w:val="00E902D0"/>
    <w:rsid w:val="00E9099C"/>
    <w:rsid w:val="00E9112A"/>
    <w:rsid w:val="00E915BA"/>
    <w:rsid w:val="00E91F69"/>
    <w:rsid w:val="00E9217B"/>
    <w:rsid w:val="00E92A22"/>
    <w:rsid w:val="00E93471"/>
    <w:rsid w:val="00E93B26"/>
    <w:rsid w:val="00E94FB3"/>
    <w:rsid w:val="00E966DE"/>
    <w:rsid w:val="00E967CE"/>
    <w:rsid w:val="00E9751D"/>
    <w:rsid w:val="00E97E4D"/>
    <w:rsid w:val="00EA0083"/>
    <w:rsid w:val="00EA0C59"/>
    <w:rsid w:val="00EA0D40"/>
    <w:rsid w:val="00EA1FD5"/>
    <w:rsid w:val="00EA2B9D"/>
    <w:rsid w:val="00EA4213"/>
    <w:rsid w:val="00EA50C3"/>
    <w:rsid w:val="00EA6B0E"/>
    <w:rsid w:val="00EA75D7"/>
    <w:rsid w:val="00EB0C2B"/>
    <w:rsid w:val="00EB133C"/>
    <w:rsid w:val="00EB1FB4"/>
    <w:rsid w:val="00EB221D"/>
    <w:rsid w:val="00EB24AF"/>
    <w:rsid w:val="00EB2CAC"/>
    <w:rsid w:val="00EB2ED7"/>
    <w:rsid w:val="00EB3037"/>
    <w:rsid w:val="00EB3950"/>
    <w:rsid w:val="00EB3A50"/>
    <w:rsid w:val="00EB4746"/>
    <w:rsid w:val="00EB4B5F"/>
    <w:rsid w:val="00EC0703"/>
    <w:rsid w:val="00EC08C5"/>
    <w:rsid w:val="00EC1A3B"/>
    <w:rsid w:val="00EC306B"/>
    <w:rsid w:val="00EC35D2"/>
    <w:rsid w:val="00EC4115"/>
    <w:rsid w:val="00EC4708"/>
    <w:rsid w:val="00EC49AC"/>
    <w:rsid w:val="00EC4DD2"/>
    <w:rsid w:val="00EC7B31"/>
    <w:rsid w:val="00EC7D1B"/>
    <w:rsid w:val="00ED0E6C"/>
    <w:rsid w:val="00ED0EAA"/>
    <w:rsid w:val="00ED325B"/>
    <w:rsid w:val="00ED3989"/>
    <w:rsid w:val="00ED450B"/>
    <w:rsid w:val="00ED4721"/>
    <w:rsid w:val="00ED553A"/>
    <w:rsid w:val="00ED5C29"/>
    <w:rsid w:val="00ED62AF"/>
    <w:rsid w:val="00ED6D5D"/>
    <w:rsid w:val="00ED6DC6"/>
    <w:rsid w:val="00ED7E8D"/>
    <w:rsid w:val="00EE0777"/>
    <w:rsid w:val="00EE09DD"/>
    <w:rsid w:val="00EE10D8"/>
    <w:rsid w:val="00EE247C"/>
    <w:rsid w:val="00EE32E1"/>
    <w:rsid w:val="00EE35DC"/>
    <w:rsid w:val="00EE47F4"/>
    <w:rsid w:val="00EE50FA"/>
    <w:rsid w:val="00EE52FC"/>
    <w:rsid w:val="00EE5613"/>
    <w:rsid w:val="00EE73DE"/>
    <w:rsid w:val="00EE7716"/>
    <w:rsid w:val="00EF0C89"/>
    <w:rsid w:val="00EF1399"/>
    <w:rsid w:val="00EF1477"/>
    <w:rsid w:val="00EF1E74"/>
    <w:rsid w:val="00EF372E"/>
    <w:rsid w:val="00EF3BCB"/>
    <w:rsid w:val="00EF3E71"/>
    <w:rsid w:val="00EF4785"/>
    <w:rsid w:val="00EF4EC2"/>
    <w:rsid w:val="00EF6761"/>
    <w:rsid w:val="00EF727E"/>
    <w:rsid w:val="00F0053D"/>
    <w:rsid w:val="00F013F0"/>
    <w:rsid w:val="00F02C37"/>
    <w:rsid w:val="00F03057"/>
    <w:rsid w:val="00F063CE"/>
    <w:rsid w:val="00F07169"/>
    <w:rsid w:val="00F07AB3"/>
    <w:rsid w:val="00F10306"/>
    <w:rsid w:val="00F103E6"/>
    <w:rsid w:val="00F13376"/>
    <w:rsid w:val="00F14429"/>
    <w:rsid w:val="00F14C74"/>
    <w:rsid w:val="00F1754A"/>
    <w:rsid w:val="00F17A26"/>
    <w:rsid w:val="00F17A7F"/>
    <w:rsid w:val="00F20844"/>
    <w:rsid w:val="00F227B4"/>
    <w:rsid w:val="00F23A06"/>
    <w:rsid w:val="00F24E71"/>
    <w:rsid w:val="00F25205"/>
    <w:rsid w:val="00F25B20"/>
    <w:rsid w:val="00F26541"/>
    <w:rsid w:val="00F26B95"/>
    <w:rsid w:val="00F27219"/>
    <w:rsid w:val="00F27FC6"/>
    <w:rsid w:val="00F301D6"/>
    <w:rsid w:val="00F315EB"/>
    <w:rsid w:val="00F31646"/>
    <w:rsid w:val="00F3294C"/>
    <w:rsid w:val="00F329B7"/>
    <w:rsid w:val="00F33099"/>
    <w:rsid w:val="00F34336"/>
    <w:rsid w:val="00F34EA5"/>
    <w:rsid w:val="00F35931"/>
    <w:rsid w:val="00F365B6"/>
    <w:rsid w:val="00F367D4"/>
    <w:rsid w:val="00F36BE0"/>
    <w:rsid w:val="00F37A5E"/>
    <w:rsid w:val="00F37AB8"/>
    <w:rsid w:val="00F403AF"/>
    <w:rsid w:val="00F41ABE"/>
    <w:rsid w:val="00F41D2F"/>
    <w:rsid w:val="00F423BF"/>
    <w:rsid w:val="00F43C08"/>
    <w:rsid w:val="00F46CC5"/>
    <w:rsid w:val="00F5144A"/>
    <w:rsid w:val="00F51AAF"/>
    <w:rsid w:val="00F51DF5"/>
    <w:rsid w:val="00F549D0"/>
    <w:rsid w:val="00F54EA0"/>
    <w:rsid w:val="00F559E5"/>
    <w:rsid w:val="00F55CBB"/>
    <w:rsid w:val="00F56409"/>
    <w:rsid w:val="00F565E6"/>
    <w:rsid w:val="00F57D76"/>
    <w:rsid w:val="00F57F7A"/>
    <w:rsid w:val="00F60A13"/>
    <w:rsid w:val="00F60FB7"/>
    <w:rsid w:val="00F61824"/>
    <w:rsid w:val="00F62071"/>
    <w:rsid w:val="00F6221C"/>
    <w:rsid w:val="00F6323B"/>
    <w:rsid w:val="00F637BC"/>
    <w:rsid w:val="00F638E3"/>
    <w:rsid w:val="00F65DCA"/>
    <w:rsid w:val="00F674E2"/>
    <w:rsid w:val="00F67B11"/>
    <w:rsid w:val="00F67FAC"/>
    <w:rsid w:val="00F70DD4"/>
    <w:rsid w:val="00F71C77"/>
    <w:rsid w:val="00F7267D"/>
    <w:rsid w:val="00F737F9"/>
    <w:rsid w:val="00F7396D"/>
    <w:rsid w:val="00F74F3B"/>
    <w:rsid w:val="00F7600A"/>
    <w:rsid w:val="00F8181C"/>
    <w:rsid w:val="00F81873"/>
    <w:rsid w:val="00F81BBB"/>
    <w:rsid w:val="00F82FCF"/>
    <w:rsid w:val="00F83409"/>
    <w:rsid w:val="00F855EC"/>
    <w:rsid w:val="00F856C9"/>
    <w:rsid w:val="00F857C5"/>
    <w:rsid w:val="00F85F29"/>
    <w:rsid w:val="00F86319"/>
    <w:rsid w:val="00F86FCF"/>
    <w:rsid w:val="00F878DE"/>
    <w:rsid w:val="00F8798E"/>
    <w:rsid w:val="00F87B74"/>
    <w:rsid w:val="00F906B8"/>
    <w:rsid w:val="00F917D5"/>
    <w:rsid w:val="00F9400C"/>
    <w:rsid w:val="00F94AD2"/>
    <w:rsid w:val="00F96227"/>
    <w:rsid w:val="00F962F2"/>
    <w:rsid w:val="00FA0456"/>
    <w:rsid w:val="00FA0893"/>
    <w:rsid w:val="00FA0AE9"/>
    <w:rsid w:val="00FA20E8"/>
    <w:rsid w:val="00FA2156"/>
    <w:rsid w:val="00FA2621"/>
    <w:rsid w:val="00FA2E15"/>
    <w:rsid w:val="00FA338B"/>
    <w:rsid w:val="00FA3B24"/>
    <w:rsid w:val="00FA4268"/>
    <w:rsid w:val="00FA493F"/>
    <w:rsid w:val="00FA4E4D"/>
    <w:rsid w:val="00FA7F64"/>
    <w:rsid w:val="00FB0BCC"/>
    <w:rsid w:val="00FB16A2"/>
    <w:rsid w:val="00FB176D"/>
    <w:rsid w:val="00FB2112"/>
    <w:rsid w:val="00FB21D9"/>
    <w:rsid w:val="00FB25D9"/>
    <w:rsid w:val="00FB322C"/>
    <w:rsid w:val="00FB5A24"/>
    <w:rsid w:val="00FB70D1"/>
    <w:rsid w:val="00FB76DF"/>
    <w:rsid w:val="00FB7CF2"/>
    <w:rsid w:val="00FC0148"/>
    <w:rsid w:val="00FC0ED4"/>
    <w:rsid w:val="00FC198A"/>
    <w:rsid w:val="00FC231B"/>
    <w:rsid w:val="00FC291A"/>
    <w:rsid w:val="00FC2D7D"/>
    <w:rsid w:val="00FC33FF"/>
    <w:rsid w:val="00FC3A91"/>
    <w:rsid w:val="00FC4151"/>
    <w:rsid w:val="00FC4BB7"/>
    <w:rsid w:val="00FC5163"/>
    <w:rsid w:val="00FC516F"/>
    <w:rsid w:val="00FC6137"/>
    <w:rsid w:val="00FC6D07"/>
    <w:rsid w:val="00FC70EF"/>
    <w:rsid w:val="00FC7EC7"/>
    <w:rsid w:val="00FD104B"/>
    <w:rsid w:val="00FD12BE"/>
    <w:rsid w:val="00FD17C7"/>
    <w:rsid w:val="00FD1BA7"/>
    <w:rsid w:val="00FD1BC7"/>
    <w:rsid w:val="00FD1FC2"/>
    <w:rsid w:val="00FD20E5"/>
    <w:rsid w:val="00FD5266"/>
    <w:rsid w:val="00FD5624"/>
    <w:rsid w:val="00FD5A33"/>
    <w:rsid w:val="00FD5CB9"/>
    <w:rsid w:val="00FD68ED"/>
    <w:rsid w:val="00FD741C"/>
    <w:rsid w:val="00FD7E32"/>
    <w:rsid w:val="00FE012F"/>
    <w:rsid w:val="00FE06D0"/>
    <w:rsid w:val="00FE2353"/>
    <w:rsid w:val="00FE3318"/>
    <w:rsid w:val="00FE35C9"/>
    <w:rsid w:val="00FE377D"/>
    <w:rsid w:val="00FE3985"/>
    <w:rsid w:val="00FE4ADF"/>
    <w:rsid w:val="00FE4B0D"/>
    <w:rsid w:val="00FE4C7B"/>
    <w:rsid w:val="00FE6D3D"/>
    <w:rsid w:val="00FF11D4"/>
    <w:rsid w:val="00FF15A1"/>
    <w:rsid w:val="00FF17EF"/>
    <w:rsid w:val="00FF1CE2"/>
    <w:rsid w:val="00FF5DDA"/>
    <w:rsid w:val="00FF61D7"/>
    <w:rsid w:val="00FF728E"/>
    <w:rsid w:val="00FF72E9"/>
    <w:rsid w:val="00FF77D6"/>
    <w:rsid w:val="00FF7C5D"/>
    <w:rsid w:val="00FF7DD6"/>
    <w:rsid w:val="012361DD"/>
    <w:rsid w:val="017B6DB9"/>
    <w:rsid w:val="0183728A"/>
    <w:rsid w:val="01AF3970"/>
    <w:rsid w:val="02B47C26"/>
    <w:rsid w:val="02EB059A"/>
    <w:rsid w:val="03B145D9"/>
    <w:rsid w:val="0583493C"/>
    <w:rsid w:val="06B20981"/>
    <w:rsid w:val="07807DCB"/>
    <w:rsid w:val="080D1661"/>
    <w:rsid w:val="083543ED"/>
    <w:rsid w:val="08DA148C"/>
    <w:rsid w:val="08E802D2"/>
    <w:rsid w:val="09C27326"/>
    <w:rsid w:val="0B202285"/>
    <w:rsid w:val="0B5E6A77"/>
    <w:rsid w:val="0B731E29"/>
    <w:rsid w:val="0B9C051D"/>
    <w:rsid w:val="0BCA2105"/>
    <w:rsid w:val="0BF4293B"/>
    <w:rsid w:val="0C630C35"/>
    <w:rsid w:val="0C6F6B7E"/>
    <w:rsid w:val="0E846345"/>
    <w:rsid w:val="0EA57D9D"/>
    <w:rsid w:val="0F1F345E"/>
    <w:rsid w:val="0F2F1EE7"/>
    <w:rsid w:val="0FF93A64"/>
    <w:rsid w:val="102C2C95"/>
    <w:rsid w:val="104B57F6"/>
    <w:rsid w:val="10591E51"/>
    <w:rsid w:val="13270D7A"/>
    <w:rsid w:val="13FE3F0D"/>
    <w:rsid w:val="14171DD9"/>
    <w:rsid w:val="14B8240A"/>
    <w:rsid w:val="1586697C"/>
    <w:rsid w:val="15962C39"/>
    <w:rsid w:val="15D73AA7"/>
    <w:rsid w:val="15E7755B"/>
    <w:rsid w:val="16474AC4"/>
    <w:rsid w:val="16F81844"/>
    <w:rsid w:val="17312975"/>
    <w:rsid w:val="17675372"/>
    <w:rsid w:val="188211B8"/>
    <w:rsid w:val="18B60A64"/>
    <w:rsid w:val="1B03227C"/>
    <w:rsid w:val="1B9D4770"/>
    <w:rsid w:val="1C324CE8"/>
    <w:rsid w:val="1C94076A"/>
    <w:rsid w:val="1CD33A18"/>
    <w:rsid w:val="1D284ED5"/>
    <w:rsid w:val="1DB530CD"/>
    <w:rsid w:val="1DB57D51"/>
    <w:rsid w:val="1EC00342"/>
    <w:rsid w:val="1F073753"/>
    <w:rsid w:val="1F1B6B0E"/>
    <w:rsid w:val="1F5A44D3"/>
    <w:rsid w:val="1F842B4A"/>
    <w:rsid w:val="1FA70E24"/>
    <w:rsid w:val="1FD82CB9"/>
    <w:rsid w:val="203B6DDA"/>
    <w:rsid w:val="20434919"/>
    <w:rsid w:val="21885977"/>
    <w:rsid w:val="223A48A7"/>
    <w:rsid w:val="225018ED"/>
    <w:rsid w:val="22636F23"/>
    <w:rsid w:val="22EF57B8"/>
    <w:rsid w:val="23AB4C96"/>
    <w:rsid w:val="240011A8"/>
    <w:rsid w:val="24886591"/>
    <w:rsid w:val="249F5C57"/>
    <w:rsid w:val="24AB351D"/>
    <w:rsid w:val="265348F8"/>
    <w:rsid w:val="27633743"/>
    <w:rsid w:val="2770276B"/>
    <w:rsid w:val="2806685D"/>
    <w:rsid w:val="28BC0562"/>
    <w:rsid w:val="28D22379"/>
    <w:rsid w:val="28E549F9"/>
    <w:rsid w:val="294E09BD"/>
    <w:rsid w:val="297E2588"/>
    <w:rsid w:val="29996205"/>
    <w:rsid w:val="29B318DA"/>
    <w:rsid w:val="2A542C73"/>
    <w:rsid w:val="2C0D2A26"/>
    <w:rsid w:val="2C323728"/>
    <w:rsid w:val="2C6C360E"/>
    <w:rsid w:val="2C6D3BA4"/>
    <w:rsid w:val="2EB010E7"/>
    <w:rsid w:val="2FEA5608"/>
    <w:rsid w:val="30165FB8"/>
    <w:rsid w:val="30403669"/>
    <w:rsid w:val="31117D46"/>
    <w:rsid w:val="319D17E8"/>
    <w:rsid w:val="31C01B29"/>
    <w:rsid w:val="32E81AE2"/>
    <w:rsid w:val="338548EB"/>
    <w:rsid w:val="340044B7"/>
    <w:rsid w:val="34A97254"/>
    <w:rsid w:val="34E33D42"/>
    <w:rsid w:val="35BA1E0A"/>
    <w:rsid w:val="35C17A5C"/>
    <w:rsid w:val="35F37B96"/>
    <w:rsid w:val="367D7CF8"/>
    <w:rsid w:val="377C0158"/>
    <w:rsid w:val="37FF2351"/>
    <w:rsid w:val="381A6E3E"/>
    <w:rsid w:val="38305335"/>
    <w:rsid w:val="383C3F31"/>
    <w:rsid w:val="385E08EE"/>
    <w:rsid w:val="3898524E"/>
    <w:rsid w:val="38F03150"/>
    <w:rsid w:val="38FC37AB"/>
    <w:rsid w:val="3A06555F"/>
    <w:rsid w:val="3A1D7B8F"/>
    <w:rsid w:val="3AE36125"/>
    <w:rsid w:val="3B631393"/>
    <w:rsid w:val="3BF10464"/>
    <w:rsid w:val="3C605663"/>
    <w:rsid w:val="3C897023"/>
    <w:rsid w:val="3CC102F2"/>
    <w:rsid w:val="3CE22C20"/>
    <w:rsid w:val="3CE66465"/>
    <w:rsid w:val="3D0972D3"/>
    <w:rsid w:val="3D205459"/>
    <w:rsid w:val="3E0C4446"/>
    <w:rsid w:val="3EDA5F0C"/>
    <w:rsid w:val="3EF76778"/>
    <w:rsid w:val="3F0548A9"/>
    <w:rsid w:val="3F06779A"/>
    <w:rsid w:val="3FCF04B9"/>
    <w:rsid w:val="405A62C6"/>
    <w:rsid w:val="40606EEE"/>
    <w:rsid w:val="40AE7F6B"/>
    <w:rsid w:val="410B50B6"/>
    <w:rsid w:val="415B21D7"/>
    <w:rsid w:val="416B55ED"/>
    <w:rsid w:val="41DF3383"/>
    <w:rsid w:val="428B3825"/>
    <w:rsid w:val="44690E93"/>
    <w:rsid w:val="44BD390C"/>
    <w:rsid w:val="45C12702"/>
    <w:rsid w:val="46AE79C0"/>
    <w:rsid w:val="46BE4E9C"/>
    <w:rsid w:val="46C676A9"/>
    <w:rsid w:val="47502EBE"/>
    <w:rsid w:val="478E27A0"/>
    <w:rsid w:val="47A81063"/>
    <w:rsid w:val="47DD411D"/>
    <w:rsid w:val="47F06EA8"/>
    <w:rsid w:val="47F47F0C"/>
    <w:rsid w:val="48DB1043"/>
    <w:rsid w:val="48E85838"/>
    <w:rsid w:val="496F7939"/>
    <w:rsid w:val="4A811FCE"/>
    <w:rsid w:val="4B373458"/>
    <w:rsid w:val="4C007DDF"/>
    <w:rsid w:val="4C8727CD"/>
    <w:rsid w:val="4DC31E77"/>
    <w:rsid w:val="4E4F32F1"/>
    <w:rsid w:val="4E5D34B3"/>
    <w:rsid w:val="4E9871B7"/>
    <w:rsid w:val="4EF72B80"/>
    <w:rsid w:val="4F400272"/>
    <w:rsid w:val="4FCE78D8"/>
    <w:rsid w:val="50247C89"/>
    <w:rsid w:val="509F4F62"/>
    <w:rsid w:val="50DC7D89"/>
    <w:rsid w:val="513D1FD8"/>
    <w:rsid w:val="528047C0"/>
    <w:rsid w:val="529533F6"/>
    <w:rsid w:val="52E4158F"/>
    <w:rsid w:val="53DD5B46"/>
    <w:rsid w:val="540F4EC5"/>
    <w:rsid w:val="555E156D"/>
    <w:rsid w:val="555F3530"/>
    <w:rsid w:val="55825BC4"/>
    <w:rsid w:val="5613791A"/>
    <w:rsid w:val="578611F9"/>
    <w:rsid w:val="58BA09AC"/>
    <w:rsid w:val="591E7B02"/>
    <w:rsid w:val="5982133D"/>
    <w:rsid w:val="5A48400F"/>
    <w:rsid w:val="5AB6758B"/>
    <w:rsid w:val="5B0A34BA"/>
    <w:rsid w:val="5B9C1C21"/>
    <w:rsid w:val="5D8A60BB"/>
    <w:rsid w:val="5E1A5640"/>
    <w:rsid w:val="5E1D3E5F"/>
    <w:rsid w:val="5E205C2E"/>
    <w:rsid w:val="5EC63CEB"/>
    <w:rsid w:val="5F9D3789"/>
    <w:rsid w:val="606C1FF5"/>
    <w:rsid w:val="60D256B6"/>
    <w:rsid w:val="614B5F2B"/>
    <w:rsid w:val="62731140"/>
    <w:rsid w:val="6274333C"/>
    <w:rsid w:val="62D92A7E"/>
    <w:rsid w:val="62E346B3"/>
    <w:rsid w:val="64153695"/>
    <w:rsid w:val="648563F3"/>
    <w:rsid w:val="657407E6"/>
    <w:rsid w:val="658713A2"/>
    <w:rsid w:val="6590660A"/>
    <w:rsid w:val="665405AB"/>
    <w:rsid w:val="67195A4F"/>
    <w:rsid w:val="676A07A8"/>
    <w:rsid w:val="6822376D"/>
    <w:rsid w:val="684B5EB5"/>
    <w:rsid w:val="689B3A7C"/>
    <w:rsid w:val="68FC2F8C"/>
    <w:rsid w:val="69232B16"/>
    <w:rsid w:val="693B7B85"/>
    <w:rsid w:val="69E31E28"/>
    <w:rsid w:val="69E77593"/>
    <w:rsid w:val="6A155B2D"/>
    <w:rsid w:val="6B781782"/>
    <w:rsid w:val="6B8C3DBA"/>
    <w:rsid w:val="6BB449F3"/>
    <w:rsid w:val="6C1E49EC"/>
    <w:rsid w:val="6CD4677A"/>
    <w:rsid w:val="6E4E4533"/>
    <w:rsid w:val="6EDB0D34"/>
    <w:rsid w:val="6EE71097"/>
    <w:rsid w:val="6F3157B3"/>
    <w:rsid w:val="6F82376F"/>
    <w:rsid w:val="70DD5A96"/>
    <w:rsid w:val="70FA71EB"/>
    <w:rsid w:val="73356185"/>
    <w:rsid w:val="74DA4930"/>
    <w:rsid w:val="74DE2A20"/>
    <w:rsid w:val="75704EFD"/>
    <w:rsid w:val="75FC541C"/>
    <w:rsid w:val="76A06152"/>
    <w:rsid w:val="77402CCA"/>
    <w:rsid w:val="775B7A80"/>
    <w:rsid w:val="776F2CF2"/>
    <w:rsid w:val="777210B7"/>
    <w:rsid w:val="77A23731"/>
    <w:rsid w:val="77E376B7"/>
    <w:rsid w:val="782F143B"/>
    <w:rsid w:val="789D423F"/>
    <w:rsid w:val="79B4309E"/>
    <w:rsid w:val="7A204963"/>
    <w:rsid w:val="7A265A80"/>
    <w:rsid w:val="7B4B55AD"/>
    <w:rsid w:val="7BED6710"/>
    <w:rsid w:val="7C043E17"/>
    <w:rsid w:val="7C411F4D"/>
    <w:rsid w:val="7C4568F8"/>
    <w:rsid w:val="7C81786D"/>
    <w:rsid w:val="7C985AF7"/>
    <w:rsid w:val="7CB70D04"/>
    <w:rsid w:val="7D03434D"/>
    <w:rsid w:val="7DC359F2"/>
    <w:rsid w:val="7E5400AB"/>
    <w:rsid w:val="7E706B92"/>
    <w:rsid w:val="7E874D96"/>
    <w:rsid w:val="7F7D408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weight="2.25pt" color="#0070C0" endarrow="block"/>
    </o:shapedefaults>
    <o:shapelayout v:ext="edit">
      <o:idmap v:ext="edit" data="1,3,4,5,6,7,8"/>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Calibri" w:hAnsi="Calibri" w:eastAsia="Calibri"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qFormat="1" w:unhideWhenUsed="0"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qFormat="1" w:unhideWhenUsed="0" w:uiPriority="39" w:semiHidden="0" w:name="toc 4"/>
    <w:lsdException w:qFormat="1" w:unhideWhenUsed="0" w:uiPriority="39" w:semiHidden="0" w:name="toc 5"/>
    <w:lsdException w:qFormat="1" w:unhideWhenUsed="0" w:uiPriority="39" w:semiHidden="0" w:name="toc 6"/>
    <w:lsdException w:qFormat="1" w:unhideWhenUsed="0" w:uiPriority="39" w:semiHidden="0" w:name="toc 7"/>
    <w:lsdException w:qFormat="1" w:unhideWhenUsed="0" w:uiPriority="39" w:semiHidden="0" w:name="toc 8"/>
    <w:lsdException w:qFormat="1" w:unhideWhenUsed="0" w:uiPriority="39" w:semiHidden="0" w:name="toc 9"/>
    <w:lsdException w:qFormat="1" w:unhideWhenUsed="0" w:uiPriority="0" w:semiHidden="0" w:name="Normal Indent"/>
    <w:lsdException w:uiPriority="0" w:name="footnote text"/>
    <w:lsdException w:qFormat="1" w:uiPriority="99" w:semiHidden="0" w:name="annotation text"/>
    <w:lsdException w:qFormat="1" w:unhideWhenUsed="0" w:uiPriority="0" w:semiHidden="0" w:name="header"/>
    <w:lsdException w:qFormat="1" w:unhideWhenUsed="0" w:uiPriority="0" w:semiHidden="0" w:name="footer"/>
    <w:lsdException w:uiPriority="0" w:name="index heading"/>
    <w:lsdException w:qFormat="1" w:unhideWhenUsed="0" w:uiPriority="0" w:semiHidden="0" w:name="caption"/>
    <w:lsdException w:qFormat="1" w:unhideWhenUsed="0" w:uiPriority="0" w:name="table of figures"/>
    <w:lsdException w:uiPriority="0" w:name="envelope address"/>
    <w:lsdException w:uiPriority="0" w:name="envelope return"/>
    <w:lsdException w:uiPriority="0" w:name="footnote reference"/>
    <w:lsdException w:qFormat="1" w:unhideWhenUsed="0" w:uiPriority="0" w:semiHidden="0" w:name="annotation reference"/>
    <w:lsdException w:uiPriority="0" w:name="line number"/>
    <w:lsdException w:qFormat="1" w:unhideWhenUsed="0" w:uiPriority="0" w:semiHidden="0" w:name="page number"/>
    <w:lsdException w:uiPriority="0" w:name="endnote reference"/>
    <w:lsdException w:qFormat="1" w:uiPriority="99" w:semiHidden="0" w:name="endnote text"/>
    <w:lsdException w:uiPriority="0" w:name="table of authorities"/>
    <w:lsdException w:uiPriority="0" w:name="macro"/>
    <w:lsdException w:uiPriority="0" w:name="toa heading"/>
    <w:lsdException w:qFormat="1" w:unhideWhenUsed="0" w:uiPriority="0" w:semiHidden="0" w:name="List"/>
    <w:lsdException w:uiPriority="0" w:name="List Bullet"/>
    <w:lsdException w:uiPriority="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qFormat="1" w:unhideWhenUsed="0" w:uiPriority="0" w:semiHidden="0" w:name="Body Text"/>
    <w:lsdException w:qFormat="1" w:unhideWhenUsed="0" w:uiPriority="0" w:semiHidden="0" w:name="Body Text Indent"/>
    <w:lsdException w:uiPriority="0" w:name="List Continue"/>
    <w:lsdException w:uiPriority="0" w:name="List Continue 2"/>
    <w:lsdException w:uiPriority="0" w:name="List Continue 3"/>
    <w:lsdException w:uiPriority="0" w:name="List Continue 4"/>
    <w:lsdException w:uiPriority="0" w:name="List Continue 5"/>
    <w:lsdException w:uiPriority="0" w:name="Message Header"/>
    <w:lsdException w:qFormat="1" w:unhideWhenUsed="0" w:uiPriority="0" w:semiHidden="0" w:name="Subtitle"/>
    <w:lsdException w:uiPriority="0" w:name="Salutation"/>
    <w:lsdException w:qFormat="1" w:unhideWhenUsed="0" w:uiPriority="0" w:semiHidden="0" w:name="Date"/>
    <w:lsdException w:uiPriority="0" w:name="Body Text First Indent"/>
    <w:lsdException w:uiPriority="0" w:name="Body Text First Indent 2"/>
    <w:lsdException w:uiPriority="0" w:name="Note Heading"/>
    <w:lsdException w:qFormat="1" w:unhideWhenUsed="0" w:uiPriority="0" w:semiHidden="0" w:name="Body Text 2"/>
    <w:lsdException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nhideWhenUsed="0" w:uiPriority="99" w:semiHidden="0" w:name="Hyperlink"/>
    <w:lsdException w:uiPriority="0" w:name="FollowedHyperlink"/>
    <w:lsdException w:qFormat="1" w:unhideWhenUsed="0" w:uiPriority="22" w:semiHidden="0" w:name="Strong"/>
    <w:lsdException w:qFormat="1" w:unhideWhenUsed="0" w:uiPriority="0" w:semiHidden="0" w:name="Emphasis"/>
    <w:lsdException w:qFormat="1" w:uiPriority="0" w:name="Document Map"/>
    <w:lsdException w:qFormat="1" w:unhideWhenUsed="0" w:uiPriority="0" w:semiHidden="0" w:name="Plain Text"/>
    <w:lsdException w:uiPriority="0" w:name="E-mail Signature"/>
    <w:lsdException w:qFormat="1" w:unhideWhenUsed="0"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qFormat="1" w:unhideWhenUsed="0" w:uiPriority="0" w:semiHidden="0" w:name="HTML Preformatted"/>
    <w:lsdException w:uiPriority="0" w:name="HTML Sample"/>
    <w:lsdException w:uiPriority="0" w:name="HTML Typewriter"/>
    <w:lsdException w:uiPriority="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qFormat="1" w:unhideWhenUsed="0" w:uiPriority="0" w:semiHidden="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qFormat="1" w:unhideWhenUsed="0" w:uiPriority="0" w:semiHidden="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59" w:semiHidden="0" w:name="Table Grid"/>
    <w:lsdException w:qFormat="1"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0"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spacing w:val="-2"/>
      <w:sz w:val="28"/>
      <w:lang w:val="en-US" w:eastAsia="zh-CN" w:bidi="ar-SA"/>
    </w:rPr>
  </w:style>
  <w:style w:type="paragraph" w:styleId="2">
    <w:name w:val="heading 1"/>
    <w:basedOn w:val="1"/>
    <w:next w:val="1"/>
    <w:link w:val="71"/>
    <w:qFormat/>
    <w:uiPriority w:val="0"/>
    <w:pPr>
      <w:keepNext/>
      <w:keepLines/>
      <w:spacing w:before="340" w:after="330" w:line="578" w:lineRule="auto"/>
      <w:outlineLvl w:val="0"/>
    </w:pPr>
    <w:rPr>
      <w:b/>
      <w:bCs/>
      <w:spacing w:val="0"/>
      <w:kern w:val="44"/>
      <w:sz w:val="44"/>
      <w:szCs w:val="44"/>
    </w:rPr>
  </w:style>
  <w:style w:type="paragraph" w:styleId="3">
    <w:name w:val="heading 2"/>
    <w:basedOn w:val="1"/>
    <w:next w:val="1"/>
    <w:link w:val="67"/>
    <w:qFormat/>
    <w:uiPriority w:val="0"/>
    <w:pPr>
      <w:keepNext/>
      <w:keepLines/>
      <w:spacing w:before="260" w:after="260" w:line="416" w:lineRule="auto"/>
      <w:outlineLvl w:val="1"/>
    </w:pPr>
    <w:rPr>
      <w:b/>
      <w:bCs/>
      <w:spacing w:val="0"/>
      <w:kern w:val="2"/>
      <w:sz w:val="32"/>
      <w:szCs w:val="32"/>
    </w:rPr>
  </w:style>
  <w:style w:type="paragraph" w:styleId="4">
    <w:name w:val="heading 3"/>
    <w:basedOn w:val="1"/>
    <w:next w:val="1"/>
    <w:qFormat/>
    <w:uiPriority w:val="0"/>
    <w:pPr>
      <w:keepNext/>
      <w:keepLines/>
      <w:spacing w:before="260" w:after="260" w:line="416" w:lineRule="auto"/>
      <w:outlineLvl w:val="2"/>
    </w:pPr>
    <w:rPr>
      <w:b/>
      <w:bCs/>
      <w:sz w:val="30"/>
      <w:szCs w:val="32"/>
    </w:rPr>
  </w:style>
  <w:style w:type="paragraph" w:styleId="5">
    <w:name w:val="heading 4"/>
    <w:basedOn w:val="1"/>
    <w:next w:val="1"/>
    <w:qFormat/>
    <w:uiPriority w:val="0"/>
    <w:pPr>
      <w:keepNext/>
      <w:keepLines/>
      <w:spacing w:before="280" w:after="290" w:line="376" w:lineRule="auto"/>
      <w:outlineLvl w:val="3"/>
    </w:pPr>
    <w:rPr>
      <w:rFonts w:ascii="Arial" w:hAnsi="Arial" w:eastAsia="黑体"/>
      <w:b/>
      <w:bCs/>
      <w:szCs w:val="28"/>
    </w:rPr>
  </w:style>
  <w:style w:type="paragraph" w:styleId="6">
    <w:name w:val="heading 5"/>
    <w:basedOn w:val="1"/>
    <w:next w:val="1"/>
    <w:qFormat/>
    <w:uiPriority w:val="0"/>
    <w:pPr>
      <w:keepNext/>
      <w:keepLines/>
      <w:spacing w:before="280" w:after="290" w:line="376" w:lineRule="auto"/>
      <w:outlineLvl w:val="4"/>
    </w:pPr>
    <w:rPr>
      <w:b/>
      <w:bCs/>
      <w:szCs w:val="28"/>
    </w:rPr>
  </w:style>
  <w:style w:type="paragraph" w:styleId="7">
    <w:name w:val="heading 6"/>
    <w:basedOn w:val="1"/>
    <w:next w:val="1"/>
    <w:qFormat/>
    <w:uiPriority w:val="0"/>
    <w:pPr>
      <w:keepNext/>
      <w:keepLines/>
      <w:spacing w:before="240" w:after="64" w:line="320" w:lineRule="auto"/>
      <w:outlineLvl w:val="5"/>
    </w:pPr>
    <w:rPr>
      <w:rFonts w:ascii="Arial" w:hAnsi="Arial" w:eastAsia="黑体"/>
      <w:b/>
      <w:bCs/>
      <w:sz w:val="24"/>
    </w:rPr>
  </w:style>
  <w:style w:type="paragraph" w:styleId="8">
    <w:name w:val="heading 7"/>
    <w:basedOn w:val="1"/>
    <w:next w:val="1"/>
    <w:qFormat/>
    <w:uiPriority w:val="0"/>
    <w:pPr>
      <w:keepNext/>
      <w:keepLines/>
      <w:spacing w:before="240" w:after="64" w:line="320" w:lineRule="auto"/>
      <w:outlineLvl w:val="6"/>
    </w:pPr>
    <w:rPr>
      <w:b/>
      <w:bCs/>
      <w:sz w:val="24"/>
    </w:rPr>
  </w:style>
  <w:style w:type="paragraph" w:styleId="9">
    <w:name w:val="heading 8"/>
    <w:basedOn w:val="1"/>
    <w:next w:val="1"/>
    <w:qFormat/>
    <w:uiPriority w:val="0"/>
    <w:pPr>
      <w:keepNext/>
      <w:keepLines/>
      <w:spacing w:before="240" w:after="64" w:line="320" w:lineRule="auto"/>
      <w:outlineLvl w:val="7"/>
    </w:pPr>
    <w:rPr>
      <w:rFonts w:ascii="Arial" w:hAnsi="Arial" w:eastAsia="黑体"/>
      <w:sz w:val="24"/>
    </w:rPr>
  </w:style>
  <w:style w:type="paragraph" w:styleId="10">
    <w:name w:val="heading 9"/>
    <w:basedOn w:val="1"/>
    <w:next w:val="1"/>
    <w:qFormat/>
    <w:uiPriority w:val="0"/>
    <w:pPr>
      <w:keepNext/>
      <w:keepLines/>
      <w:spacing w:before="240" w:after="64" w:line="320" w:lineRule="auto"/>
      <w:outlineLvl w:val="8"/>
    </w:pPr>
    <w:rPr>
      <w:rFonts w:ascii="Arial" w:hAnsi="Arial" w:eastAsia="黑体"/>
      <w:szCs w:val="21"/>
    </w:rPr>
  </w:style>
  <w:style w:type="character" w:default="1" w:styleId="47">
    <w:name w:val="Default Paragraph Font"/>
    <w:semiHidden/>
    <w:unhideWhenUsed/>
    <w:qFormat/>
    <w:uiPriority w:val="1"/>
  </w:style>
  <w:style w:type="table" w:default="1" w:styleId="42">
    <w:name w:val="Normal Table"/>
    <w:semiHidden/>
    <w:unhideWhenUsed/>
    <w:qFormat/>
    <w:uiPriority w:val="99"/>
    <w:tblPr>
      <w:tblLayout w:type="fixed"/>
      <w:tblCellMar>
        <w:top w:w="0" w:type="dxa"/>
        <w:left w:w="108" w:type="dxa"/>
        <w:bottom w:w="0" w:type="dxa"/>
        <w:right w:w="108" w:type="dxa"/>
      </w:tblCellMar>
    </w:tblPr>
  </w:style>
  <w:style w:type="paragraph" w:styleId="11">
    <w:name w:val="toc 7"/>
    <w:basedOn w:val="1"/>
    <w:next w:val="1"/>
    <w:qFormat/>
    <w:uiPriority w:val="39"/>
    <w:pPr>
      <w:ind w:left="1260"/>
      <w:jc w:val="left"/>
    </w:pPr>
  </w:style>
  <w:style w:type="paragraph" w:styleId="12">
    <w:name w:val="Normal Indent"/>
    <w:basedOn w:val="1"/>
    <w:link w:val="53"/>
    <w:qFormat/>
    <w:uiPriority w:val="0"/>
    <w:pPr>
      <w:ind w:firstLine="420" w:firstLineChars="200"/>
    </w:pPr>
    <w:rPr>
      <w:rFonts w:ascii="宋体" w:hAnsi="Calibri"/>
      <w:sz w:val="24"/>
    </w:rPr>
  </w:style>
  <w:style w:type="paragraph" w:styleId="13">
    <w:name w:val="caption"/>
    <w:basedOn w:val="1"/>
    <w:next w:val="1"/>
    <w:qFormat/>
    <w:uiPriority w:val="0"/>
    <w:rPr>
      <w:rFonts w:ascii="Arial" w:hAnsi="Arial" w:eastAsia="黑体" w:cs="Arial"/>
      <w:sz w:val="20"/>
    </w:rPr>
  </w:style>
  <w:style w:type="paragraph" w:styleId="14">
    <w:name w:val="Document Map"/>
    <w:basedOn w:val="1"/>
    <w:link w:val="168"/>
    <w:semiHidden/>
    <w:unhideWhenUsed/>
    <w:qFormat/>
    <w:uiPriority w:val="0"/>
    <w:rPr>
      <w:rFonts w:ascii="宋体"/>
      <w:sz w:val="18"/>
      <w:szCs w:val="18"/>
    </w:rPr>
  </w:style>
  <w:style w:type="paragraph" w:styleId="15">
    <w:name w:val="annotation text"/>
    <w:basedOn w:val="1"/>
    <w:link w:val="58"/>
    <w:unhideWhenUsed/>
    <w:qFormat/>
    <w:uiPriority w:val="99"/>
    <w:pPr>
      <w:jc w:val="left"/>
    </w:pPr>
    <w:rPr>
      <w:rFonts w:ascii="Calibri" w:hAnsi="Calibri"/>
    </w:rPr>
  </w:style>
  <w:style w:type="paragraph" w:styleId="16">
    <w:name w:val="Body Text"/>
    <w:basedOn w:val="1"/>
    <w:qFormat/>
    <w:uiPriority w:val="0"/>
  </w:style>
  <w:style w:type="paragraph" w:styleId="17">
    <w:name w:val="Body Text Indent"/>
    <w:basedOn w:val="1"/>
    <w:link w:val="91"/>
    <w:qFormat/>
    <w:uiPriority w:val="0"/>
    <w:pPr>
      <w:spacing w:line="360" w:lineRule="auto"/>
      <w:ind w:firstLine="524" w:firstLineChars="187"/>
    </w:pPr>
    <w:rPr>
      <w:rFonts w:ascii="Calibri" w:hAnsi="宋体"/>
      <w:spacing w:val="0"/>
      <w:kern w:val="2"/>
      <w:szCs w:val="24"/>
    </w:rPr>
  </w:style>
  <w:style w:type="paragraph" w:styleId="18">
    <w:name w:val="Block Text"/>
    <w:basedOn w:val="1"/>
    <w:qFormat/>
    <w:uiPriority w:val="0"/>
    <w:pPr>
      <w:tabs>
        <w:tab w:val="left" w:pos="784"/>
      </w:tabs>
      <w:spacing w:line="400" w:lineRule="exact"/>
      <w:ind w:left="15" w:leftChars="7" w:right="-22" w:firstLine="420" w:firstLineChars="200"/>
    </w:pPr>
    <w:rPr>
      <w:rFonts w:ascii="宋体" w:hAnsi="宋体"/>
    </w:rPr>
  </w:style>
  <w:style w:type="paragraph" w:styleId="19">
    <w:name w:val="toc 5"/>
    <w:basedOn w:val="1"/>
    <w:next w:val="1"/>
    <w:qFormat/>
    <w:uiPriority w:val="39"/>
    <w:pPr>
      <w:ind w:left="840"/>
      <w:jc w:val="left"/>
    </w:pPr>
  </w:style>
  <w:style w:type="paragraph" w:styleId="20">
    <w:name w:val="toc 3"/>
    <w:basedOn w:val="1"/>
    <w:next w:val="1"/>
    <w:qFormat/>
    <w:uiPriority w:val="39"/>
    <w:pPr>
      <w:ind w:left="420"/>
      <w:jc w:val="left"/>
    </w:pPr>
  </w:style>
  <w:style w:type="paragraph" w:styleId="21">
    <w:name w:val="Plain Text"/>
    <w:basedOn w:val="1"/>
    <w:link w:val="62"/>
    <w:qFormat/>
    <w:uiPriority w:val="0"/>
    <w:rPr>
      <w:rFonts w:ascii="宋体" w:hAnsi="Courier New" w:eastAsia="仿宋_GB2312"/>
      <w:spacing w:val="0"/>
      <w:kern w:val="2"/>
    </w:rPr>
  </w:style>
  <w:style w:type="paragraph" w:styleId="22">
    <w:name w:val="toc 8"/>
    <w:basedOn w:val="1"/>
    <w:next w:val="1"/>
    <w:qFormat/>
    <w:uiPriority w:val="39"/>
    <w:pPr>
      <w:ind w:left="1470"/>
      <w:jc w:val="left"/>
    </w:pPr>
  </w:style>
  <w:style w:type="paragraph" w:styleId="23">
    <w:name w:val="Date"/>
    <w:basedOn w:val="1"/>
    <w:next w:val="1"/>
    <w:link w:val="59"/>
    <w:qFormat/>
    <w:uiPriority w:val="0"/>
    <w:pPr>
      <w:ind w:left="2500" w:leftChars="2500"/>
    </w:pPr>
    <w:rPr>
      <w:rFonts w:ascii="Calibri" w:hAnsi="Calibri"/>
      <w:bCs/>
      <w:spacing w:val="0"/>
      <w:kern w:val="2"/>
      <w:szCs w:val="24"/>
    </w:rPr>
  </w:style>
  <w:style w:type="paragraph" w:styleId="24">
    <w:name w:val="Body Text Indent 2"/>
    <w:basedOn w:val="1"/>
    <w:qFormat/>
    <w:uiPriority w:val="0"/>
    <w:pPr>
      <w:spacing w:line="360" w:lineRule="auto"/>
      <w:ind w:left="735" w:leftChars="350" w:firstLine="524" w:firstLineChars="187"/>
    </w:pPr>
    <w:rPr>
      <w:rFonts w:ascii="宋体" w:hAnsi="宋体"/>
    </w:rPr>
  </w:style>
  <w:style w:type="paragraph" w:styleId="25">
    <w:name w:val="endnote text"/>
    <w:basedOn w:val="1"/>
    <w:link w:val="165"/>
    <w:unhideWhenUsed/>
    <w:qFormat/>
    <w:uiPriority w:val="99"/>
    <w:pPr>
      <w:snapToGrid w:val="0"/>
      <w:jc w:val="left"/>
    </w:pPr>
    <w:rPr>
      <w:rFonts w:ascii="Calibri" w:hAnsi="Calibri"/>
      <w:spacing w:val="0"/>
      <w:kern w:val="2"/>
      <w:sz w:val="21"/>
      <w:szCs w:val="22"/>
    </w:rPr>
  </w:style>
  <w:style w:type="paragraph" w:styleId="26">
    <w:name w:val="Balloon Text"/>
    <w:basedOn w:val="1"/>
    <w:link w:val="70"/>
    <w:qFormat/>
    <w:uiPriority w:val="0"/>
    <w:rPr>
      <w:rFonts w:ascii="Calibri" w:hAnsi="Calibri"/>
      <w:spacing w:val="0"/>
      <w:kern w:val="2"/>
      <w:sz w:val="18"/>
      <w:szCs w:val="18"/>
    </w:rPr>
  </w:style>
  <w:style w:type="paragraph" w:styleId="27">
    <w:name w:val="footer"/>
    <w:basedOn w:val="1"/>
    <w:qFormat/>
    <w:uiPriority w:val="0"/>
    <w:pPr>
      <w:tabs>
        <w:tab w:val="center" w:pos="4153"/>
        <w:tab w:val="right" w:pos="8306"/>
      </w:tabs>
      <w:snapToGrid w:val="0"/>
      <w:jc w:val="left"/>
    </w:pPr>
    <w:rPr>
      <w:sz w:val="18"/>
      <w:szCs w:val="18"/>
    </w:rPr>
  </w:style>
  <w:style w:type="paragraph" w:styleId="28">
    <w:name w:val="header"/>
    <w:basedOn w:val="1"/>
    <w:qFormat/>
    <w:uiPriority w:val="0"/>
    <w:pPr>
      <w:pBdr>
        <w:bottom w:val="single" w:color="auto" w:sz="6" w:space="1"/>
      </w:pBdr>
      <w:tabs>
        <w:tab w:val="center" w:pos="4153"/>
        <w:tab w:val="right" w:pos="8306"/>
      </w:tabs>
      <w:snapToGrid w:val="0"/>
      <w:jc w:val="center"/>
    </w:pPr>
    <w:rPr>
      <w:sz w:val="18"/>
      <w:szCs w:val="18"/>
    </w:rPr>
  </w:style>
  <w:style w:type="paragraph" w:styleId="29">
    <w:name w:val="toc 1"/>
    <w:basedOn w:val="1"/>
    <w:next w:val="1"/>
    <w:qFormat/>
    <w:uiPriority w:val="39"/>
    <w:pPr>
      <w:tabs>
        <w:tab w:val="right" w:leader="dot" w:pos="9060"/>
      </w:tabs>
      <w:spacing w:before="240" w:after="120"/>
      <w:jc w:val="left"/>
    </w:pPr>
    <w:rPr>
      <w:rFonts w:ascii="宋体" w:hAnsi="宋体"/>
      <w:b/>
      <w:bCs/>
      <w:szCs w:val="28"/>
    </w:rPr>
  </w:style>
  <w:style w:type="paragraph" w:styleId="30">
    <w:name w:val="toc 4"/>
    <w:basedOn w:val="1"/>
    <w:next w:val="1"/>
    <w:qFormat/>
    <w:uiPriority w:val="39"/>
    <w:pPr>
      <w:ind w:left="630"/>
      <w:jc w:val="left"/>
    </w:pPr>
  </w:style>
  <w:style w:type="paragraph" w:styleId="31">
    <w:name w:val="List"/>
    <w:basedOn w:val="1"/>
    <w:qFormat/>
    <w:uiPriority w:val="0"/>
    <w:pPr>
      <w:ind w:left="200" w:hanging="200" w:hangingChars="200"/>
    </w:pPr>
  </w:style>
  <w:style w:type="paragraph" w:styleId="32">
    <w:name w:val="toc 6"/>
    <w:basedOn w:val="1"/>
    <w:next w:val="1"/>
    <w:qFormat/>
    <w:uiPriority w:val="39"/>
    <w:pPr>
      <w:ind w:left="1050"/>
      <w:jc w:val="left"/>
    </w:pPr>
  </w:style>
  <w:style w:type="paragraph" w:styleId="33">
    <w:name w:val="Body Text Indent 3"/>
    <w:basedOn w:val="1"/>
    <w:qFormat/>
    <w:uiPriority w:val="0"/>
    <w:pPr>
      <w:spacing w:line="360" w:lineRule="auto"/>
      <w:ind w:firstLine="560" w:firstLineChars="200"/>
    </w:pPr>
    <w:rPr>
      <w:rFonts w:ascii="宋体" w:hAnsi="宋体"/>
      <w:color w:val="FF0000"/>
      <w:szCs w:val="28"/>
    </w:rPr>
  </w:style>
  <w:style w:type="paragraph" w:styleId="34">
    <w:name w:val="table of figures"/>
    <w:basedOn w:val="1"/>
    <w:next w:val="1"/>
    <w:semiHidden/>
    <w:qFormat/>
    <w:uiPriority w:val="0"/>
    <w:pPr>
      <w:ind w:left="420" w:hanging="420"/>
      <w:jc w:val="left"/>
    </w:pPr>
    <w:rPr>
      <w:smallCaps/>
    </w:rPr>
  </w:style>
  <w:style w:type="paragraph" w:styleId="35">
    <w:name w:val="toc 2"/>
    <w:basedOn w:val="1"/>
    <w:next w:val="1"/>
    <w:qFormat/>
    <w:uiPriority w:val="39"/>
    <w:pPr>
      <w:spacing w:before="120"/>
      <w:ind w:left="210"/>
      <w:jc w:val="left"/>
    </w:pPr>
    <w:rPr>
      <w:iCs/>
    </w:rPr>
  </w:style>
  <w:style w:type="paragraph" w:styleId="36">
    <w:name w:val="toc 9"/>
    <w:basedOn w:val="1"/>
    <w:next w:val="1"/>
    <w:qFormat/>
    <w:uiPriority w:val="39"/>
    <w:pPr>
      <w:ind w:left="1680"/>
      <w:jc w:val="left"/>
    </w:pPr>
  </w:style>
  <w:style w:type="paragraph" w:styleId="37">
    <w:name w:val="Body Text 2"/>
    <w:basedOn w:val="1"/>
    <w:qFormat/>
    <w:uiPriority w:val="0"/>
    <w:pPr>
      <w:spacing w:line="260" w:lineRule="exact"/>
    </w:pPr>
    <w:rPr>
      <w:sz w:val="24"/>
    </w:rPr>
  </w:style>
  <w:style w:type="paragraph" w:styleId="38">
    <w:name w:val="HTML Preformatted"/>
    <w:basedOn w:val="1"/>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Arial" w:hAnsi="Arial" w:cs="Arial"/>
      <w:sz w:val="24"/>
    </w:rPr>
  </w:style>
  <w:style w:type="paragraph" w:styleId="39">
    <w:name w:val="Normal (Web)"/>
    <w:basedOn w:val="1"/>
    <w:qFormat/>
    <w:uiPriority w:val="99"/>
    <w:pPr>
      <w:widowControl/>
      <w:spacing w:before="100" w:beforeAutospacing="1" w:after="100" w:afterAutospacing="1"/>
      <w:jc w:val="left"/>
    </w:pPr>
    <w:rPr>
      <w:rFonts w:ascii="宋体" w:hAnsi="宋体" w:cs="宋体"/>
      <w:sz w:val="24"/>
    </w:rPr>
  </w:style>
  <w:style w:type="paragraph" w:styleId="40">
    <w:name w:val="index 1"/>
    <w:basedOn w:val="1"/>
    <w:next w:val="1"/>
    <w:semiHidden/>
    <w:qFormat/>
    <w:uiPriority w:val="0"/>
    <w:rPr>
      <w:rFonts w:ascii="宋体"/>
      <w:sz w:val="24"/>
    </w:rPr>
  </w:style>
  <w:style w:type="paragraph" w:styleId="41">
    <w:name w:val="annotation subject"/>
    <w:basedOn w:val="15"/>
    <w:next w:val="15"/>
    <w:link w:val="68"/>
    <w:qFormat/>
    <w:uiPriority w:val="0"/>
    <w:rPr>
      <w:b/>
      <w:bCs/>
    </w:rPr>
  </w:style>
  <w:style w:type="table" w:styleId="43">
    <w:name w:val="Table Grid"/>
    <w:basedOn w:val="42"/>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table" w:styleId="44">
    <w:name w:val="Table Theme"/>
    <w:basedOn w:val="42"/>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table" w:styleId="45">
    <w:name w:val="Table Elegant"/>
    <w:basedOn w:val="42"/>
    <w:qFormat/>
    <w:uiPriority w:val="0"/>
    <w:pPr>
      <w:widowControl w:val="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Layout w:type="fixed"/>
    </w:tblPr>
    <w:tcPr>
      <w:shd w:val="clear" w:color="auto" w:fill="auto"/>
    </w:tcPr>
    <w:tblStylePr w:type="firstRow">
      <w:rPr>
        <w:caps/>
        <w:color w:val="auto"/>
      </w:rPr>
      <w:tblPr>
        <w:tblLayout w:type="fixed"/>
      </w:tblPr>
      <w:tcPr>
        <w:tcBorders>
          <w:top w:val="nil"/>
          <w:left w:val="nil"/>
          <w:bottom w:val="nil"/>
          <w:right w:val="nil"/>
          <w:insideH w:val="nil"/>
          <w:insideV w:val="nil"/>
          <w:tl2br w:val="nil"/>
          <w:tr2bl w:val="nil"/>
        </w:tcBorders>
      </w:tcPr>
    </w:tblStylePr>
  </w:style>
  <w:style w:type="table" w:styleId="46">
    <w:name w:val="Table Grid 1"/>
    <w:basedOn w:val="42"/>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Pr>
    <w:tcPr>
      <w:shd w:val="clear" w:color="auto" w:fill="auto"/>
    </w:tcPr>
    <w:tblStylePr w:type="lastRow">
      <w:rPr>
        <w:i/>
        <w:iCs/>
      </w:rPr>
      <w:tblPr>
        <w:tblLayout w:type="fixed"/>
      </w:tblPr>
      <w:tcPr>
        <w:tcBorders>
          <w:top w:val="nil"/>
          <w:left w:val="nil"/>
          <w:bottom w:val="nil"/>
          <w:right w:val="nil"/>
          <w:insideH w:val="nil"/>
          <w:insideV w:val="nil"/>
          <w:tl2br w:val="nil"/>
          <w:tr2bl w:val="nil"/>
        </w:tcBorders>
      </w:tcPr>
    </w:tblStylePr>
    <w:tblStylePr w:type="lastCol">
      <w:rPr>
        <w:i/>
        <w:iCs/>
      </w:rPr>
      <w:tblPr>
        <w:tblLayout w:type="fixed"/>
      </w:tblPr>
      <w:tcPr>
        <w:tcBorders>
          <w:top w:val="nil"/>
          <w:left w:val="nil"/>
          <w:bottom w:val="nil"/>
          <w:right w:val="nil"/>
          <w:insideH w:val="nil"/>
          <w:insideV w:val="nil"/>
          <w:tl2br w:val="nil"/>
          <w:tr2bl w:val="nil"/>
        </w:tcBorders>
      </w:tcPr>
    </w:tblStylePr>
    <w:tblStylePr w:type="nwCell">
      <w:tblPr>
        <w:tblLayout w:type="fixed"/>
      </w:tblPr>
      <w:tcPr>
        <w:tcBorders>
          <w:top w:val="nil"/>
          <w:left w:val="nil"/>
          <w:bottom w:val="nil"/>
          <w:right w:val="nil"/>
          <w:insideH w:val="nil"/>
          <w:insideV w:val="nil"/>
          <w:tl2br w:val="single" w:color="000000" w:sz="6" w:space="0"/>
          <w:tr2bl w:val="nil"/>
        </w:tcBorders>
      </w:tcPr>
    </w:tblStylePr>
  </w:style>
  <w:style w:type="character" w:styleId="48">
    <w:name w:val="Strong"/>
    <w:qFormat/>
    <w:uiPriority w:val="22"/>
    <w:rPr>
      <w:b/>
      <w:bCs/>
    </w:rPr>
  </w:style>
  <w:style w:type="character" w:styleId="49">
    <w:name w:val="page number"/>
    <w:basedOn w:val="47"/>
    <w:qFormat/>
    <w:uiPriority w:val="0"/>
  </w:style>
  <w:style w:type="character" w:styleId="50">
    <w:name w:val="Emphasis"/>
    <w:qFormat/>
    <w:uiPriority w:val="0"/>
    <w:rPr>
      <w:color w:val="CC0033"/>
    </w:rPr>
  </w:style>
  <w:style w:type="character" w:styleId="51">
    <w:name w:val="Hyperlink"/>
    <w:qFormat/>
    <w:uiPriority w:val="99"/>
    <w:rPr>
      <w:color w:val="0000FF"/>
      <w:u w:val="single"/>
    </w:rPr>
  </w:style>
  <w:style w:type="character" w:styleId="52">
    <w:name w:val="annotation reference"/>
    <w:qFormat/>
    <w:uiPriority w:val="0"/>
    <w:rPr>
      <w:sz w:val="21"/>
      <w:szCs w:val="21"/>
    </w:rPr>
  </w:style>
  <w:style w:type="character" w:customStyle="1" w:styleId="53">
    <w:name w:val="正文缩进 字符"/>
    <w:link w:val="12"/>
    <w:qFormat/>
    <w:uiPriority w:val="0"/>
    <w:rPr>
      <w:rFonts w:ascii="宋体" w:eastAsia="宋体"/>
      <w:spacing w:val="-2"/>
      <w:sz w:val="24"/>
      <w:lang w:bidi="ar-SA"/>
    </w:rPr>
  </w:style>
  <w:style w:type="character" w:customStyle="1" w:styleId="54">
    <w:name w:val="1正文段落 Char"/>
    <w:link w:val="55"/>
    <w:qFormat/>
    <w:uiPriority w:val="0"/>
    <w:rPr>
      <w:rFonts w:eastAsia="宋体"/>
      <w:snapToGrid w:val="0"/>
      <w:sz w:val="24"/>
      <w:szCs w:val="24"/>
      <w:lang w:bidi="ar-SA"/>
    </w:rPr>
  </w:style>
  <w:style w:type="paragraph" w:customStyle="1" w:styleId="55">
    <w:name w:val="1正文段落"/>
    <w:basedOn w:val="1"/>
    <w:link w:val="54"/>
    <w:qFormat/>
    <w:uiPriority w:val="0"/>
    <w:pPr>
      <w:spacing w:line="360" w:lineRule="auto"/>
      <w:ind w:firstLine="480" w:firstLineChars="200"/>
      <w:jc w:val="left"/>
    </w:pPr>
    <w:rPr>
      <w:rFonts w:ascii="Calibri" w:hAnsi="Calibri"/>
      <w:snapToGrid w:val="0"/>
      <w:spacing w:val="0"/>
      <w:sz w:val="24"/>
      <w:szCs w:val="24"/>
    </w:rPr>
  </w:style>
  <w:style w:type="character" w:customStyle="1" w:styleId="56">
    <w:name w:val="正文何黎 Char"/>
    <w:link w:val="57"/>
    <w:qFormat/>
    <w:uiPriority w:val="0"/>
    <w:rPr>
      <w:rFonts w:ascii="宋体" w:hAnsi="宋体" w:eastAsia="宋体" w:cs="宋体"/>
      <w:kern w:val="2"/>
      <w:sz w:val="24"/>
      <w:lang w:val="en-US" w:eastAsia="zh-CN" w:bidi="ar-SA"/>
    </w:rPr>
  </w:style>
  <w:style w:type="paragraph" w:customStyle="1" w:styleId="57">
    <w:name w:val="正文何黎"/>
    <w:basedOn w:val="1"/>
    <w:link w:val="56"/>
    <w:qFormat/>
    <w:uiPriority w:val="0"/>
    <w:pPr>
      <w:spacing w:line="360" w:lineRule="auto"/>
      <w:ind w:firstLine="480" w:firstLineChars="200"/>
    </w:pPr>
    <w:rPr>
      <w:rFonts w:ascii="宋体" w:hAnsi="宋体" w:cs="宋体"/>
      <w:spacing w:val="0"/>
      <w:kern w:val="2"/>
      <w:sz w:val="24"/>
    </w:rPr>
  </w:style>
  <w:style w:type="character" w:customStyle="1" w:styleId="58">
    <w:name w:val="批注文字 字符"/>
    <w:link w:val="15"/>
    <w:qFormat/>
    <w:uiPriority w:val="99"/>
    <w:rPr>
      <w:spacing w:val="-2"/>
      <w:sz w:val="28"/>
    </w:rPr>
  </w:style>
  <w:style w:type="character" w:customStyle="1" w:styleId="59">
    <w:name w:val="日期 字符"/>
    <w:link w:val="23"/>
    <w:qFormat/>
    <w:uiPriority w:val="0"/>
    <w:rPr>
      <w:rFonts w:eastAsia="宋体"/>
      <w:bCs/>
      <w:kern w:val="2"/>
      <w:sz w:val="28"/>
      <w:szCs w:val="24"/>
      <w:lang w:val="en-US" w:eastAsia="zh-CN" w:bidi="ar-SA"/>
    </w:rPr>
  </w:style>
  <w:style w:type="character" w:customStyle="1" w:styleId="60">
    <w:name w:val="报告表格 Char"/>
    <w:link w:val="61"/>
    <w:qFormat/>
    <w:uiPriority w:val="0"/>
    <w:rPr>
      <w:rFonts w:ascii="Calibri" w:hAnsi="Calibri" w:eastAsia="宋体"/>
      <w:lang w:bidi="ar-SA"/>
    </w:rPr>
  </w:style>
  <w:style w:type="paragraph" w:customStyle="1" w:styleId="61">
    <w:name w:val="报告表格"/>
    <w:basedOn w:val="1"/>
    <w:link w:val="60"/>
    <w:qFormat/>
    <w:uiPriority w:val="0"/>
    <w:pPr>
      <w:autoSpaceDE w:val="0"/>
      <w:autoSpaceDN w:val="0"/>
      <w:adjustRightInd w:val="0"/>
      <w:spacing w:before="40" w:after="40"/>
      <w:jc w:val="center"/>
      <w:textAlignment w:val="bottom"/>
    </w:pPr>
    <w:rPr>
      <w:rFonts w:ascii="Calibri" w:hAnsi="Calibri"/>
      <w:spacing w:val="0"/>
      <w:sz w:val="20"/>
    </w:rPr>
  </w:style>
  <w:style w:type="character" w:customStyle="1" w:styleId="62">
    <w:name w:val="纯文本 字符"/>
    <w:link w:val="21"/>
    <w:qFormat/>
    <w:uiPriority w:val="0"/>
    <w:rPr>
      <w:rFonts w:ascii="宋体" w:hAnsi="Courier New" w:eastAsia="仿宋_GB2312"/>
      <w:kern w:val="2"/>
      <w:sz w:val="28"/>
      <w:lang w:val="en-US" w:eastAsia="zh-CN" w:bidi="ar-SA"/>
    </w:rPr>
  </w:style>
  <w:style w:type="character" w:customStyle="1" w:styleId="63">
    <w:name w:val="h31"/>
    <w:qFormat/>
    <w:uiPriority w:val="0"/>
    <w:rPr>
      <w:sz w:val="21"/>
      <w:szCs w:val="21"/>
    </w:rPr>
  </w:style>
  <w:style w:type="character" w:customStyle="1" w:styleId="64">
    <w:name w:val="正文（YHY-GDB) Char"/>
    <w:link w:val="65"/>
    <w:qFormat/>
    <w:uiPriority w:val="0"/>
    <w:rPr>
      <w:rFonts w:eastAsia="宋体"/>
      <w:kern w:val="2"/>
      <w:sz w:val="24"/>
      <w:szCs w:val="24"/>
      <w:lang w:val="en-US" w:eastAsia="zh-CN" w:bidi="ar-SA"/>
    </w:rPr>
  </w:style>
  <w:style w:type="paragraph" w:customStyle="1" w:styleId="65">
    <w:name w:val="正文（YHY-GDB)"/>
    <w:basedOn w:val="1"/>
    <w:link w:val="64"/>
    <w:qFormat/>
    <w:uiPriority w:val="0"/>
    <w:pPr>
      <w:spacing w:beforeLines="50" w:afterLines="50" w:line="360" w:lineRule="auto"/>
      <w:ind w:firstLine="200" w:firstLineChars="200"/>
    </w:pPr>
    <w:rPr>
      <w:rFonts w:ascii="Calibri" w:hAnsi="Calibri"/>
      <w:spacing w:val="0"/>
      <w:kern w:val="2"/>
      <w:sz w:val="24"/>
      <w:szCs w:val="24"/>
    </w:rPr>
  </w:style>
  <w:style w:type="character" w:customStyle="1" w:styleId="66">
    <w:name w:val="标题 2 Char Char Char Char Char Char Char Char Char"/>
    <w:qFormat/>
    <w:uiPriority w:val="0"/>
    <w:rPr>
      <w:rFonts w:ascii="黑体" w:hAnsi="Arial" w:eastAsia="黑体"/>
      <w:b/>
      <w:bCs/>
      <w:kern w:val="2"/>
      <w:sz w:val="30"/>
      <w:szCs w:val="32"/>
      <w:lang w:val="en-US" w:eastAsia="zh-CN" w:bidi="ar-SA"/>
    </w:rPr>
  </w:style>
  <w:style w:type="character" w:customStyle="1" w:styleId="67">
    <w:name w:val="标题 2 字符"/>
    <w:link w:val="3"/>
    <w:qFormat/>
    <w:uiPriority w:val="0"/>
    <w:rPr>
      <w:rFonts w:ascii="Times New Roman" w:hAnsi="Times New Roman"/>
      <w:b/>
      <w:bCs/>
      <w:kern w:val="2"/>
      <w:sz w:val="32"/>
      <w:szCs w:val="32"/>
    </w:rPr>
  </w:style>
  <w:style w:type="character" w:customStyle="1" w:styleId="68">
    <w:name w:val="批注主题 字符"/>
    <w:link w:val="41"/>
    <w:qFormat/>
    <w:uiPriority w:val="0"/>
    <w:rPr>
      <w:b/>
      <w:bCs/>
      <w:spacing w:val="-2"/>
      <w:sz w:val="28"/>
    </w:rPr>
  </w:style>
  <w:style w:type="character" w:customStyle="1" w:styleId="69">
    <w:name w:val="br1"/>
    <w:basedOn w:val="47"/>
    <w:qFormat/>
    <w:uiPriority w:val="0"/>
  </w:style>
  <w:style w:type="character" w:customStyle="1" w:styleId="70">
    <w:name w:val="批注框文本 字符"/>
    <w:link w:val="26"/>
    <w:qFormat/>
    <w:uiPriority w:val="0"/>
    <w:rPr>
      <w:kern w:val="2"/>
      <w:sz w:val="18"/>
      <w:szCs w:val="18"/>
    </w:rPr>
  </w:style>
  <w:style w:type="character" w:customStyle="1" w:styleId="71">
    <w:name w:val="标题 1 字符"/>
    <w:link w:val="2"/>
    <w:qFormat/>
    <w:uiPriority w:val="0"/>
    <w:rPr>
      <w:rFonts w:ascii="Times New Roman" w:hAnsi="Times New Roman"/>
      <w:b/>
      <w:bCs/>
      <w:kern w:val="44"/>
      <w:sz w:val="44"/>
      <w:szCs w:val="44"/>
    </w:rPr>
  </w:style>
  <w:style w:type="character" w:customStyle="1" w:styleId="72">
    <w:name w:val="表格 Char"/>
    <w:link w:val="73"/>
    <w:qFormat/>
    <w:uiPriority w:val="0"/>
    <w:rPr>
      <w:rFonts w:ascii="宋体" w:eastAsia="宋体"/>
      <w:spacing w:val="10"/>
      <w:kern w:val="18"/>
      <w:sz w:val="21"/>
      <w:szCs w:val="28"/>
      <w:lang w:val="en-US" w:eastAsia="zh-CN" w:bidi="ar-SA"/>
    </w:rPr>
  </w:style>
  <w:style w:type="paragraph" w:customStyle="1" w:styleId="73">
    <w:name w:val="表格"/>
    <w:basedOn w:val="31"/>
    <w:next w:val="1"/>
    <w:link w:val="72"/>
    <w:qFormat/>
    <w:uiPriority w:val="0"/>
    <w:pPr>
      <w:adjustRightInd w:val="0"/>
      <w:spacing w:line="440" w:lineRule="atLeast"/>
      <w:ind w:left="0" w:firstLine="0" w:firstLineChars="0"/>
      <w:jc w:val="center"/>
      <w:textAlignment w:val="baseline"/>
    </w:pPr>
    <w:rPr>
      <w:rFonts w:ascii="宋体" w:hAnsi="Calibri"/>
      <w:spacing w:val="10"/>
      <w:kern w:val="18"/>
      <w:sz w:val="21"/>
      <w:szCs w:val="28"/>
    </w:rPr>
  </w:style>
  <w:style w:type="character" w:customStyle="1" w:styleId="74">
    <w:name w:val="正文000 Char"/>
    <w:link w:val="75"/>
    <w:qFormat/>
    <w:uiPriority w:val="0"/>
    <w:rPr>
      <w:rFonts w:ascii="Calibri" w:hAnsi="Calibri" w:eastAsia="宋体"/>
      <w:sz w:val="24"/>
      <w:lang w:bidi="ar-SA"/>
    </w:rPr>
  </w:style>
  <w:style w:type="paragraph" w:customStyle="1" w:styleId="75">
    <w:name w:val="正文000"/>
    <w:basedOn w:val="1"/>
    <w:link w:val="74"/>
    <w:qFormat/>
    <w:uiPriority w:val="0"/>
    <w:pPr>
      <w:adjustRightInd w:val="0"/>
      <w:spacing w:line="360" w:lineRule="auto"/>
      <w:ind w:firstLine="480" w:firstLineChars="200"/>
      <w:textAlignment w:val="center"/>
    </w:pPr>
    <w:rPr>
      <w:rFonts w:ascii="Calibri" w:hAnsi="Calibri"/>
      <w:spacing w:val="0"/>
      <w:sz w:val="24"/>
    </w:rPr>
  </w:style>
  <w:style w:type="character" w:customStyle="1" w:styleId="76">
    <w:name w:val="正文1 Char"/>
    <w:link w:val="77"/>
    <w:qFormat/>
    <w:uiPriority w:val="0"/>
    <w:rPr>
      <w:rFonts w:eastAsia="宋体"/>
      <w:kern w:val="2"/>
      <w:sz w:val="28"/>
      <w:szCs w:val="28"/>
      <w:lang w:val="en-US" w:eastAsia="zh-CN" w:bidi="ar-SA"/>
    </w:rPr>
  </w:style>
  <w:style w:type="paragraph" w:customStyle="1" w:styleId="77">
    <w:name w:val="正文11"/>
    <w:basedOn w:val="1"/>
    <w:link w:val="76"/>
    <w:qFormat/>
    <w:uiPriority w:val="0"/>
    <w:pPr>
      <w:ind w:firstLine="200" w:firstLineChars="200"/>
    </w:pPr>
    <w:rPr>
      <w:rFonts w:ascii="Calibri" w:hAnsi="Calibri"/>
      <w:spacing w:val="0"/>
      <w:kern w:val="2"/>
      <w:szCs w:val="28"/>
    </w:rPr>
  </w:style>
  <w:style w:type="character" w:customStyle="1" w:styleId="78">
    <w:name w:val="headline-content2"/>
    <w:basedOn w:val="47"/>
    <w:qFormat/>
    <w:uiPriority w:val="0"/>
  </w:style>
  <w:style w:type="character" w:customStyle="1" w:styleId="79">
    <w:name w:val="报告 Char"/>
    <w:link w:val="80"/>
    <w:qFormat/>
    <w:uiPriority w:val="0"/>
    <w:rPr>
      <w:rFonts w:ascii="TimesNewRoman" w:hAnsi="TimesNewRoman" w:eastAsia="宋体"/>
      <w:sz w:val="24"/>
      <w:lang w:bidi="ar-SA"/>
    </w:rPr>
  </w:style>
  <w:style w:type="paragraph" w:customStyle="1" w:styleId="80">
    <w:name w:val="报告"/>
    <w:basedOn w:val="1"/>
    <w:link w:val="79"/>
    <w:qFormat/>
    <w:uiPriority w:val="0"/>
    <w:pPr>
      <w:adjustRightInd w:val="0"/>
      <w:spacing w:line="360" w:lineRule="auto"/>
      <w:ind w:firstLine="505"/>
      <w:textAlignment w:val="center"/>
    </w:pPr>
    <w:rPr>
      <w:rFonts w:ascii="TimesNewRoman" w:hAnsi="TimesNewRoman"/>
      <w:spacing w:val="0"/>
      <w:sz w:val="24"/>
    </w:rPr>
  </w:style>
  <w:style w:type="character" w:customStyle="1" w:styleId="81">
    <w:name w:val="正 Char"/>
    <w:link w:val="82"/>
    <w:qFormat/>
    <w:uiPriority w:val="0"/>
    <w:rPr>
      <w:rFonts w:ascii="宋体" w:eastAsia="宋体" w:cs="宋体"/>
      <w:kern w:val="2"/>
      <w:sz w:val="24"/>
      <w:szCs w:val="24"/>
      <w:lang w:val="zh-CN" w:eastAsia="zh-CN" w:bidi="ar-SA"/>
    </w:rPr>
  </w:style>
  <w:style w:type="paragraph" w:customStyle="1" w:styleId="82">
    <w:name w:val="正"/>
    <w:basedOn w:val="1"/>
    <w:link w:val="81"/>
    <w:qFormat/>
    <w:uiPriority w:val="0"/>
    <w:pPr>
      <w:tabs>
        <w:tab w:val="left" w:pos="315"/>
      </w:tabs>
      <w:autoSpaceDE w:val="0"/>
      <w:autoSpaceDN w:val="0"/>
      <w:adjustRightInd w:val="0"/>
      <w:spacing w:line="420" w:lineRule="exact"/>
      <w:ind w:firstLine="480" w:firstLineChars="200"/>
    </w:pPr>
    <w:rPr>
      <w:rFonts w:ascii="宋体" w:hAnsi="Calibri" w:cs="宋体"/>
      <w:spacing w:val="0"/>
      <w:kern w:val="2"/>
      <w:sz w:val="24"/>
      <w:szCs w:val="24"/>
      <w:lang w:val="zh-CN"/>
    </w:rPr>
  </w:style>
  <w:style w:type="character" w:customStyle="1" w:styleId="83">
    <w:name w:val="正文01 Char"/>
    <w:link w:val="84"/>
    <w:qFormat/>
    <w:locked/>
    <w:uiPriority w:val="0"/>
    <w:rPr>
      <w:rFonts w:eastAsia="宋体"/>
      <w:kern w:val="2"/>
      <w:sz w:val="24"/>
      <w:szCs w:val="24"/>
      <w:lang w:val="en-US" w:eastAsia="zh-CN" w:bidi="ar-SA"/>
    </w:rPr>
  </w:style>
  <w:style w:type="paragraph" w:customStyle="1" w:styleId="84">
    <w:name w:val="正文01"/>
    <w:basedOn w:val="1"/>
    <w:link w:val="83"/>
    <w:qFormat/>
    <w:uiPriority w:val="0"/>
    <w:pPr>
      <w:adjustRightInd w:val="0"/>
      <w:snapToGrid w:val="0"/>
      <w:spacing w:before="60" w:line="460" w:lineRule="exact"/>
      <w:ind w:firstLine="200" w:firstLineChars="200"/>
    </w:pPr>
    <w:rPr>
      <w:rFonts w:ascii="Calibri" w:hAnsi="Calibri"/>
      <w:spacing w:val="0"/>
      <w:kern w:val="2"/>
      <w:sz w:val="24"/>
      <w:szCs w:val="24"/>
    </w:rPr>
  </w:style>
  <w:style w:type="character" w:customStyle="1" w:styleId="85">
    <w:name w:val="正文何黎 Char Char"/>
    <w:qFormat/>
    <w:uiPriority w:val="0"/>
    <w:rPr>
      <w:rFonts w:ascii="宋体" w:hAnsi="宋体" w:eastAsia="宋体" w:cs="宋体"/>
      <w:kern w:val="2"/>
      <w:sz w:val="24"/>
      <w:lang w:val="en-US" w:eastAsia="zh-CN" w:bidi="ar-SA"/>
    </w:rPr>
  </w:style>
  <w:style w:type="character" w:customStyle="1" w:styleId="86">
    <w:name w:val="表头 Char"/>
    <w:link w:val="87"/>
    <w:qFormat/>
    <w:uiPriority w:val="0"/>
    <w:rPr>
      <w:rFonts w:eastAsia="宋体"/>
      <w:kern w:val="2"/>
      <w:sz w:val="24"/>
      <w:szCs w:val="24"/>
      <w:lang w:val="en-US" w:eastAsia="zh-CN" w:bidi="ar-SA"/>
    </w:rPr>
  </w:style>
  <w:style w:type="paragraph" w:customStyle="1" w:styleId="87">
    <w:name w:val="表头"/>
    <w:basedOn w:val="1"/>
    <w:link w:val="86"/>
    <w:qFormat/>
    <w:uiPriority w:val="0"/>
    <w:pPr>
      <w:kinsoku w:val="0"/>
      <w:overflowPunct w:val="0"/>
      <w:adjustRightInd w:val="0"/>
      <w:snapToGrid w:val="0"/>
      <w:spacing w:line="420" w:lineRule="exact"/>
      <w:ind w:right="-107" w:rightChars="-51"/>
      <w:textAlignment w:val="center"/>
    </w:pPr>
    <w:rPr>
      <w:rFonts w:ascii="Calibri" w:hAnsi="Calibri"/>
      <w:spacing w:val="0"/>
      <w:kern w:val="2"/>
      <w:sz w:val="24"/>
      <w:szCs w:val="24"/>
    </w:rPr>
  </w:style>
  <w:style w:type="character" w:customStyle="1" w:styleId="88">
    <w:name w:val="文本正文 Char"/>
    <w:link w:val="89"/>
    <w:qFormat/>
    <w:uiPriority w:val="0"/>
    <w:rPr>
      <w:rFonts w:ascii="宋体"/>
      <w:snapToGrid w:val="0"/>
      <w:spacing w:val="4"/>
      <w:kern w:val="24"/>
      <w:sz w:val="24"/>
      <w:szCs w:val="24"/>
      <w:lang w:val="zh-CN"/>
    </w:rPr>
  </w:style>
  <w:style w:type="paragraph" w:customStyle="1" w:styleId="89">
    <w:name w:val="文本正文"/>
    <w:basedOn w:val="1"/>
    <w:link w:val="88"/>
    <w:qFormat/>
    <w:uiPriority w:val="0"/>
    <w:pPr>
      <w:snapToGrid w:val="0"/>
      <w:spacing w:line="360" w:lineRule="auto"/>
      <w:ind w:firstLine="510"/>
      <w:jc w:val="left"/>
    </w:pPr>
    <w:rPr>
      <w:rFonts w:ascii="宋体" w:hAnsi="Calibri"/>
      <w:snapToGrid w:val="0"/>
      <w:spacing w:val="4"/>
      <w:kern w:val="24"/>
      <w:sz w:val="24"/>
      <w:szCs w:val="24"/>
      <w:lang w:val="zh-CN"/>
    </w:rPr>
  </w:style>
  <w:style w:type="character" w:customStyle="1" w:styleId="90">
    <w:name w:val="lh15 m"/>
    <w:basedOn w:val="47"/>
    <w:qFormat/>
    <w:uiPriority w:val="0"/>
  </w:style>
  <w:style w:type="character" w:customStyle="1" w:styleId="91">
    <w:name w:val="正文文本缩进 字符"/>
    <w:link w:val="17"/>
    <w:qFormat/>
    <w:uiPriority w:val="0"/>
    <w:rPr>
      <w:rFonts w:hAnsi="宋体"/>
      <w:kern w:val="2"/>
      <w:sz w:val="28"/>
      <w:szCs w:val="24"/>
    </w:rPr>
  </w:style>
  <w:style w:type="character" w:customStyle="1" w:styleId="92">
    <w:name w:val="表格1 Char1"/>
    <w:link w:val="93"/>
    <w:qFormat/>
    <w:uiPriority w:val="0"/>
    <w:rPr>
      <w:sz w:val="24"/>
    </w:rPr>
  </w:style>
  <w:style w:type="paragraph" w:customStyle="1" w:styleId="93">
    <w:name w:val="表格1"/>
    <w:basedOn w:val="1"/>
    <w:link w:val="92"/>
    <w:qFormat/>
    <w:uiPriority w:val="0"/>
    <w:pPr>
      <w:adjustRightInd w:val="0"/>
      <w:spacing w:line="400" w:lineRule="atLeast"/>
      <w:jc w:val="center"/>
      <w:textAlignment w:val="baseline"/>
    </w:pPr>
    <w:rPr>
      <w:rFonts w:ascii="Calibri" w:hAnsi="Calibri"/>
      <w:spacing w:val="0"/>
      <w:sz w:val="24"/>
    </w:rPr>
  </w:style>
  <w:style w:type="character" w:customStyle="1" w:styleId="94">
    <w:name w:val="标题3' Char"/>
    <w:link w:val="95"/>
    <w:qFormat/>
    <w:uiPriority w:val="0"/>
    <w:rPr>
      <w:rFonts w:eastAsia="黑体"/>
      <w:spacing w:val="4"/>
      <w:sz w:val="28"/>
      <w:lang w:val="en-US" w:eastAsia="zh-CN" w:bidi="ar-SA"/>
    </w:rPr>
  </w:style>
  <w:style w:type="paragraph" w:customStyle="1" w:styleId="95">
    <w:name w:val="标题3'"/>
    <w:basedOn w:val="4"/>
    <w:link w:val="94"/>
    <w:qFormat/>
    <w:uiPriority w:val="0"/>
    <w:pPr>
      <w:tabs>
        <w:tab w:val="left" w:pos="1560"/>
      </w:tabs>
      <w:adjustRightInd w:val="0"/>
      <w:snapToGrid w:val="0"/>
      <w:spacing w:before="120" w:after="120" w:line="400" w:lineRule="atLeast"/>
      <w:ind w:left="1560" w:hanging="720"/>
      <w:contextualSpacing/>
      <w:jc w:val="left"/>
      <w:textAlignment w:val="baseline"/>
    </w:pPr>
    <w:rPr>
      <w:rFonts w:ascii="Calibri" w:hAnsi="Calibri" w:eastAsia="黑体"/>
      <w:b w:val="0"/>
      <w:bCs w:val="0"/>
      <w:spacing w:val="4"/>
      <w:sz w:val="28"/>
      <w:szCs w:val="20"/>
    </w:rPr>
  </w:style>
  <w:style w:type="character" w:customStyle="1" w:styleId="96">
    <w:name w:val="报告表正文 Char"/>
    <w:link w:val="97"/>
    <w:qFormat/>
    <w:uiPriority w:val="0"/>
    <w:rPr>
      <w:rFonts w:eastAsia="宋体"/>
      <w:sz w:val="24"/>
      <w:lang w:bidi="ar-SA"/>
    </w:rPr>
  </w:style>
  <w:style w:type="paragraph" w:customStyle="1" w:styleId="97">
    <w:name w:val="报告表正文"/>
    <w:basedOn w:val="1"/>
    <w:link w:val="96"/>
    <w:qFormat/>
    <w:uiPriority w:val="0"/>
    <w:pPr>
      <w:adjustRightInd w:val="0"/>
      <w:spacing w:line="312" w:lineRule="auto"/>
      <w:ind w:left="113" w:right="113" w:firstLine="482"/>
      <w:textAlignment w:val="baseline"/>
    </w:pPr>
    <w:rPr>
      <w:rFonts w:ascii="Calibri" w:hAnsi="Calibri"/>
      <w:spacing w:val="0"/>
      <w:sz w:val="24"/>
    </w:rPr>
  </w:style>
  <w:style w:type="character" w:customStyle="1" w:styleId="98">
    <w:name w:val="图表标题 Char"/>
    <w:link w:val="99"/>
    <w:qFormat/>
    <w:uiPriority w:val="0"/>
    <w:rPr>
      <w:rFonts w:eastAsia="宋体"/>
      <w:b/>
      <w:spacing w:val="-2"/>
      <w:sz w:val="24"/>
      <w:lang w:bidi="ar-SA"/>
    </w:rPr>
  </w:style>
  <w:style w:type="paragraph" w:customStyle="1" w:styleId="99">
    <w:name w:val="图表标题"/>
    <w:basedOn w:val="1"/>
    <w:next w:val="1"/>
    <w:link w:val="98"/>
    <w:qFormat/>
    <w:uiPriority w:val="0"/>
    <w:pPr>
      <w:adjustRightInd w:val="0"/>
      <w:snapToGrid w:val="0"/>
      <w:spacing w:line="420" w:lineRule="exact"/>
      <w:jc w:val="center"/>
      <w:textAlignment w:val="baseline"/>
    </w:pPr>
    <w:rPr>
      <w:rFonts w:ascii="Calibri" w:hAnsi="Calibri"/>
      <w:b/>
      <w:sz w:val="24"/>
    </w:rPr>
  </w:style>
  <w:style w:type="character" w:customStyle="1" w:styleId="100">
    <w:name w:val="c-gap-right-small6"/>
    <w:basedOn w:val="47"/>
    <w:qFormat/>
    <w:uiPriority w:val="0"/>
  </w:style>
  <w:style w:type="character" w:customStyle="1" w:styleId="101">
    <w:name w:val="apple-style-span"/>
    <w:qFormat/>
    <w:uiPriority w:val="0"/>
  </w:style>
  <w:style w:type="character" w:customStyle="1" w:styleId="102">
    <w:name w:val="普通文字 Char1"/>
    <w:qFormat/>
    <w:uiPriority w:val="0"/>
    <w:rPr>
      <w:rFonts w:ascii="宋体" w:hAnsi="Courier New" w:eastAsia="宋体" w:cs="Courier New"/>
      <w:snapToGrid w:val="0"/>
      <w:sz w:val="24"/>
      <w:szCs w:val="21"/>
      <w:lang w:val="en-US" w:eastAsia="zh-CN" w:bidi="ar-SA"/>
    </w:rPr>
  </w:style>
  <w:style w:type="character" w:customStyle="1" w:styleId="103">
    <w:name w:val="font11"/>
    <w:basedOn w:val="47"/>
    <w:qFormat/>
    <w:uiPriority w:val="0"/>
    <w:rPr>
      <w:rFonts w:hint="eastAsia" w:ascii="新宋体" w:hAnsi="新宋体" w:eastAsia="新宋体" w:cs="新宋体"/>
      <w:color w:val="FF0000"/>
      <w:sz w:val="20"/>
      <w:szCs w:val="20"/>
      <w:u w:val="none"/>
    </w:rPr>
  </w:style>
  <w:style w:type="paragraph" w:customStyle="1" w:styleId="104">
    <w:name w:val="样式 仿宋_GB2312 四号 加粗 段前: 6 磅 段后: 6 磅"/>
    <w:basedOn w:val="1"/>
    <w:qFormat/>
    <w:uiPriority w:val="0"/>
    <w:pPr>
      <w:spacing w:before="120" w:after="120"/>
      <w:ind w:firstLine="562" w:firstLineChars="200"/>
      <w:outlineLvl w:val="3"/>
    </w:pPr>
    <w:rPr>
      <w:rFonts w:ascii="仿宋_GB2312" w:hAnsi="Arial" w:eastAsia="仿宋_GB2312" w:cs="宋体"/>
      <w:b/>
      <w:bCs/>
    </w:rPr>
  </w:style>
  <w:style w:type="paragraph" w:customStyle="1" w:styleId="105">
    <w:name w:val="Char Char3 Char Char"/>
    <w:basedOn w:val="1"/>
    <w:qFormat/>
    <w:uiPriority w:val="0"/>
    <w:pPr>
      <w:widowControl/>
      <w:spacing w:after="160" w:line="240" w:lineRule="exact"/>
      <w:jc w:val="left"/>
    </w:pPr>
    <w:rPr>
      <w:rFonts w:ascii="Verdana" w:hAnsi="Verdana" w:eastAsia="仿宋_GB2312" w:cs="”“Times New Roman”“"/>
      <w:sz w:val="24"/>
      <w:lang w:eastAsia="en-US"/>
    </w:rPr>
  </w:style>
  <w:style w:type="paragraph" w:customStyle="1" w:styleId="106">
    <w:name w:val="reader-word-layer reader-word-s1-39"/>
    <w:basedOn w:val="1"/>
    <w:qFormat/>
    <w:uiPriority w:val="0"/>
    <w:pPr>
      <w:widowControl/>
      <w:spacing w:before="100" w:beforeAutospacing="1" w:after="100" w:afterAutospacing="1"/>
      <w:jc w:val="left"/>
    </w:pPr>
    <w:rPr>
      <w:rFonts w:ascii="宋体" w:hAnsi="宋体" w:cs="宋体"/>
      <w:sz w:val="24"/>
    </w:rPr>
  </w:style>
  <w:style w:type="paragraph" w:customStyle="1" w:styleId="107">
    <w:name w:val="reader-word-layer reader-word-s1-31"/>
    <w:basedOn w:val="1"/>
    <w:qFormat/>
    <w:uiPriority w:val="0"/>
    <w:pPr>
      <w:widowControl/>
      <w:spacing w:before="100" w:beforeAutospacing="1" w:after="100" w:afterAutospacing="1"/>
      <w:jc w:val="left"/>
    </w:pPr>
    <w:rPr>
      <w:rFonts w:ascii="宋体" w:hAnsi="宋体" w:cs="宋体"/>
      <w:sz w:val="24"/>
    </w:rPr>
  </w:style>
  <w:style w:type="paragraph" w:customStyle="1" w:styleId="108">
    <w:name w:val="reader-word-layer reader-word-s1-3"/>
    <w:basedOn w:val="1"/>
    <w:qFormat/>
    <w:uiPriority w:val="0"/>
    <w:pPr>
      <w:widowControl/>
      <w:spacing w:before="100" w:beforeAutospacing="1" w:after="100" w:afterAutospacing="1"/>
      <w:jc w:val="left"/>
    </w:pPr>
    <w:rPr>
      <w:rFonts w:ascii="宋体" w:hAnsi="宋体" w:cs="宋体"/>
      <w:sz w:val="24"/>
    </w:rPr>
  </w:style>
  <w:style w:type="paragraph" w:customStyle="1" w:styleId="109">
    <w:name w:val="reader-word-layer reader-word-s1-12"/>
    <w:basedOn w:val="1"/>
    <w:qFormat/>
    <w:uiPriority w:val="0"/>
    <w:pPr>
      <w:widowControl/>
      <w:spacing w:before="100" w:beforeAutospacing="1" w:after="100" w:afterAutospacing="1"/>
      <w:jc w:val="left"/>
    </w:pPr>
    <w:rPr>
      <w:rFonts w:ascii="宋体" w:hAnsi="宋体" w:cs="宋体"/>
      <w:sz w:val="24"/>
    </w:rPr>
  </w:style>
  <w:style w:type="paragraph" w:customStyle="1" w:styleId="110">
    <w:name w:val="Char1 Char Char Char Char Char Char Char Char Char Char Char Char"/>
    <w:basedOn w:val="1"/>
    <w:qFormat/>
    <w:uiPriority w:val="0"/>
    <w:pPr>
      <w:spacing w:line="360" w:lineRule="auto"/>
      <w:ind w:firstLine="200" w:firstLineChars="200"/>
    </w:pPr>
  </w:style>
  <w:style w:type="paragraph" w:customStyle="1" w:styleId="111">
    <w:name w:val="表格文字"/>
    <w:basedOn w:val="1"/>
    <w:qFormat/>
    <w:uiPriority w:val="0"/>
    <w:pPr>
      <w:widowControl/>
      <w:adjustRightInd w:val="0"/>
      <w:snapToGrid w:val="0"/>
      <w:spacing w:line="360" w:lineRule="atLeast"/>
      <w:jc w:val="center"/>
      <w:textAlignment w:val="baseline"/>
    </w:pPr>
    <w:rPr>
      <w:rFonts w:ascii="宋体" w:hAnsi="宋体" w:cs="宋体"/>
      <w:color w:val="FF6600"/>
      <w:spacing w:val="0"/>
      <w:sz w:val="24"/>
      <w:szCs w:val="21"/>
    </w:rPr>
  </w:style>
  <w:style w:type="paragraph" w:customStyle="1" w:styleId="112">
    <w:name w:val="CM2"/>
    <w:basedOn w:val="1"/>
    <w:next w:val="1"/>
    <w:qFormat/>
    <w:uiPriority w:val="0"/>
    <w:pPr>
      <w:autoSpaceDE w:val="0"/>
      <w:autoSpaceDN w:val="0"/>
      <w:adjustRightInd w:val="0"/>
      <w:spacing w:line="593" w:lineRule="atLeast"/>
      <w:jc w:val="left"/>
    </w:pPr>
    <w:rPr>
      <w:rFonts w:ascii="黑体" w:eastAsia="黑体"/>
      <w:sz w:val="24"/>
    </w:rPr>
  </w:style>
  <w:style w:type="paragraph" w:customStyle="1" w:styleId="113">
    <w:name w:val="reader-word-layer"/>
    <w:basedOn w:val="1"/>
    <w:qFormat/>
    <w:uiPriority w:val="0"/>
    <w:pPr>
      <w:widowControl/>
      <w:spacing w:before="100" w:beforeAutospacing="1" w:after="100" w:afterAutospacing="1"/>
      <w:jc w:val="left"/>
    </w:pPr>
    <w:rPr>
      <w:rFonts w:ascii="宋体" w:hAnsi="宋体" w:cs="宋体"/>
      <w:sz w:val="24"/>
    </w:rPr>
  </w:style>
  <w:style w:type="paragraph" w:customStyle="1" w:styleId="114">
    <w:name w:val="表标题"/>
    <w:basedOn w:val="1"/>
    <w:qFormat/>
    <w:uiPriority w:val="0"/>
    <w:pPr>
      <w:adjustRightInd w:val="0"/>
      <w:spacing w:before="180" w:line="312" w:lineRule="auto"/>
      <w:jc w:val="center"/>
      <w:textAlignment w:val="baseline"/>
    </w:pPr>
    <w:rPr>
      <w:b/>
      <w:sz w:val="24"/>
    </w:rPr>
  </w:style>
  <w:style w:type="paragraph" w:customStyle="1" w:styleId="115">
    <w:name w:val="Char Char Char Char Char Char Char"/>
    <w:basedOn w:val="1"/>
    <w:qFormat/>
    <w:uiPriority w:val="0"/>
  </w:style>
  <w:style w:type="paragraph" w:customStyle="1" w:styleId="116">
    <w:name w:val="Char Char Char Char Char Char"/>
    <w:basedOn w:val="1"/>
    <w:qFormat/>
    <w:uiPriority w:val="0"/>
    <w:rPr>
      <w:sz w:val="24"/>
    </w:rPr>
  </w:style>
  <w:style w:type="paragraph" w:customStyle="1" w:styleId="117">
    <w:name w:val="表格内容1"/>
    <w:basedOn w:val="1"/>
    <w:qFormat/>
    <w:uiPriority w:val="0"/>
    <w:pPr>
      <w:adjustRightInd w:val="0"/>
      <w:snapToGrid w:val="0"/>
      <w:spacing w:line="240" w:lineRule="atLeast"/>
      <w:jc w:val="center"/>
    </w:pPr>
    <w:rPr>
      <w:snapToGrid w:val="0"/>
    </w:rPr>
  </w:style>
  <w:style w:type="paragraph" w:customStyle="1" w:styleId="118">
    <w:name w:val="题注何黎"/>
    <w:basedOn w:val="13"/>
    <w:next w:val="57"/>
    <w:qFormat/>
    <w:uiPriority w:val="0"/>
    <w:pPr>
      <w:keepNext/>
      <w:snapToGrid w:val="0"/>
      <w:spacing w:beforeLines="50" w:afterLines="50"/>
      <w:jc w:val="center"/>
    </w:pPr>
    <w:rPr>
      <w:rFonts w:ascii="Times New Roman" w:hAnsi="宋体" w:cs="Times New Roman"/>
      <w:bCs/>
      <w:color w:val="0000FF"/>
      <w:spacing w:val="4"/>
      <w:sz w:val="24"/>
      <w:szCs w:val="24"/>
    </w:rPr>
  </w:style>
  <w:style w:type="paragraph" w:customStyle="1" w:styleId="119">
    <w:name w:val="reader-word-layer reader-word-s1-14"/>
    <w:basedOn w:val="1"/>
    <w:qFormat/>
    <w:uiPriority w:val="0"/>
    <w:pPr>
      <w:widowControl/>
      <w:spacing w:before="100" w:beforeAutospacing="1" w:after="100" w:afterAutospacing="1"/>
      <w:jc w:val="left"/>
    </w:pPr>
    <w:rPr>
      <w:rFonts w:ascii="宋体" w:hAnsi="宋体" w:cs="宋体"/>
      <w:sz w:val="24"/>
    </w:rPr>
  </w:style>
  <w:style w:type="paragraph" w:customStyle="1" w:styleId="120">
    <w:name w:val="Char"/>
    <w:basedOn w:val="1"/>
    <w:qFormat/>
    <w:uiPriority w:val="0"/>
    <w:pPr>
      <w:snapToGrid w:val="0"/>
      <w:spacing w:line="360" w:lineRule="auto"/>
      <w:ind w:firstLine="529" w:firstLineChars="200"/>
    </w:pPr>
  </w:style>
  <w:style w:type="paragraph" w:customStyle="1" w:styleId="121">
    <w:name w:val="_Style 43"/>
    <w:basedOn w:val="1"/>
    <w:qFormat/>
    <w:uiPriority w:val="0"/>
  </w:style>
  <w:style w:type="paragraph" w:customStyle="1" w:styleId="122">
    <w:name w:val="新正文"/>
    <w:basedOn w:val="1"/>
    <w:qFormat/>
    <w:uiPriority w:val="0"/>
    <w:pPr>
      <w:spacing w:line="460" w:lineRule="exact"/>
      <w:ind w:firstLine="454"/>
    </w:pPr>
    <w:rPr>
      <w:rFonts w:ascii="宋体"/>
      <w:sz w:val="24"/>
    </w:rPr>
  </w:style>
  <w:style w:type="paragraph" w:customStyle="1" w:styleId="123">
    <w:name w:val="表内文字"/>
    <w:basedOn w:val="1"/>
    <w:qFormat/>
    <w:uiPriority w:val="0"/>
    <w:pPr>
      <w:tabs>
        <w:tab w:val="left" w:pos="762"/>
      </w:tabs>
      <w:spacing w:line="360" w:lineRule="exact"/>
      <w:jc w:val="center"/>
    </w:pPr>
    <w:rPr>
      <w:rFonts w:ascii="宋体"/>
      <w:sz w:val="24"/>
    </w:rPr>
  </w:style>
  <w:style w:type="paragraph" w:customStyle="1" w:styleId="124">
    <w:name w:val="报告书"/>
    <w:basedOn w:val="1"/>
    <w:qFormat/>
    <w:uiPriority w:val="0"/>
    <w:pPr>
      <w:adjustRightInd w:val="0"/>
      <w:spacing w:line="360" w:lineRule="auto"/>
      <w:ind w:firstLine="505"/>
      <w:jc w:val="left"/>
      <w:textAlignment w:val="baseline"/>
    </w:pPr>
    <w:rPr>
      <w:kern w:val="24"/>
      <w:sz w:val="24"/>
    </w:rPr>
  </w:style>
  <w:style w:type="paragraph" w:customStyle="1" w:styleId="125">
    <w:name w:val="正文1"/>
    <w:basedOn w:val="1"/>
    <w:qFormat/>
    <w:uiPriority w:val="0"/>
    <w:pPr>
      <w:adjustRightInd w:val="0"/>
      <w:spacing w:line="480" w:lineRule="exact"/>
      <w:textAlignment w:val="baseline"/>
    </w:pPr>
  </w:style>
  <w:style w:type="paragraph" w:customStyle="1" w:styleId="126">
    <w:name w:val="我的表格"/>
    <w:basedOn w:val="1"/>
    <w:link w:val="167"/>
    <w:qFormat/>
    <w:uiPriority w:val="0"/>
    <w:pPr>
      <w:jc w:val="center"/>
    </w:pPr>
    <w:rPr>
      <w:sz w:val="21"/>
      <w:szCs w:val="22"/>
    </w:rPr>
  </w:style>
  <w:style w:type="paragraph" w:customStyle="1" w:styleId="127">
    <w:name w:val="reader-word-layer reader-word-s1-7"/>
    <w:basedOn w:val="1"/>
    <w:qFormat/>
    <w:uiPriority w:val="0"/>
    <w:pPr>
      <w:widowControl/>
      <w:spacing w:before="100" w:beforeAutospacing="1" w:after="100" w:afterAutospacing="1"/>
      <w:jc w:val="left"/>
    </w:pPr>
    <w:rPr>
      <w:rFonts w:ascii="宋体" w:hAnsi="宋体" w:cs="宋体"/>
      <w:sz w:val="24"/>
    </w:rPr>
  </w:style>
  <w:style w:type="paragraph" w:customStyle="1" w:styleId="128">
    <w:name w:val="reader-word-layer reader-word-s1-30"/>
    <w:basedOn w:val="1"/>
    <w:qFormat/>
    <w:uiPriority w:val="0"/>
    <w:pPr>
      <w:widowControl/>
      <w:spacing w:before="100" w:beforeAutospacing="1" w:after="100" w:afterAutospacing="1"/>
      <w:jc w:val="left"/>
    </w:pPr>
    <w:rPr>
      <w:rFonts w:ascii="宋体" w:hAnsi="宋体" w:cs="宋体"/>
      <w:sz w:val="24"/>
    </w:rPr>
  </w:style>
  <w:style w:type="paragraph" w:customStyle="1" w:styleId="129">
    <w:name w:val="样式1"/>
    <w:basedOn w:val="1"/>
    <w:qFormat/>
    <w:uiPriority w:val="0"/>
    <w:pPr>
      <w:spacing w:beforeLines="20" w:afterLines="20"/>
    </w:pPr>
  </w:style>
  <w:style w:type="paragraph" w:customStyle="1" w:styleId="130">
    <w:name w:val="reader-word-layer reader-word-s1-41"/>
    <w:basedOn w:val="1"/>
    <w:qFormat/>
    <w:uiPriority w:val="0"/>
    <w:pPr>
      <w:widowControl/>
      <w:spacing w:before="100" w:beforeAutospacing="1" w:after="100" w:afterAutospacing="1"/>
      <w:jc w:val="left"/>
    </w:pPr>
    <w:rPr>
      <w:rFonts w:ascii="宋体" w:hAnsi="宋体" w:cs="宋体"/>
      <w:sz w:val="24"/>
    </w:rPr>
  </w:style>
  <w:style w:type="paragraph" w:customStyle="1" w:styleId="131">
    <w:name w:val="reader-word-layer reader-word-s1-6"/>
    <w:basedOn w:val="1"/>
    <w:qFormat/>
    <w:uiPriority w:val="0"/>
    <w:pPr>
      <w:widowControl/>
      <w:spacing w:before="100" w:beforeAutospacing="1" w:after="100" w:afterAutospacing="1"/>
      <w:jc w:val="left"/>
    </w:pPr>
    <w:rPr>
      <w:rFonts w:ascii="宋体" w:hAnsi="宋体" w:cs="宋体"/>
      <w:sz w:val="24"/>
    </w:rPr>
  </w:style>
  <w:style w:type="paragraph" w:customStyle="1" w:styleId="132">
    <w:name w:val="xl33"/>
    <w:basedOn w:val="1"/>
    <w:qFormat/>
    <w:uiPriority w:val="0"/>
    <w:pPr>
      <w:widowControl/>
      <w:pBdr>
        <w:left w:val="single" w:color="auto" w:sz="4" w:space="0"/>
        <w:right w:val="single" w:color="auto" w:sz="4" w:space="0"/>
      </w:pBdr>
      <w:spacing w:before="100" w:beforeAutospacing="1" w:after="100" w:afterAutospacing="1"/>
      <w:jc w:val="center"/>
      <w:textAlignment w:val="center"/>
    </w:pPr>
    <w:rPr>
      <w:rFonts w:ascii="宋体" w:hAnsi="宋体"/>
      <w:sz w:val="24"/>
    </w:rPr>
  </w:style>
  <w:style w:type="paragraph" w:customStyle="1" w:styleId="133">
    <w:name w:val="reader-word-layer reader-word-s2-21"/>
    <w:basedOn w:val="1"/>
    <w:qFormat/>
    <w:uiPriority w:val="0"/>
    <w:pPr>
      <w:widowControl/>
      <w:spacing w:before="100" w:beforeAutospacing="1" w:after="100" w:afterAutospacing="1"/>
      <w:jc w:val="left"/>
    </w:pPr>
    <w:rPr>
      <w:rFonts w:ascii="宋体" w:hAnsi="宋体" w:cs="宋体"/>
      <w:sz w:val="24"/>
    </w:rPr>
  </w:style>
  <w:style w:type="paragraph" w:customStyle="1" w:styleId="134">
    <w:name w:val="char"/>
    <w:basedOn w:val="1"/>
    <w:qFormat/>
    <w:uiPriority w:val="0"/>
    <w:pPr>
      <w:widowControl/>
      <w:spacing w:after="160" w:line="240" w:lineRule="exact"/>
      <w:jc w:val="left"/>
    </w:pPr>
    <w:rPr>
      <w:rFonts w:ascii="Verdana" w:hAnsi="Verdana" w:eastAsia="仿宋_GB2312" w:cs="”“Times New Roman”“"/>
      <w:sz w:val="24"/>
      <w:lang w:eastAsia="en-US"/>
    </w:rPr>
  </w:style>
  <w:style w:type="paragraph" w:customStyle="1" w:styleId="135">
    <w:name w:val="CM4"/>
    <w:basedOn w:val="136"/>
    <w:next w:val="136"/>
    <w:qFormat/>
    <w:uiPriority w:val="0"/>
    <w:pPr>
      <w:spacing w:line="591" w:lineRule="atLeast"/>
    </w:pPr>
    <w:rPr>
      <w:rFonts w:cs="Times New Roman"/>
      <w:color w:val="auto"/>
    </w:rPr>
  </w:style>
  <w:style w:type="paragraph" w:customStyle="1" w:styleId="136">
    <w:name w:val="Default"/>
    <w:qFormat/>
    <w:uiPriority w:val="0"/>
    <w:pPr>
      <w:widowControl w:val="0"/>
      <w:autoSpaceDE w:val="0"/>
      <w:autoSpaceDN w:val="0"/>
      <w:adjustRightInd w:val="0"/>
    </w:pPr>
    <w:rPr>
      <w:rFonts w:ascii="黑体" w:hAnsi="Calibri" w:eastAsia="黑体" w:cs="黑体"/>
      <w:color w:val="000000"/>
      <w:sz w:val="24"/>
      <w:szCs w:val="24"/>
      <w:lang w:val="en-US" w:eastAsia="zh-CN" w:bidi="ar-SA"/>
    </w:rPr>
  </w:style>
  <w:style w:type="paragraph" w:customStyle="1" w:styleId="137">
    <w:name w:val="缩进"/>
    <w:basedOn w:val="1"/>
    <w:semiHidden/>
    <w:qFormat/>
    <w:uiPriority w:val="0"/>
    <w:pPr>
      <w:autoSpaceDE w:val="0"/>
      <w:autoSpaceDN w:val="0"/>
      <w:adjustRightInd w:val="0"/>
      <w:spacing w:line="400" w:lineRule="atLeast"/>
      <w:ind w:firstLine="425"/>
      <w:textAlignment w:val="baseline"/>
    </w:pPr>
    <w:rPr>
      <w:sz w:val="24"/>
    </w:rPr>
  </w:style>
  <w:style w:type="paragraph" w:customStyle="1" w:styleId="138">
    <w:name w:val="Char Char Char"/>
    <w:basedOn w:val="1"/>
    <w:qFormat/>
    <w:uiPriority w:val="0"/>
    <w:rPr>
      <w:sz w:val="24"/>
    </w:rPr>
  </w:style>
  <w:style w:type="paragraph" w:customStyle="1" w:styleId="139">
    <w:name w:val="xl24"/>
    <w:basedOn w:val="1"/>
    <w:qFormat/>
    <w:uiPriority w:val="0"/>
    <w:pPr>
      <w:widowControl/>
      <w:spacing w:before="100" w:beforeAutospacing="1" w:after="100" w:afterAutospacing="1"/>
      <w:jc w:val="center"/>
    </w:pPr>
    <w:rPr>
      <w:rFonts w:ascii="Arial Unicode MS" w:hAnsi="Arial Unicode MS" w:eastAsia="Arial Unicode MS" w:cs="Arial Unicode MS"/>
      <w:sz w:val="24"/>
    </w:rPr>
  </w:style>
  <w:style w:type="paragraph" w:customStyle="1" w:styleId="140">
    <w:name w:val="reader-word-layer reader-word-s2-1"/>
    <w:basedOn w:val="1"/>
    <w:qFormat/>
    <w:uiPriority w:val="0"/>
    <w:pPr>
      <w:widowControl/>
      <w:spacing w:before="100" w:beforeAutospacing="1" w:after="100" w:afterAutospacing="1"/>
      <w:jc w:val="left"/>
    </w:pPr>
    <w:rPr>
      <w:rFonts w:ascii="宋体" w:hAnsi="宋体" w:cs="宋体"/>
      <w:sz w:val="24"/>
    </w:rPr>
  </w:style>
  <w:style w:type="paragraph" w:customStyle="1" w:styleId="141">
    <w:name w:val="Table Paragraph"/>
    <w:basedOn w:val="1"/>
    <w:qFormat/>
    <w:uiPriority w:val="0"/>
    <w:rPr>
      <w:kern w:val="2"/>
      <w:sz w:val="21"/>
    </w:rPr>
  </w:style>
  <w:style w:type="paragraph" w:customStyle="1" w:styleId="142">
    <w:name w:val="样式 (符号) 宋体 首行缩进:  2 字符"/>
    <w:basedOn w:val="1"/>
    <w:qFormat/>
    <w:uiPriority w:val="0"/>
    <w:rPr>
      <w:rFonts w:hAnsi="宋体" w:cs="宋体"/>
    </w:rPr>
  </w:style>
  <w:style w:type="paragraph" w:customStyle="1" w:styleId="143">
    <w:name w:val="表格内容"/>
    <w:qFormat/>
    <w:uiPriority w:val="0"/>
    <w:pPr>
      <w:spacing w:line="360" w:lineRule="auto"/>
      <w:jc w:val="center"/>
    </w:pPr>
    <w:rPr>
      <w:rFonts w:ascii="宋体" w:hAnsi="Calibri" w:eastAsia="宋体" w:cs="Times New Roman"/>
      <w:sz w:val="21"/>
      <w:lang w:val="en-US" w:eastAsia="zh-CN" w:bidi="ar-SA"/>
    </w:rPr>
  </w:style>
  <w:style w:type="paragraph" w:customStyle="1" w:styleId="144">
    <w:name w:val="表"/>
    <w:basedOn w:val="1"/>
    <w:qFormat/>
    <w:uiPriority w:val="0"/>
    <w:pPr>
      <w:autoSpaceDE w:val="0"/>
      <w:autoSpaceDN w:val="0"/>
      <w:adjustRightInd w:val="0"/>
      <w:snapToGrid w:val="0"/>
      <w:jc w:val="center"/>
    </w:pPr>
    <w:rPr>
      <w:rFonts w:hAnsi="宋体"/>
      <w:szCs w:val="21"/>
    </w:rPr>
  </w:style>
  <w:style w:type="paragraph" w:customStyle="1" w:styleId="145">
    <w:name w:val="Char1"/>
    <w:basedOn w:val="1"/>
    <w:qFormat/>
    <w:uiPriority w:val="0"/>
    <w:pPr>
      <w:spacing w:line="360" w:lineRule="auto"/>
      <w:ind w:firstLine="200" w:firstLineChars="200"/>
    </w:pPr>
    <w:rPr>
      <w:rFonts w:ascii="宋体" w:hAnsi="宋体" w:cs="宋体"/>
      <w:snapToGrid w:val="0"/>
      <w:sz w:val="24"/>
    </w:rPr>
  </w:style>
  <w:style w:type="paragraph" w:customStyle="1" w:styleId="146">
    <w:name w:val="样式 四号 黑色 行距: 1.5 倍行距 首行缩进:  2 字符"/>
    <w:basedOn w:val="1"/>
    <w:qFormat/>
    <w:uiPriority w:val="0"/>
    <w:pPr>
      <w:spacing w:line="360" w:lineRule="auto"/>
      <w:ind w:firstLine="560" w:firstLineChars="200"/>
    </w:pPr>
    <w:rPr>
      <w:rFonts w:eastAsia="仿宋_GB2312" w:cs="宋体"/>
      <w:color w:val="000000"/>
    </w:rPr>
  </w:style>
  <w:style w:type="paragraph" w:customStyle="1" w:styleId="147">
    <w:name w:val="表文字"/>
    <w:qFormat/>
    <w:uiPriority w:val="0"/>
    <w:pPr>
      <w:adjustRightInd w:val="0"/>
      <w:spacing w:line="270" w:lineRule="exact"/>
      <w:jc w:val="center"/>
    </w:pPr>
    <w:rPr>
      <w:rFonts w:ascii="Calibri" w:hAnsi="Calibri" w:eastAsia="宋体" w:cs="Times New Roman"/>
      <w:kern w:val="18"/>
      <w:sz w:val="18"/>
      <w:lang w:val="en-US" w:eastAsia="zh-CN" w:bidi="ar-SA"/>
    </w:rPr>
  </w:style>
  <w:style w:type="paragraph" w:customStyle="1" w:styleId="148">
    <w:name w:val="reader-word-layer reader-word-s2-6"/>
    <w:basedOn w:val="1"/>
    <w:qFormat/>
    <w:uiPriority w:val="0"/>
    <w:pPr>
      <w:widowControl/>
      <w:spacing w:before="100" w:beforeAutospacing="1" w:after="100" w:afterAutospacing="1"/>
      <w:jc w:val="left"/>
    </w:pPr>
    <w:rPr>
      <w:rFonts w:ascii="宋体" w:hAnsi="宋体" w:cs="宋体"/>
      <w:sz w:val="24"/>
    </w:rPr>
  </w:style>
  <w:style w:type="paragraph" w:customStyle="1" w:styleId="149">
    <w:name w:val="xl26"/>
    <w:basedOn w:val="1"/>
    <w:qFormat/>
    <w:uiPriority w:val="0"/>
    <w:pPr>
      <w:widowControl/>
      <w:pBdr>
        <w:bottom w:val="single" w:color="auto" w:sz="4" w:space="0"/>
        <w:right w:val="single" w:color="auto" w:sz="4" w:space="0"/>
      </w:pBdr>
      <w:spacing w:before="100" w:beforeAutospacing="1" w:after="100" w:afterAutospacing="1"/>
      <w:jc w:val="center"/>
    </w:pPr>
    <w:rPr>
      <w:szCs w:val="21"/>
    </w:rPr>
  </w:style>
  <w:style w:type="paragraph" w:styleId="150">
    <w:name w:val="List Paragraph"/>
    <w:basedOn w:val="1"/>
    <w:qFormat/>
    <w:uiPriority w:val="0"/>
    <w:pPr>
      <w:spacing w:line="400" w:lineRule="exact"/>
      <w:ind w:firstLine="420" w:firstLineChars="200"/>
    </w:pPr>
    <w:rPr>
      <w:snapToGrid w:val="0"/>
      <w:sz w:val="24"/>
    </w:rPr>
  </w:style>
  <w:style w:type="paragraph" w:customStyle="1" w:styleId="151">
    <w:name w:val="正文 报告"/>
    <w:basedOn w:val="1"/>
    <w:qFormat/>
    <w:uiPriority w:val="0"/>
    <w:pPr>
      <w:spacing w:line="360" w:lineRule="auto"/>
      <w:ind w:firstLine="200" w:firstLineChars="200"/>
    </w:pPr>
    <w:rPr>
      <w:rFonts w:hAnsi="宋体" w:eastAsia="Times New Roman" w:cs="宋体"/>
      <w:spacing w:val="0"/>
      <w:sz w:val="24"/>
      <w:szCs w:val="24"/>
    </w:rPr>
  </w:style>
  <w:style w:type="paragraph" w:customStyle="1" w:styleId="152">
    <w:name w:val="列表1"/>
    <w:basedOn w:val="1"/>
    <w:qFormat/>
    <w:uiPriority w:val="0"/>
    <w:pPr>
      <w:ind w:left="420" w:hanging="420" w:hangingChars="200"/>
    </w:pPr>
  </w:style>
  <w:style w:type="paragraph" w:customStyle="1" w:styleId="153">
    <w:name w:val="reader-word-layer reader-word-s1-11"/>
    <w:basedOn w:val="1"/>
    <w:qFormat/>
    <w:uiPriority w:val="0"/>
    <w:pPr>
      <w:widowControl/>
      <w:spacing w:before="100" w:beforeAutospacing="1" w:after="100" w:afterAutospacing="1"/>
      <w:jc w:val="left"/>
    </w:pPr>
    <w:rPr>
      <w:rFonts w:ascii="宋体" w:hAnsi="宋体" w:cs="宋体"/>
      <w:sz w:val="24"/>
    </w:rPr>
  </w:style>
  <w:style w:type="paragraph" w:customStyle="1" w:styleId="154">
    <w:name w:val="样式 样式 宋体 小四号 行距: 1.5 倍行距 + 首行缩进:  2 字符"/>
    <w:basedOn w:val="1"/>
    <w:qFormat/>
    <w:uiPriority w:val="0"/>
    <w:pPr>
      <w:spacing w:line="360" w:lineRule="auto"/>
      <w:ind w:firstLine="496" w:firstLineChars="200"/>
    </w:pPr>
    <w:rPr>
      <w:rFonts w:cs="宋体"/>
      <w:spacing w:val="4"/>
      <w:sz w:val="24"/>
    </w:rPr>
  </w:style>
  <w:style w:type="paragraph" w:customStyle="1" w:styleId="155">
    <w:name w:val="reader-word-layer reader-word-s1-10"/>
    <w:basedOn w:val="1"/>
    <w:qFormat/>
    <w:uiPriority w:val="0"/>
    <w:pPr>
      <w:widowControl/>
      <w:spacing w:before="100" w:beforeAutospacing="1" w:after="100" w:afterAutospacing="1"/>
      <w:jc w:val="left"/>
    </w:pPr>
    <w:rPr>
      <w:rFonts w:ascii="宋体" w:hAnsi="宋体" w:cs="宋体"/>
      <w:sz w:val="24"/>
    </w:rPr>
  </w:style>
  <w:style w:type="table" w:customStyle="1" w:styleId="156">
    <w:name w:val="何黎的表格样式"/>
    <w:basedOn w:val="42"/>
    <w:qFormat/>
    <w:uiPriority w:val="0"/>
    <w:pPr>
      <w:snapToGrid w:val="0"/>
      <w:jc w:val="center"/>
    </w:pPr>
    <w:rPr>
      <w:sz w:val="21"/>
    </w:r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Pr>
    <w:tcPr>
      <w:tcMar>
        <w:top w:w="57" w:type="dxa"/>
        <w:bottom w:w="57" w:type="dxa"/>
      </w:tcMar>
      <w:vAlign w:val="center"/>
    </w:tcPr>
  </w:style>
  <w:style w:type="paragraph" w:customStyle="1" w:styleId="157">
    <w:name w:val="表格-99"/>
    <w:basedOn w:val="1"/>
    <w:link w:val="158"/>
    <w:qFormat/>
    <w:uiPriority w:val="0"/>
    <w:pPr>
      <w:adjustRightInd w:val="0"/>
      <w:snapToGrid w:val="0"/>
      <w:spacing w:beforeLines="10" w:afterLines="10"/>
      <w:jc w:val="center"/>
    </w:pPr>
    <w:rPr>
      <w:spacing w:val="0"/>
      <w:kern w:val="2"/>
      <w:sz w:val="18"/>
      <w:szCs w:val="22"/>
    </w:rPr>
  </w:style>
  <w:style w:type="character" w:customStyle="1" w:styleId="158">
    <w:name w:val="表格-99 Char"/>
    <w:basedOn w:val="47"/>
    <w:link w:val="157"/>
    <w:qFormat/>
    <w:uiPriority w:val="0"/>
    <w:rPr>
      <w:rFonts w:ascii="Times New Roman" w:hAnsi="Times New Roman"/>
      <w:kern w:val="2"/>
      <w:sz w:val="18"/>
      <w:szCs w:val="22"/>
    </w:rPr>
  </w:style>
  <w:style w:type="paragraph" w:customStyle="1" w:styleId="159">
    <w:name w:val="二级"/>
    <w:basedOn w:val="3"/>
    <w:link w:val="160"/>
    <w:qFormat/>
    <w:uiPriority w:val="0"/>
    <w:pPr>
      <w:tabs>
        <w:tab w:val="left" w:pos="1571"/>
      </w:tabs>
      <w:adjustRightInd w:val="0"/>
      <w:snapToGrid w:val="0"/>
      <w:spacing w:beforeLines="50" w:afterLines="50" w:line="360" w:lineRule="auto"/>
    </w:pPr>
    <w:rPr>
      <w:color w:val="000000"/>
      <w:sz w:val="24"/>
      <w:szCs w:val="28"/>
    </w:rPr>
  </w:style>
  <w:style w:type="character" w:customStyle="1" w:styleId="160">
    <w:name w:val="二级 Char"/>
    <w:link w:val="159"/>
    <w:qFormat/>
    <w:uiPriority w:val="0"/>
    <w:rPr>
      <w:rFonts w:ascii="Times New Roman" w:hAnsi="Times New Roman" w:eastAsia="宋体"/>
      <w:b/>
      <w:bCs/>
      <w:color w:val="000000"/>
      <w:kern w:val="2"/>
      <w:sz w:val="24"/>
      <w:szCs w:val="28"/>
    </w:rPr>
  </w:style>
  <w:style w:type="paragraph" w:customStyle="1" w:styleId="161">
    <w:name w:val="我的表格(YHY)"/>
    <w:basedOn w:val="1"/>
    <w:next w:val="1"/>
    <w:link w:val="162"/>
    <w:qFormat/>
    <w:uiPriority w:val="0"/>
    <w:pPr>
      <w:adjustRightInd w:val="0"/>
      <w:snapToGrid w:val="0"/>
      <w:jc w:val="center"/>
    </w:pPr>
    <w:rPr>
      <w:spacing w:val="0"/>
      <w:kern w:val="2"/>
      <w:sz w:val="21"/>
      <w:szCs w:val="22"/>
    </w:rPr>
  </w:style>
  <w:style w:type="character" w:customStyle="1" w:styleId="162">
    <w:name w:val="我的表格(YHY) Char"/>
    <w:link w:val="161"/>
    <w:qFormat/>
    <w:uiPriority w:val="0"/>
    <w:rPr>
      <w:rFonts w:ascii="Times New Roman" w:hAnsi="Times New Roman"/>
      <w:kern w:val="2"/>
      <w:sz w:val="21"/>
      <w:szCs w:val="22"/>
    </w:rPr>
  </w:style>
  <w:style w:type="paragraph" w:customStyle="1" w:styleId="163">
    <w:name w:val="报告正文1"/>
    <w:basedOn w:val="17"/>
    <w:qFormat/>
    <w:uiPriority w:val="0"/>
    <w:pPr>
      <w:spacing w:beforeLines="50"/>
      <w:ind w:firstLine="560" w:firstLineChars="200"/>
    </w:pPr>
    <w:rPr>
      <w:rFonts w:ascii="Times New Roman"/>
    </w:rPr>
  </w:style>
  <w:style w:type="table" w:customStyle="1" w:styleId="164">
    <w:name w:val="网格型1"/>
    <w:basedOn w:val="42"/>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character" w:customStyle="1" w:styleId="165">
    <w:name w:val="尾注文本 字符"/>
    <w:link w:val="25"/>
    <w:qFormat/>
    <w:uiPriority w:val="99"/>
    <w:rPr>
      <w:kern w:val="2"/>
      <w:sz w:val="21"/>
      <w:szCs w:val="22"/>
    </w:rPr>
  </w:style>
  <w:style w:type="character" w:customStyle="1" w:styleId="166">
    <w:name w:val="尾注文本 Char1"/>
    <w:basedOn w:val="47"/>
    <w:semiHidden/>
    <w:qFormat/>
    <w:uiPriority w:val="0"/>
    <w:rPr>
      <w:rFonts w:ascii="Times New Roman" w:hAnsi="Times New Roman"/>
      <w:spacing w:val="-2"/>
      <w:sz w:val="28"/>
    </w:rPr>
  </w:style>
  <w:style w:type="character" w:customStyle="1" w:styleId="167">
    <w:name w:val="我的表格 Char Char"/>
    <w:link w:val="126"/>
    <w:qFormat/>
    <w:uiPriority w:val="0"/>
    <w:rPr>
      <w:rFonts w:ascii="Times New Roman" w:hAnsi="Times New Roman"/>
      <w:spacing w:val="-2"/>
      <w:sz w:val="21"/>
      <w:szCs w:val="22"/>
    </w:rPr>
  </w:style>
  <w:style w:type="character" w:customStyle="1" w:styleId="168">
    <w:name w:val="文档结构图 字符"/>
    <w:basedOn w:val="47"/>
    <w:link w:val="14"/>
    <w:semiHidden/>
    <w:qFormat/>
    <w:uiPriority w:val="0"/>
    <w:rPr>
      <w:rFonts w:ascii="宋体" w:hAnsi="Times New Roman"/>
      <w:spacing w:val="-2"/>
      <w:sz w:val="18"/>
      <w:szCs w:val="18"/>
    </w:rPr>
  </w:style>
  <w:style w:type="paragraph" w:customStyle="1" w:styleId="169">
    <w:name w:val="样式 首行缩进:  2 字符"/>
    <w:basedOn w:val="1"/>
    <w:qFormat/>
    <w:uiPriority w:val="0"/>
    <w:pPr>
      <w:spacing w:line="360" w:lineRule="auto"/>
      <w:ind w:firstLine="420" w:firstLineChars="200"/>
    </w:pPr>
    <w:rPr>
      <w:rFonts w:ascii="Times New Roman" w:hAnsi="Times New Roman" w:eastAsia="仿宋_GB2312" w:cs="宋体"/>
      <w:sz w:val="24"/>
      <w:szCs w:val="20"/>
    </w:rPr>
  </w:style>
  <w:style w:type="paragraph" w:customStyle="1" w:styleId="170">
    <w:name w:val="样式 表格 + 宋体 五号"/>
    <w:basedOn w:val="1"/>
    <w:qFormat/>
    <w:uiPriority w:val="0"/>
    <w:pPr>
      <w:keepNext/>
      <w:autoSpaceDE w:val="0"/>
      <w:autoSpaceDN w:val="0"/>
      <w:adjustRightInd w:val="0"/>
      <w:ind w:firstLine="420" w:firstLineChars="200"/>
      <w:jc w:val="center"/>
      <w:textAlignment w:val="baseline"/>
    </w:pPr>
    <w:rPr>
      <w:rFonts w:ascii="宋体" w:hAnsi="宋体" w:eastAsia="宋体"/>
      <w:kern w:val="0"/>
      <w:sz w:val="24"/>
      <w:szCs w:val="20"/>
      <w:lang w:val="sq-AL"/>
    </w:rPr>
  </w:style>
  <w:style w:type="paragraph" w:customStyle="1" w:styleId="171">
    <w:name w:val="样式2"/>
    <w:basedOn w:val="1"/>
    <w:qFormat/>
    <w:uiPriority w:val="0"/>
    <w:pPr>
      <w:spacing w:line="300" w:lineRule="exact"/>
      <w:jc w:val="center"/>
    </w:pPr>
    <w:rPr>
      <w:rFonts w:ascii="宋体" w:hAnsi="宋体"/>
      <w:spacing w:val="4"/>
      <w:szCs w:val="20"/>
    </w:rPr>
  </w:style>
  <w:style w:type="paragraph" w:customStyle="1" w:styleId="172">
    <w:name w:val="CM12"/>
    <w:basedOn w:val="136"/>
    <w:next w:val="136"/>
    <w:qFormat/>
    <w:uiPriority w:val="0"/>
    <w:pPr>
      <w:spacing w:line="491" w:lineRule="atLeast"/>
    </w:pPr>
    <w:rPr>
      <w:rFonts w:ascii="仿宋_GB2312" w:eastAsia="仿宋_GB2312" w:cs="Times New Roman"/>
      <w:color w:val="auto"/>
    </w:rPr>
  </w:style>
</w:styles>
</file>

<file path=word/_rels/document.xml.rels><?xml version="1.0" encoding="UTF-8" standalone="yes"?>
<Relationships xmlns="http://schemas.openxmlformats.org/package/2006/relationships"><Relationship Id="rId99" Type="http://schemas.openxmlformats.org/officeDocument/2006/relationships/image" Target="media/image79.jpeg"/><Relationship Id="rId98" Type="http://schemas.openxmlformats.org/officeDocument/2006/relationships/image" Target="media/image78.jpeg"/><Relationship Id="rId97" Type="http://schemas.openxmlformats.org/officeDocument/2006/relationships/image" Target="media/image77.jpeg"/><Relationship Id="rId96" Type="http://schemas.openxmlformats.org/officeDocument/2006/relationships/image" Target="media/image76.jpeg"/><Relationship Id="rId95" Type="http://schemas.openxmlformats.org/officeDocument/2006/relationships/image" Target="media/image75.jpeg"/><Relationship Id="rId94" Type="http://schemas.openxmlformats.org/officeDocument/2006/relationships/image" Target="media/image74.jpeg"/><Relationship Id="rId93" Type="http://schemas.openxmlformats.org/officeDocument/2006/relationships/image" Target="media/image73.jpeg"/><Relationship Id="rId92" Type="http://schemas.openxmlformats.org/officeDocument/2006/relationships/image" Target="media/image72.jpeg"/><Relationship Id="rId91" Type="http://schemas.openxmlformats.org/officeDocument/2006/relationships/image" Target="media/image71.jpeg"/><Relationship Id="rId90" Type="http://schemas.openxmlformats.org/officeDocument/2006/relationships/image" Target="media/image70.jpeg"/><Relationship Id="rId9" Type="http://schemas.openxmlformats.org/officeDocument/2006/relationships/footer" Target="footer3.xml"/><Relationship Id="rId89" Type="http://schemas.openxmlformats.org/officeDocument/2006/relationships/image" Target="media/image69.jpeg"/><Relationship Id="rId88" Type="http://schemas.openxmlformats.org/officeDocument/2006/relationships/image" Target="media/image68.jpeg"/><Relationship Id="rId87" Type="http://schemas.openxmlformats.org/officeDocument/2006/relationships/image" Target="media/image67.jpeg"/><Relationship Id="rId86" Type="http://schemas.openxmlformats.org/officeDocument/2006/relationships/image" Target="media/image66.jpeg"/><Relationship Id="rId85" Type="http://schemas.openxmlformats.org/officeDocument/2006/relationships/image" Target="media/image65.jpeg"/><Relationship Id="rId84" Type="http://schemas.openxmlformats.org/officeDocument/2006/relationships/image" Target="media/image64.jpeg"/><Relationship Id="rId83" Type="http://schemas.openxmlformats.org/officeDocument/2006/relationships/image" Target="media/image63.jpeg"/><Relationship Id="rId82" Type="http://schemas.openxmlformats.org/officeDocument/2006/relationships/image" Target="media/image62.jpeg"/><Relationship Id="rId81" Type="http://schemas.openxmlformats.org/officeDocument/2006/relationships/image" Target="media/image61.jpeg"/><Relationship Id="rId80" Type="http://schemas.openxmlformats.org/officeDocument/2006/relationships/image" Target="media/image60.jpeg"/><Relationship Id="rId8" Type="http://schemas.openxmlformats.org/officeDocument/2006/relationships/footer" Target="footer2.xml"/><Relationship Id="rId79" Type="http://schemas.openxmlformats.org/officeDocument/2006/relationships/image" Target="media/image59.jpeg"/><Relationship Id="rId78" Type="http://schemas.openxmlformats.org/officeDocument/2006/relationships/image" Target="media/image58.jpeg"/><Relationship Id="rId77" Type="http://schemas.openxmlformats.org/officeDocument/2006/relationships/image" Target="media/image57.jpeg"/><Relationship Id="rId76" Type="http://schemas.openxmlformats.org/officeDocument/2006/relationships/image" Target="media/image56.jpeg"/><Relationship Id="rId75" Type="http://schemas.openxmlformats.org/officeDocument/2006/relationships/image" Target="media/image55.jpeg"/><Relationship Id="rId74" Type="http://schemas.openxmlformats.org/officeDocument/2006/relationships/image" Target="media/image54.jpeg"/><Relationship Id="rId73" Type="http://schemas.openxmlformats.org/officeDocument/2006/relationships/image" Target="media/image53.jpeg"/><Relationship Id="rId72" Type="http://schemas.openxmlformats.org/officeDocument/2006/relationships/image" Target="media/image52.jpeg"/><Relationship Id="rId71" Type="http://schemas.openxmlformats.org/officeDocument/2006/relationships/image" Target="media/image51.jpeg"/><Relationship Id="rId70" Type="http://schemas.openxmlformats.org/officeDocument/2006/relationships/image" Target="media/image50.jpeg"/><Relationship Id="rId7" Type="http://schemas.openxmlformats.org/officeDocument/2006/relationships/header" Target="header4.xml"/><Relationship Id="rId69" Type="http://schemas.openxmlformats.org/officeDocument/2006/relationships/image" Target="media/image49.jpeg"/><Relationship Id="rId68" Type="http://schemas.openxmlformats.org/officeDocument/2006/relationships/image" Target="media/image48.jpeg"/><Relationship Id="rId67" Type="http://schemas.openxmlformats.org/officeDocument/2006/relationships/image" Target="media/image47.png"/><Relationship Id="rId66" Type="http://schemas.openxmlformats.org/officeDocument/2006/relationships/image" Target="media/image46.png"/><Relationship Id="rId65" Type="http://schemas.openxmlformats.org/officeDocument/2006/relationships/image" Target="media/image45.png"/><Relationship Id="rId64" Type="http://schemas.openxmlformats.org/officeDocument/2006/relationships/image" Target="media/image44.png"/><Relationship Id="rId63" Type="http://schemas.openxmlformats.org/officeDocument/2006/relationships/image" Target="media/image43.png"/><Relationship Id="rId62" Type="http://schemas.openxmlformats.org/officeDocument/2006/relationships/image" Target="media/image42.png"/><Relationship Id="rId61" Type="http://schemas.openxmlformats.org/officeDocument/2006/relationships/image" Target="media/image41.png"/><Relationship Id="rId60" Type="http://schemas.openxmlformats.org/officeDocument/2006/relationships/image" Target="media/image40.png"/><Relationship Id="rId6" Type="http://schemas.openxmlformats.org/officeDocument/2006/relationships/header" Target="header3.xml"/><Relationship Id="rId59" Type="http://schemas.openxmlformats.org/officeDocument/2006/relationships/image" Target="media/image39.png"/><Relationship Id="rId58" Type="http://schemas.openxmlformats.org/officeDocument/2006/relationships/image" Target="media/image38.png"/><Relationship Id="rId57" Type="http://schemas.openxmlformats.org/officeDocument/2006/relationships/image" Target="media/image37.png"/><Relationship Id="rId56" Type="http://schemas.openxmlformats.org/officeDocument/2006/relationships/image" Target="media/image36.png"/><Relationship Id="rId55" Type="http://schemas.openxmlformats.org/officeDocument/2006/relationships/image" Target="media/image35.png"/><Relationship Id="rId54" Type="http://schemas.openxmlformats.org/officeDocument/2006/relationships/image" Target="media/image34.png"/><Relationship Id="rId53" Type="http://schemas.openxmlformats.org/officeDocument/2006/relationships/image" Target="media/image33.png"/><Relationship Id="rId52" Type="http://schemas.openxmlformats.org/officeDocument/2006/relationships/image" Target="media/image32.png"/><Relationship Id="rId51" Type="http://schemas.openxmlformats.org/officeDocument/2006/relationships/image" Target="media/image31.png"/><Relationship Id="rId50" Type="http://schemas.openxmlformats.org/officeDocument/2006/relationships/image" Target="media/image30.png"/><Relationship Id="rId5" Type="http://schemas.openxmlformats.org/officeDocument/2006/relationships/footer" Target="footer1.xml"/><Relationship Id="rId49" Type="http://schemas.openxmlformats.org/officeDocument/2006/relationships/image" Target="media/image29.png"/><Relationship Id="rId48" Type="http://schemas.openxmlformats.org/officeDocument/2006/relationships/image" Target="media/image28.png"/><Relationship Id="rId47" Type="http://schemas.openxmlformats.org/officeDocument/2006/relationships/image" Target="media/image27.png"/><Relationship Id="rId46" Type="http://schemas.openxmlformats.org/officeDocument/2006/relationships/image" Target="media/image26.png"/><Relationship Id="rId45" Type="http://schemas.openxmlformats.org/officeDocument/2006/relationships/image" Target="media/image25.png"/><Relationship Id="rId44" Type="http://schemas.openxmlformats.org/officeDocument/2006/relationships/image" Target="media/image24.png"/><Relationship Id="rId43" Type="http://schemas.openxmlformats.org/officeDocument/2006/relationships/image" Target="media/image23.png"/><Relationship Id="rId42" Type="http://schemas.openxmlformats.org/officeDocument/2006/relationships/image" Target="media/image22.png"/><Relationship Id="rId41" Type="http://schemas.openxmlformats.org/officeDocument/2006/relationships/image" Target="media/image21.png"/><Relationship Id="rId40" Type="http://schemas.openxmlformats.org/officeDocument/2006/relationships/image" Target="media/image20.png"/><Relationship Id="rId4" Type="http://schemas.openxmlformats.org/officeDocument/2006/relationships/header" Target="header2.xml"/><Relationship Id="rId39" Type="http://schemas.openxmlformats.org/officeDocument/2006/relationships/image" Target="media/image19.png"/><Relationship Id="rId38" Type="http://schemas.openxmlformats.org/officeDocument/2006/relationships/image" Target="media/image18.png"/><Relationship Id="rId37" Type="http://schemas.openxmlformats.org/officeDocument/2006/relationships/image" Target="media/image17.png"/><Relationship Id="rId36" Type="http://schemas.openxmlformats.org/officeDocument/2006/relationships/image" Target="media/image16.png"/><Relationship Id="rId35" Type="http://schemas.openxmlformats.org/officeDocument/2006/relationships/image" Target="media/image15.png"/><Relationship Id="rId34" Type="http://schemas.openxmlformats.org/officeDocument/2006/relationships/image" Target="media/image14.jpeg"/><Relationship Id="rId33" Type="http://schemas.openxmlformats.org/officeDocument/2006/relationships/image" Target="media/image13.jpeg"/><Relationship Id="rId32" Type="http://schemas.openxmlformats.org/officeDocument/2006/relationships/image" Target="media/image12.png"/><Relationship Id="rId31" Type="http://schemas.openxmlformats.org/officeDocument/2006/relationships/image" Target="media/image11.emf"/><Relationship Id="rId30" Type="http://schemas.openxmlformats.org/officeDocument/2006/relationships/oleObject" Target="embeddings/oleObject1.bin"/><Relationship Id="rId3" Type="http://schemas.openxmlformats.org/officeDocument/2006/relationships/header" Target="header1.xml"/><Relationship Id="rId29" Type="http://schemas.openxmlformats.org/officeDocument/2006/relationships/image" Target="media/image10.png"/><Relationship Id="rId28" Type="http://schemas.openxmlformats.org/officeDocument/2006/relationships/image" Target="media/image9.jpeg"/><Relationship Id="rId27" Type="http://schemas.openxmlformats.org/officeDocument/2006/relationships/image" Target="media/image8.jpeg"/><Relationship Id="rId26" Type="http://schemas.openxmlformats.org/officeDocument/2006/relationships/image" Target="media/image7.jpeg"/><Relationship Id="rId25" Type="http://schemas.openxmlformats.org/officeDocument/2006/relationships/image" Target="media/image6.png"/><Relationship Id="rId24" Type="http://schemas.openxmlformats.org/officeDocument/2006/relationships/image" Target="media/image5.jpeg"/><Relationship Id="rId23" Type="http://schemas.openxmlformats.org/officeDocument/2006/relationships/image" Target="media/image4.png"/><Relationship Id="rId22" Type="http://schemas.openxmlformats.org/officeDocument/2006/relationships/image" Target="media/image3.jpeg"/><Relationship Id="rId21" Type="http://schemas.openxmlformats.org/officeDocument/2006/relationships/image" Target="media/image2.jpeg"/><Relationship Id="rId20" Type="http://schemas.openxmlformats.org/officeDocument/2006/relationships/image" Target="media/image1.jpeg"/><Relationship Id="rId2" Type="http://schemas.openxmlformats.org/officeDocument/2006/relationships/settings" Target="settings.xml"/><Relationship Id="rId19" Type="http://schemas.openxmlformats.org/officeDocument/2006/relationships/theme" Target="theme/theme1.xml"/><Relationship Id="rId18" Type="http://schemas.openxmlformats.org/officeDocument/2006/relationships/footer" Target="footer10.xml"/><Relationship Id="rId17" Type="http://schemas.openxmlformats.org/officeDocument/2006/relationships/header" Target="header6.xml"/><Relationship Id="rId16" Type="http://schemas.openxmlformats.org/officeDocument/2006/relationships/footer" Target="footer9.xml"/><Relationship Id="rId15" Type="http://schemas.openxmlformats.org/officeDocument/2006/relationships/header" Target="header5.xml"/><Relationship Id="rId14" Type="http://schemas.openxmlformats.org/officeDocument/2006/relationships/footer" Target="footer8.xml"/><Relationship Id="rId13" Type="http://schemas.openxmlformats.org/officeDocument/2006/relationships/footer" Target="footer7.xml"/><Relationship Id="rId12" Type="http://schemas.openxmlformats.org/officeDocument/2006/relationships/footer" Target="footer6.xml"/><Relationship Id="rId11" Type="http://schemas.openxmlformats.org/officeDocument/2006/relationships/footer" Target="footer5.xml"/><Relationship Id="rId106" Type="http://schemas.openxmlformats.org/officeDocument/2006/relationships/fontTable" Target="fontTable.xml"/><Relationship Id="rId105" Type="http://schemas.openxmlformats.org/officeDocument/2006/relationships/customXml" Target="../customXml/item2.xml"/><Relationship Id="rId104" Type="http://schemas.openxmlformats.org/officeDocument/2006/relationships/numbering" Target="numbering.xml"/><Relationship Id="rId103" Type="http://schemas.openxmlformats.org/officeDocument/2006/relationships/customXml" Target="../customXml/item1.xml"/><Relationship Id="rId102" Type="http://schemas.openxmlformats.org/officeDocument/2006/relationships/image" Target="media/image82.png"/><Relationship Id="rId101" Type="http://schemas.openxmlformats.org/officeDocument/2006/relationships/image" Target="media/image81.jpeg"/><Relationship Id="rId100" Type="http://schemas.openxmlformats.org/officeDocument/2006/relationships/image" Target="media/image80.jpeg"/><Relationship Id="rId10" Type="http://schemas.openxmlformats.org/officeDocument/2006/relationships/footer" Target="footer4.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9220" textRotate="1"/>
    <customShpInfo spid="_x0000_s9221" textRotate="1"/>
    <customShpInfo spid="_x0000_s9222" textRotate="1"/>
    <customShpInfo spid="_x0000_s9223" textRotate="1"/>
    <customShpInfo spid="_x0000_s9224" textRotate="1"/>
    <customShpInfo spid="_x0000_s9219" textRotate="1"/>
    <customShpInfo spid="_x0000_s9225" textRotate="1"/>
    <customShpInfo spid="_x0000_s9226" textRotate="1"/>
    <customShpInfo spid="_x0000_s9227" textRotate="1"/>
    <customShpInfo spid="_x0000_s1026"/>
    <customShpInfo spid="_x0000_s1027"/>
    <customShpInfo spid="_x0000_s1028"/>
    <customShpInfo spid="_x0000_s1029"/>
    <customShpInfo spid="_x0000_s1030"/>
    <customShpInfo spid="_x0000_s1031"/>
    <customShpInfo spid="_x0000_s1032"/>
    <customShpInfo spid="_x0000_s1033"/>
    <customShpInfo spid="_x0000_s1034"/>
    <customShpInfo spid="_x0000_s1035"/>
    <customShpInfo spid="_x0000_s1036"/>
    <customShpInfo spid="_x0000_s1037"/>
    <customShpInfo spid="_x0000_s1038"/>
    <customShpInfo spid="_x0000_s1039"/>
    <customShpInfo spid="_x0000_s1040"/>
    <customShpInfo spid="_x0000_s1041"/>
    <customShpInfo spid="_x0000_s1042"/>
    <customShpInfo spid="_x0000_s1043"/>
    <customShpInfo spid="_x0000_s8538"/>
    <customShpInfo spid="_x0000_s8540"/>
    <customShpInfo spid="_x0000_s8539"/>
    <customShpInfo spid="_x0000_s8537"/>
    <customShpInfo spid="_x0000_s8546"/>
    <customShpInfo spid="_x0000_s8548"/>
    <customShpInfo spid="_x0000_s8547"/>
    <customShpInfo spid="_x0000_s8545"/>
    <customShpInfo spid="_x0000_s8583"/>
    <customShpInfo spid="_x0000_s8581"/>
    <customShpInfo spid="_x0000_s8580"/>
    <customShpInfo spid="_x0000_s8579"/>
    <customShpInfo spid="_x0000_s8578"/>
    <customShpInfo spid="_x0000_s8577"/>
    <customShpInfo spid="_x0000_s8576"/>
    <customShpInfo spid="_x0000_s8575"/>
    <customShpInfo spid="_x0000_s8574"/>
    <customShpInfo spid="_x0000_s8573"/>
    <customShpInfo spid="_x0000_s8572"/>
    <customShpInfo spid="_x0000_s8571"/>
    <customShpInfo spid="_x0000_s8570"/>
    <customShpInfo spid="_x0000_s8558"/>
    <customShpInfo spid="_x0000_s7514"/>
    <customShpInfo spid="_x0000_s7515"/>
    <customShpInfo spid="_x0000_s7517"/>
    <customShpInfo spid="_x0000_s7518"/>
    <customShpInfo spid="_x0000_s7527"/>
    <customShpInfo spid="_x0000_s7529"/>
    <customShpInfo spid="_x0000_s8430"/>
    <customShpInfo spid="_x0000_s8431"/>
    <customShpInfo spid="_x0000_s8432"/>
    <customShpInfo spid="_x0000_s8433"/>
    <customShpInfo spid="_x0000_s8438"/>
    <customShpInfo spid="_x0000_s8439"/>
    <customShpInfo spid="_x0000_s8442"/>
    <customShpInfo spid="_x0000_s8443"/>
    <customShpInfo spid="_x0000_s8446"/>
    <customShpInfo spid="_x0000_s8447"/>
    <customShpInfo spid="_x0000_s8560"/>
    <customShpInfo spid="_x0000_s8561"/>
    <customShpInfo spid="_x0000_s7513"/>
    <customShpInfo spid="_x0000_s8127"/>
    <customShpInfo spid="_x0000_s8128"/>
    <customShpInfo spid="_x0000_s8129"/>
    <customShpInfo spid="_x0000_s8130"/>
    <customShpInfo spid="_x0000_s8131"/>
    <customShpInfo spid="_x0000_s8132"/>
    <customShpInfo spid="_x0000_s8133"/>
    <customShpInfo spid="_x0000_s8134"/>
    <customShpInfo spid="_x0000_s8135"/>
    <customShpInfo spid="_x0000_s8136"/>
    <customShpInfo spid="_x0000_s8137"/>
    <customShpInfo spid="_x0000_s8138"/>
    <customShpInfo spid="_x0000_s8139"/>
    <customShpInfo spid="_x0000_s8140"/>
    <customShpInfo spid="_x0000_s8141"/>
    <customShpInfo spid="_x0000_s8142"/>
    <customShpInfo spid="_x0000_s8143"/>
    <customShpInfo spid="_x0000_s8144"/>
    <customShpInfo spid="_x0000_s8145"/>
    <customShpInfo spid="_x0000_s8146"/>
    <customShpInfo spid="_x0000_s8147"/>
    <customShpInfo spid="_x0000_s8148"/>
    <customShpInfo spid="_x0000_s8149"/>
    <customShpInfo spid="_x0000_s8150"/>
    <customShpInfo spid="_x0000_s8151"/>
    <customShpInfo spid="_x0000_s8152"/>
    <customShpInfo spid="_x0000_s8153"/>
    <customShpInfo spid="_x0000_s8154"/>
    <customShpInfo spid="_x0000_s8155"/>
    <customShpInfo spid="_x0000_s8156"/>
    <customShpInfo spid="_x0000_s8157"/>
    <customShpInfo spid="_x0000_s8158"/>
    <customShpInfo spid="_x0000_s8159"/>
    <customShpInfo spid="_x0000_s8160"/>
    <customShpInfo spid="_x0000_s8161"/>
    <customShpInfo spid="_x0000_s8162"/>
    <customShpInfo spid="_x0000_s8163"/>
    <customShpInfo spid="_x0000_s8164"/>
    <customShpInfo spid="_x0000_s8165"/>
    <customShpInfo spid="_x0000_s8166"/>
    <customShpInfo spid="_x0000_s8167"/>
    <customShpInfo spid="_x0000_s8168"/>
    <customShpInfo spid="_x0000_s8169"/>
    <customShpInfo spid="_x0000_s8170"/>
    <customShpInfo spid="_x0000_s8171"/>
    <customShpInfo spid="_x0000_s8172"/>
    <customShpInfo spid="_x0000_s8173"/>
    <customShpInfo spid="_x0000_s8174"/>
    <customShpInfo spid="_x0000_s8175"/>
    <customShpInfo spid="_x0000_s8176"/>
    <customShpInfo spid="_x0000_s8177"/>
    <customShpInfo spid="_x0000_s8178"/>
    <customShpInfo spid="_x0000_s8179"/>
    <customShpInfo spid="_x0000_s8180"/>
    <customShpInfo spid="_x0000_s8181"/>
    <customShpInfo spid="_x0000_s8182"/>
    <customShpInfo spid="_x0000_s8183"/>
    <customShpInfo spid="_x0000_s8184"/>
    <customShpInfo spid="_x0000_s8185"/>
    <customShpInfo spid="_x0000_s8186"/>
    <customShpInfo spid="_x0000_s8187"/>
    <customShpInfo spid="_x0000_s8188"/>
    <customShpInfo spid="_x0000_s8189"/>
    <customShpInfo spid="_x0000_s8190"/>
    <customShpInfo spid="_x0000_s8126"/>
    <customShpInfo spid="_x0000_s8192"/>
    <customShpInfo spid="_x0000_s8193"/>
    <customShpInfo spid="_x0000_s8194"/>
    <customShpInfo spid="_x0000_s8195"/>
    <customShpInfo spid="_x0000_s8196"/>
    <customShpInfo spid="_x0000_s8197"/>
    <customShpInfo spid="_x0000_s8198"/>
    <customShpInfo spid="_x0000_s8199"/>
    <customShpInfo spid="_x0000_s8200"/>
    <customShpInfo spid="_x0000_s8201"/>
    <customShpInfo spid="_x0000_s8202"/>
    <customShpInfo spid="_x0000_s8203"/>
    <customShpInfo spid="_x0000_s8204"/>
    <customShpInfo spid="_x0000_s8205"/>
    <customShpInfo spid="_x0000_s8206"/>
    <customShpInfo spid="_x0000_s8207"/>
    <customShpInfo spid="_x0000_s8208"/>
    <customShpInfo spid="_x0000_s8209"/>
    <customShpInfo spid="_x0000_s8210"/>
    <customShpInfo spid="_x0000_s8211"/>
    <customShpInfo spid="_x0000_s8212"/>
    <customShpInfo spid="_x0000_s8213"/>
    <customShpInfo spid="_x0000_s8214"/>
    <customShpInfo spid="_x0000_s8215"/>
    <customShpInfo spid="_x0000_s8191"/>
    <customShpInfo spid="_x0000_s8289"/>
    <customShpInfo spid="_x0000_s8290"/>
    <customShpInfo spid="_x0000_s8291"/>
    <customShpInfo spid="_x0000_s8292"/>
    <customShpInfo spid="_x0000_s8293"/>
    <customShpInfo spid="_x0000_s8294"/>
    <customShpInfo spid="_x0000_s8295"/>
    <customShpInfo spid="_x0000_s8296"/>
    <customShpInfo spid="_x0000_s8297"/>
    <customShpInfo spid="_x0000_s8298"/>
    <customShpInfo spid="_x0000_s8299"/>
    <customShpInfo spid="_x0000_s8300"/>
    <customShpInfo spid="_x0000_s8301"/>
    <customShpInfo spid="_x0000_s8302"/>
    <customShpInfo spid="_x0000_s8303"/>
    <customShpInfo spid="_x0000_s8304"/>
    <customShpInfo spid="_x0000_s8305"/>
    <customShpInfo spid="_x0000_s8306"/>
    <customShpInfo spid="_x0000_s8307"/>
    <customShpInfo spid="_x0000_s8308"/>
    <customShpInfo spid="_x0000_s8309"/>
    <customShpInfo spid="_x0000_s8310"/>
    <customShpInfo spid="_x0000_s8311"/>
    <customShpInfo spid="_x0000_s8312"/>
    <customShpInfo spid="_x0000_s8313"/>
    <customShpInfo spid="_x0000_s8314"/>
    <customShpInfo spid="_x0000_s8315"/>
    <customShpInfo spid="_x0000_s8316"/>
    <customShpInfo spid="_x0000_s8317"/>
    <customShpInfo spid="_x0000_s8318"/>
    <customShpInfo spid="_x0000_s8319"/>
    <customShpInfo spid="_x0000_s8320"/>
    <customShpInfo spid="_x0000_s8321"/>
    <customShpInfo spid="_x0000_s8322"/>
    <customShpInfo spid="_x0000_s8323"/>
    <customShpInfo spid="_x0000_s8324"/>
    <customShpInfo spid="_x0000_s8325"/>
    <customShpInfo spid="_x0000_s8326"/>
    <customShpInfo spid="_x0000_s8327"/>
    <customShpInfo spid="_x0000_s8328"/>
    <customShpInfo spid="_x0000_s8329"/>
    <customShpInfo spid="_x0000_s8330"/>
    <customShpInfo spid="_x0000_s8331"/>
    <customShpInfo spid="_x0000_s8332"/>
    <customShpInfo spid="_x0000_s8333"/>
    <customShpInfo spid="_x0000_s8334"/>
    <customShpInfo spid="_x0000_s8335"/>
    <customShpInfo spid="_x0000_s8336"/>
    <customShpInfo spid="_x0000_s8337"/>
    <customShpInfo spid="_x0000_s8338"/>
    <customShpInfo spid="_x0000_s8339"/>
    <customShpInfo spid="_x0000_s8340"/>
    <customShpInfo spid="_x0000_s8341"/>
    <customShpInfo spid="_x0000_s8342"/>
    <customShpInfo spid="_x0000_s8343"/>
    <customShpInfo spid="_x0000_s8344"/>
    <customShpInfo spid="_x0000_s8345"/>
    <customShpInfo spid="_x0000_s8346"/>
    <customShpInfo spid="_x0000_s8347"/>
    <customShpInfo spid="_x0000_s8348"/>
    <customShpInfo spid="_x0000_s8349"/>
    <customShpInfo spid="_x0000_s8350"/>
    <customShpInfo spid="_x0000_s8351"/>
    <customShpInfo spid="_x0000_s8352"/>
    <customShpInfo spid="_x0000_s8353"/>
    <customShpInfo spid="_x0000_s8354"/>
    <customShpInfo spid="_x0000_s8355"/>
    <customShpInfo spid="_x0000_s8357"/>
    <customShpInfo spid="_x0000_s8288"/>
    <customShpInfo spid="_x0000_s6712"/>
    <customShpInfo spid="_x0000_s6711"/>
    <customShpInfo spid="_x0000_s1270"/>
    <customShpInfo spid="_x0000_s1271"/>
    <customShpInfo spid="_x0000_s8455"/>
    <customShpInfo spid="_x0000_s8456"/>
    <customShpInfo spid="_x0000_s8457"/>
    <customShpInfo spid="_x0000_s8458"/>
    <customShpInfo spid="_x0000_s8459"/>
    <customShpInfo spid="_x0000_s8460"/>
    <customShpInfo spid="_x0000_s8461"/>
    <customShpInfo spid="_x0000_s8462"/>
    <customShpInfo spid="_x0000_s8463"/>
    <customShpInfo spid="_x0000_s8464"/>
    <customShpInfo spid="_x0000_s8465"/>
    <customShpInfo spid="_x0000_s8466"/>
    <customShpInfo spid="_x0000_s8467"/>
    <customShpInfo spid="_x0000_s8468"/>
    <customShpInfo spid="_x0000_s8469"/>
    <customShpInfo spid="_x0000_s8470"/>
    <customShpInfo spid="_x0000_s8471"/>
    <customShpInfo spid="_x0000_s8472"/>
    <customShpInfo spid="_x0000_s8473"/>
    <customShpInfo spid="_x0000_s8474"/>
    <customShpInfo spid="_x0000_s8475"/>
    <customShpInfo spid="_x0000_s8476"/>
    <customShpInfo spid="_x0000_s8477"/>
    <customShpInfo spid="_x0000_s8478"/>
    <customShpInfo spid="_x0000_s8479"/>
    <customShpInfo spid="_x0000_s8480"/>
    <customShpInfo spid="_x0000_s8481"/>
    <customShpInfo spid="_x0000_s8482"/>
    <customShpInfo spid="_x0000_s8483"/>
    <customShpInfo spid="_x0000_s8484"/>
    <customShpInfo spid="_x0000_s8485"/>
    <customShpInfo spid="_x0000_s8486"/>
    <customShpInfo spid="_x0000_s8487"/>
    <customShpInfo spid="_x0000_s8488"/>
    <customShpInfo spid="_x0000_s8489"/>
    <customShpInfo spid="_x0000_s8490"/>
    <customShpInfo spid="_x0000_s8491"/>
    <customShpInfo spid="_x0000_s8492"/>
    <customShpInfo spid="_x0000_s8493"/>
    <customShpInfo spid="_x0000_s8494"/>
    <customShpInfo spid="_x0000_s8495"/>
    <customShpInfo spid="_x0000_s8496"/>
    <customShpInfo spid="_x0000_s8497"/>
    <customShpInfo spid="_x0000_s8498"/>
    <customShpInfo spid="_x0000_s8499"/>
    <customShpInfo spid="_x0000_s8500"/>
    <customShpInfo spid="_x0000_s8501"/>
    <customShpInfo spid="_x0000_s8502"/>
    <customShpInfo spid="_x0000_s8503"/>
    <customShpInfo spid="_x0000_s8504"/>
    <customShpInfo spid="_x0000_s8505"/>
    <customShpInfo spid="_x0000_s8506"/>
    <customShpInfo spid="_x0000_s8507"/>
    <customShpInfo spid="_x0000_s8508"/>
    <customShpInfo spid="_x0000_s8509"/>
    <customShpInfo spid="_x0000_s8510"/>
    <customShpInfo spid="_x0000_s8511"/>
    <customShpInfo spid="_x0000_s8512"/>
    <customShpInfo spid="_x0000_s8513"/>
    <customShpInfo spid="_x0000_s8514"/>
    <customShpInfo spid="_x0000_s8515"/>
    <customShpInfo spid="_x0000_s8516"/>
    <customShpInfo spid="_x0000_s8517"/>
    <customShpInfo spid="_x0000_s8518"/>
    <customShpInfo spid="_x0000_s8519"/>
    <customShpInfo spid="_x0000_s8520"/>
    <customShpInfo spid="_x0000_s8521"/>
    <customShpInfo spid="_x0000_s8523"/>
    <customShpInfo spid="_x0000_s8454"/>
    <customShpInfo spid="_x0000_s8563"/>
    <customShpInfo spid="_x0000_s8565"/>
    <customShpInfo spid="_x0000_s8564"/>
    <customShpInfo spid="_x0000_s8562"/>
  </customShpExts>
</s:customData>
</file>

<file path=customXml/item2.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C5CFF909-0798-445A-A259-7188C40FD049}">
  <ds:schemaRefs/>
</ds:datastoreItem>
</file>

<file path=docProps/app.xml><?xml version="1.0" encoding="utf-8"?>
<Properties xmlns="http://schemas.openxmlformats.org/officeDocument/2006/extended-properties" xmlns:vt="http://schemas.openxmlformats.org/officeDocument/2006/docPropsVTypes">
  <Template>Normal</Template>
  <Pages>192</Pages>
  <Words>10795</Words>
  <Characters>61534</Characters>
  <Lines>512</Lines>
  <Paragraphs>144</Paragraphs>
  <TotalTime>2</TotalTime>
  <ScaleCrop>false</ScaleCrop>
  <LinksUpToDate>false</LinksUpToDate>
  <CharactersWithSpaces>72185</CharactersWithSpaces>
  <Application>WPS Office_11.1.0.8894_F1E327BC-269C-435d-A152-05C5408002CA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2018-12-14T01:39:00Z</dcterms:created>
  <dc:creator>Administrator</dc:creator>
  <cp:lastModifiedBy>ご智℡</cp:lastModifiedBy>
  <cp:lastPrinted>2018-09-17T05:10:00Z</cp:lastPrinted>
  <dcterms:modified xsi:type="dcterms:W3CDTF">2019-07-31T09:39:43Z</dcterms:modified>
  <cp:revision>54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2052-11.1.0.8894</vt:lpwstr>
  </property>
</Properties>
</file>