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bookmarkStart w:id="13" w:name="_GoBack"/>
      <w:bookmarkEnd w:id="13"/>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hint="eastAsia" w:ascii="黑体" w:hAnsi="黑体" w:eastAsia="黑体" w:cs="黑体"/>
          <w:sz w:val="40"/>
          <w:szCs w:val="48"/>
          <w:lang w:val="en-US" w:eastAsia="zh-CN"/>
        </w:rPr>
      </w:pPr>
      <w:r>
        <w:rPr>
          <w:rFonts w:hint="eastAsia" w:ascii="黑体" w:hAnsi="黑体" w:eastAsia="黑体" w:cs="黑体"/>
          <w:sz w:val="40"/>
          <w:szCs w:val="48"/>
        </w:rPr>
        <w:t>《</w:t>
      </w:r>
      <w:r>
        <w:rPr>
          <w:rFonts w:hint="eastAsia" w:ascii="黑体" w:hAnsi="黑体" w:eastAsia="黑体" w:cs="黑体"/>
          <w:sz w:val="40"/>
          <w:szCs w:val="48"/>
          <w:lang w:val="en-US" w:eastAsia="zh-CN"/>
        </w:rPr>
        <w:t>环保共性产业园核心区建设和管理技术规范</w:t>
      </w:r>
    </w:p>
    <w:p>
      <w:pPr>
        <w:jc w:val="center"/>
        <w:rPr>
          <w:rFonts w:ascii="黑体" w:hAnsi="黑体" w:eastAsia="黑体" w:cs="黑体"/>
          <w:sz w:val="40"/>
          <w:szCs w:val="48"/>
        </w:rPr>
      </w:pPr>
      <w:r>
        <w:rPr>
          <w:rFonts w:hint="eastAsia" w:ascii="黑体" w:hAnsi="黑体" w:eastAsia="黑体" w:cs="黑体"/>
          <w:sz w:val="40"/>
          <w:szCs w:val="48"/>
          <w:lang w:val="en-US" w:eastAsia="zh-CN"/>
        </w:rPr>
        <w:t xml:space="preserve"> 木制家具喷涂</w:t>
      </w:r>
      <w:r>
        <w:rPr>
          <w:rFonts w:hint="eastAsia" w:ascii="黑体" w:hAnsi="黑体" w:eastAsia="黑体" w:cs="黑体"/>
          <w:sz w:val="40"/>
          <w:szCs w:val="48"/>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24"/>
          <w:szCs w:val="24"/>
        </w:rPr>
      </w:pPr>
      <w:r>
        <w:rPr>
          <w:rFonts w:hint="eastAsia" w:ascii="黑体" w:hAnsi="黑体" w:eastAsia="黑体" w:cs="黑体"/>
          <w:sz w:val="24"/>
          <w:szCs w:val="24"/>
        </w:rPr>
        <w:t>《环保共性产业园</w:t>
      </w:r>
      <w:r>
        <w:rPr>
          <w:rFonts w:hint="eastAsia" w:ascii="黑体" w:hAnsi="黑体" w:eastAsia="黑体" w:cs="黑体"/>
          <w:sz w:val="24"/>
          <w:szCs w:val="24"/>
          <w:lang w:val="en-US" w:eastAsia="zh-CN"/>
        </w:rPr>
        <w:t>核心区</w:t>
      </w:r>
      <w:r>
        <w:rPr>
          <w:rFonts w:hint="eastAsia" w:ascii="黑体" w:hAnsi="黑体" w:eastAsia="黑体" w:cs="黑体"/>
          <w:sz w:val="24"/>
          <w:szCs w:val="24"/>
        </w:rPr>
        <w:t>建设和管理技术规范</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木制家具喷涂》编制组</w:t>
      </w:r>
    </w:p>
    <w:p>
      <w:pPr>
        <w:spacing w:line="360" w:lineRule="auto"/>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24"/>
          <w:szCs w:val="24"/>
          <w:lang w:val="en-US" w:eastAsia="zh-CN"/>
        </w:rPr>
        <w:t>2022</w:t>
      </w:r>
      <w:r>
        <w:rPr>
          <w:rFonts w:hint="eastAsia" w:ascii="黑体" w:hAnsi="黑体" w:eastAsia="黑体" w:cs="黑体"/>
          <w:sz w:val="24"/>
          <w:szCs w:val="24"/>
        </w:rPr>
        <w:t>年</w:t>
      </w:r>
      <w:r>
        <w:rPr>
          <w:rFonts w:hint="eastAsia" w:ascii="黑体" w:hAnsi="黑体" w:eastAsia="黑体" w:cs="黑体"/>
          <w:sz w:val="24"/>
          <w:szCs w:val="24"/>
          <w:lang w:val="en-US" w:eastAsia="zh-CN"/>
        </w:rPr>
        <w:t>9</w:t>
      </w:r>
      <w:r>
        <w:rPr>
          <w:rFonts w:hint="eastAsia" w:ascii="黑体" w:hAnsi="黑体" w:eastAsia="黑体" w:cs="黑体"/>
          <w:sz w:val="24"/>
          <w:szCs w:val="24"/>
        </w:rPr>
        <w:t>月</w:t>
      </w:r>
    </w:p>
    <w:p>
      <w:pPr>
        <w:jc w:val="center"/>
        <w:rPr>
          <w:rFonts w:ascii="黑体" w:hAnsi="黑体" w:eastAsia="黑体" w:cs="黑体"/>
          <w:sz w:val="36"/>
          <w:szCs w:val="44"/>
        </w:rPr>
      </w:pPr>
    </w:p>
    <w:p>
      <w:pPr>
        <w:jc w:val="center"/>
        <w:rPr>
          <w:rFonts w:ascii="黑体" w:hAnsi="黑体" w:eastAsia="黑体" w:cs="黑体"/>
          <w:sz w:val="36"/>
          <w:szCs w:val="44"/>
        </w:rPr>
      </w:pPr>
    </w:p>
    <w:sdt>
      <w:sdtPr>
        <w:rPr>
          <w:rFonts w:hint="eastAsia" w:ascii="黑体" w:hAnsi="黑体" w:eastAsia="黑体" w:cs="黑体"/>
          <w:sz w:val="32"/>
          <w:szCs w:val="32"/>
        </w:rPr>
        <w:id w:val="147481751"/>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11"/>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"_Toc8894"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_Toc8894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"_Toc6508"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_Toc6508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"_Toc30011"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_Toc30011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"_Toc11959"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_Toc11959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"_Toc13886"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_Toc13886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"_Toc29606"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_Toc29606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"_Toc12195"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_Toc12195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"_Toc3708"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_Toc3708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"_Toc11056"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_Toc11056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11"/>
            <w:tabs>
              <w:tab w:val="right" w:leader="dot" w:pos="8306"/>
            </w:tabs>
            <w:rPr>
              <w:rFonts w:ascii="宋体" w:hAnsi="宋体" w:cs="宋体"/>
              <w:sz w:val="28"/>
              <w:szCs w:val="28"/>
            </w:rPr>
          </w:pPr>
          <w:r>
            <w:fldChar w:fldCharType="begin"/>
          </w:r>
          <w:r>
            <w:instrText xml:space="preserve"> HYPERLINK \l "_Toc5196"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_Toc5196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8894"/>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type w:val="continuous"/>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一、任务来源</w:t>
      </w:r>
      <w:bookmarkEnd w:id="0"/>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由于早期规划、产业布局不合理等因素，中山市中小型工业企业存量逐渐增多，企业分散布局，并伴随多点排污等问题，这不仅加大了环境监管难度，同时在一定程度上阻碍了产业转型升级。前期，为解决中山市家具行业发展带来的大气污染治理困境，相关部门提出了“共性工厂”理念，并在环保实践中不断完善“共性工厂”建设的“硬指标”，提高标准门槛。当前，为合力破解土地瓶颈、加快低效园区升级改造，相关部门在“共性工厂”的基础上，创造性地提出建设“共性产业园”的概念。“共性产业园”是指通过将同一产业或同一地区企业的生产加工或某一特定环节聚集，实现集中生产、集中设计或集中处理，同时配套产业链上下游企业，最终实现产业集聚发展的现代化园区。“共性产业园”内部按照不同功能布局，可划分为核心区、缓冲区、拓展区、辐射区等区域，而“共性产业园核心区”则聚焦某一个或多个产污工段，目的是集中解决产业园环保问题，为产污工段提供共享治污设施和配套服务。</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家具制造业作为中山重要的经济产业，大量企业以中小微型企业形态存续。在家具企业生产过程中，喷涂工段喷涂时产生大量废气污染物。但由于中小微型企业普遍缺乏资金实力和技术，许多企业不具备独立建设达标治污设施的条件。针对家具行业中小规模企业多、工厂分散、挥发性有机物排放突出等情况，中山市鼓励建设家具行业共性产业园，并在核心区域建设喷涂共享中心，为家具制造企业提供集中喷涂服务。</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为进一步探索集中管理、集中治污的新理念，结合全市低效工业园区改造工作，相关部门提出同步规划、同步建设“共性产业园”要求。由于国家和地方相关法律法规及标准对厂房、作业规范、治污等要求较为宽泛及分散，且不能完全吻合我市家具制造业的产业发展要求，同时针对各重点行业的具体布局、设计和建设指引尚付阙如，需及时制定针对木制家具类环保共性产业园核心区的建设和管理的团体标准。制定本团体标准，将有助于进一步规范新建、改建、已建木制家具类环保共性产业园核心区的建设和管理，推动产业升级，实现空间布局优化、产业集聚和绿色升级，实现从源头、过程、末端全过程解决生态环境保护问题。</w:t>
      </w:r>
    </w:p>
    <w:p>
      <w:pPr>
        <w:spacing w:line="360" w:lineRule="auto"/>
        <w:outlineLvl w:val="0"/>
        <w:rPr>
          <w:rFonts w:ascii="黑体" w:hAnsi="黑体" w:eastAsia="黑体" w:cs="黑体"/>
          <w:sz w:val="28"/>
          <w:szCs w:val="28"/>
        </w:rPr>
      </w:pPr>
      <w:bookmarkStart w:id="1" w:name="_Toc6508"/>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w:t>
      </w:r>
      <w:r>
        <w:rPr>
          <w:rFonts w:hint="eastAsia" w:ascii="宋体" w:hAnsi="宋体" w:eastAsia="宋体" w:cs="宋体"/>
          <w:sz w:val="28"/>
          <w:szCs w:val="28"/>
          <w:lang w:val="en-US" w:eastAsia="zh-CN"/>
        </w:rPr>
        <w:t>环境保护技术中心、中山市家具商会共同</w:t>
      </w:r>
      <w:r>
        <w:rPr>
          <w:rFonts w:hint="eastAsia" w:ascii="宋体" w:hAnsi="宋体" w:eastAsia="宋体" w:cs="宋体"/>
          <w:sz w:val="28"/>
          <w:szCs w:val="28"/>
        </w:rPr>
        <w:t>提交《共性产业园（共性工厂）建设和管理技术规范 木制家具喷涂》（暂定名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以下简称“《技术规范》”</w:t>
      </w:r>
      <w:r>
        <w:rPr>
          <w:rFonts w:hint="eastAsia" w:ascii="宋体" w:hAnsi="宋体" w:eastAsia="宋体" w:cs="宋体"/>
          <w:sz w:val="28"/>
          <w:szCs w:val="28"/>
        </w:rPr>
        <w:t>）团体标准的立项申请，并完成该标准团体的立项申报工作。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w:t>
      </w:r>
      <w:r>
        <w:rPr>
          <w:rFonts w:hint="eastAsia" w:ascii="宋体" w:hAnsi="宋体" w:eastAsia="宋体" w:cs="宋体"/>
          <w:sz w:val="28"/>
          <w:szCs w:val="28"/>
          <w:lang w:val="en-US" w:eastAsia="zh-CN"/>
        </w:rPr>
        <w:t>《技术规范》</w:t>
      </w:r>
      <w:r>
        <w:rPr>
          <w:rFonts w:hint="eastAsia" w:ascii="宋体" w:hAnsi="宋体" w:eastAsia="宋体" w:cs="宋体"/>
          <w:sz w:val="28"/>
          <w:szCs w:val="28"/>
        </w:rPr>
        <w:t>进行立项论证，专家一致同意</w:t>
      </w:r>
      <w:r>
        <w:rPr>
          <w:rFonts w:hint="eastAsia" w:ascii="宋体" w:hAnsi="宋体" w:eastAsia="宋体" w:cs="宋体"/>
          <w:sz w:val="28"/>
          <w:szCs w:val="28"/>
          <w:lang w:val="en-US" w:eastAsia="zh-CN"/>
        </w:rPr>
        <w:t>《技术规范》</w:t>
      </w:r>
      <w:r>
        <w:rPr>
          <w:rFonts w:hint="eastAsia" w:ascii="宋体" w:hAnsi="宋体" w:eastAsia="宋体" w:cs="宋体"/>
          <w:sz w:val="28"/>
          <w:szCs w:val="28"/>
        </w:rPr>
        <w:t>立项。同日，中山市环境科学学会发布《关于中山市环境科学学会2022年第一批团体标准制修订项目的公示》，对包括</w:t>
      </w:r>
      <w:r>
        <w:rPr>
          <w:rFonts w:hint="eastAsia" w:ascii="宋体" w:hAnsi="宋体" w:eastAsia="宋体" w:cs="宋体"/>
          <w:sz w:val="28"/>
          <w:szCs w:val="28"/>
          <w:lang w:val="en-US" w:eastAsia="zh-CN"/>
        </w:rPr>
        <w:t>《技术规范》</w:t>
      </w:r>
      <w:r>
        <w:rPr>
          <w:rFonts w:hint="eastAsia" w:ascii="宋体" w:hAnsi="宋体" w:eastAsia="宋体" w:cs="宋体"/>
          <w:sz w:val="28"/>
          <w:szCs w:val="28"/>
        </w:rPr>
        <w:t>在内的8项团体标准项目进行公示。2022年5月7日，立项公示期结束，公示期间没有收到单位或个人对团体标准项目的异议意见，中山市环境科学学会发布《关于中山市环境科学学会2022年第一批团体标准立项的公告》，</w:t>
      </w:r>
      <w:r>
        <w:rPr>
          <w:rFonts w:hint="eastAsia" w:ascii="宋体" w:hAnsi="宋体" w:eastAsia="宋体" w:cs="宋体"/>
          <w:sz w:val="28"/>
          <w:szCs w:val="28"/>
          <w:lang w:val="en-US" w:eastAsia="zh-CN"/>
        </w:rPr>
        <w:t>《技术规范》</w:t>
      </w:r>
      <w:r>
        <w:rPr>
          <w:rFonts w:hint="eastAsia" w:ascii="宋体" w:hAnsi="宋体" w:eastAsia="宋体" w:cs="宋体"/>
          <w:sz w:val="28"/>
          <w:szCs w:val="28"/>
        </w:rPr>
        <w:t>正式立项。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w:t>
      </w:r>
      <w:r>
        <w:rPr>
          <w:rFonts w:hint="eastAsia" w:ascii="宋体" w:hAnsi="宋体" w:eastAsia="宋体" w:cs="宋体"/>
          <w:sz w:val="28"/>
          <w:szCs w:val="28"/>
          <w:lang w:val="en-US" w:eastAsia="zh-CN"/>
        </w:rPr>
        <w:t>环境保护技术中心、中山市家具商会共同</w:t>
      </w:r>
      <w:r>
        <w:rPr>
          <w:rFonts w:hint="eastAsia" w:ascii="宋体" w:hAnsi="宋体" w:eastAsia="宋体" w:cs="宋体"/>
          <w:sz w:val="28"/>
          <w:szCs w:val="28"/>
        </w:rPr>
        <w:t>组建编制小组，开展团体标准草案编制工作。</w:t>
      </w:r>
    </w:p>
    <w:p>
      <w:pPr>
        <w:spacing w:line="360" w:lineRule="auto"/>
        <w:ind w:firstLine="560" w:firstLineChars="200"/>
        <w:rPr>
          <w:rFonts w:hint="eastAsia" w:ascii="宋体" w:hAnsi="宋体" w:eastAsia="宋体" w:cs="宋体"/>
          <w:sz w:val="28"/>
          <w:szCs w:val="28"/>
          <w:lang w:eastAsia="zh-CN"/>
        </w:rPr>
      </w:pPr>
      <w:r>
        <w:rPr>
          <w:rFonts w:ascii="宋体" w:hAnsi="宋体" w:eastAsia="宋体" w:cs="宋体"/>
          <w:sz w:val="28"/>
          <w:szCs w:val="28"/>
        </w:rPr>
        <w:t>本标准</w:t>
      </w:r>
      <w:r>
        <w:rPr>
          <w:rFonts w:hint="eastAsia" w:ascii="宋体" w:hAnsi="宋体" w:eastAsia="宋体" w:cs="宋体"/>
          <w:sz w:val="28"/>
          <w:szCs w:val="28"/>
        </w:rPr>
        <w:t>由中山市</w:t>
      </w:r>
      <w:r>
        <w:rPr>
          <w:rFonts w:hint="eastAsia" w:ascii="宋体" w:hAnsi="宋体" w:eastAsia="宋体" w:cs="宋体"/>
          <w:sz w:val="28"/>
          <w:szCs w:val="28"/>
          <w:lang w:val="en-US" w:eastAsia="zh-CN"/>
        </w:rPr>
        <w:t>环境保护技术中心、中山市家具商会共同</w:t>
      </w:r>
      <w:r>
        <w:rPr>
          <w:rFonts w:ascii="宋体" w:hAnsi="宋体" w:eastAsia="宋体" w:cs="宋体"/>
          <w:sz w:val="28"/>
          <w:szCs w:val="28"/>
        </w:rPr>
        <w:t>提出，由中山市环境科学学会归口管理。本标准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w:t>
      </w:r>
      <w:r>
        <w:rPr>
          <w:rFonts w:hint="eastAsia" w:ascii="宋体" w:hAnsi="宋体" w:eastAsia="宋体" w:cs="宋体"/>
          <w:sz w:val="28"/>
          <w:szCs w:val="28"/>
        </w:rPr>
        <w:t>中山市环境保护技术中心、中山市家具商会、中山市聚诚达实业投资有限公司、中山市美盈家具有限公司、中山市大一涂料有限公司、中山四海家具制造有限公司、广东中泰家具集团有限公司</w:t>
      </w:r>
      <w:r>
        <w:rPr>
          <w:rFonts w:hint="eastAsia" w:ascii="宋体" w:hAnsi="宋体" w:eastAsia="宋体" w:cs="宋体"/>
          <w:sz w:val="28"/>
          <w:szCs w:val="28"/>
          <w:lang w:eastAsia="zh-CN"/>
        </w:rPr>
        <w:t>。</w:t>
      </w:r>
    </w:p>
    <w:p>
      <w:pPr>
        <w:spacing w:line="360" w:lineRule="auto"/>
        <w:outlineLvl w:val="0"/>
        <w:rPr>
          <w:rFonts w:ascii="黑体" w:hAnsi="黑体" w:eastAsia="黑体" w:cs="黑体"/>
          <w:sz w:val="28"/>
          <w:szCs w:val="28"/>
        </w:rPr>
      </w:pPr>
      <w:bookmarkStart w:id="2" w:name="_Toc30011"/>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在修订过程中，经共同商定将《共性产业园（共性工厂）建设和管理技术规范 木制家具喷涂》名称修改为《</w:t>
      </w:r>
      <w:r>
        <w:rPr>
          <w:rFonts w:hint="eastAsia" w:ascii="宋体" w:hAnsi="宋体" w:eastAsia="宋体" w:cs="宋体"/>
          <w:sz w:val="28"/>
          <w:szCs w:val="28"/>
          <w:lang w:val="en-US" w:eastAsia="zh-CN"/>
        </w:rPr>
        <w:t>环保共性产业园核心区建设和管理技术规范 木制家具喷涂</w:t>
      </w:r>
      <w:r>
        <w:rPr>
          <w:rFonts w:hint="eastAsia" w:ascii="宋体" w:hAnsi="宋体" w:eastAsia="宋体" w:cs="宋体"/>
          <w:sz w:val="28"/>
          <w:szCs w:val="28"/>
        </w:rPr>
        <w:t>》（暂定名），</w:t>
      </w:r>
      <w:r>
        <w:rPr>
          <w:rFonts w:hint="eastAsia" w:ascii="宋体" w:hAnsi="宋体" w:eastAsia="宋体" w:cs="宋体"/>
          <w:sz w:val="28"/>
          <w:szCs w:val="28"/>
          <w:lang w:val="en-US" w:eastAsia="zh-CN"/>
        </w:rPr>
        <w:t>团体标准</w:t>
      </w:r>
      <w:r>
        <w:rPr>
          <w:rFonts w:hint="eastAsia" w:ascii="宋体" w:hAnsi="宋体" w:eastAsia="宋体" w:cs="宋体"/>
          <w:sz w:val="28"/>
          <w:szCs w:val="28"/>
        </w:rPr>
        <w:t>的编制遵循规范性、一致性和可操作性的原则。首先，</w:t>
      </w:r>
      <w:r>
        <w:rPr>
          <w:rFonts w:hint="eastAsia" w:ascii="宋体" w:hAnsi="宋体" w:eastAsia="宋体" w:cs="宋体"/>
          <w:sz w:val="28"/>
          <w:szCs w:val="28"/>
          <w:lang w:val="en-US" w:eastAsia="zh-CN"/>
        </w:rPr>
        <w:t>团体标准</w:t>
      </w:r>
      <w:r>
        <w:rPr>
          <w:rFonts w:hint="eastAsia" w:ascii="宋体" w:hAnsi="宋体" w:eastAsia="宋体" w:cs="宋体"/>
          <w:sz w:val="28"/>
          <w:szCs w:val="28"/>
        </w:rPr>
        <w:t>起草</w:t>
      </w:r>
      <w:r>
        <w:rPr>
          <w:rFonts w:hint="eastAsia" w:ascii="宋体" w:hAnsi="宋体" w:eastAsia="宋体" w:cs="宋体"/>
          <w:sz w:val="28"/>
          <w:szCs w:val="28"/>
          <w:lang w:val="en-US" w:eastAsia="zh-CN"/>
        </w:rPr>
        <w:t>制定</w:t>
      </w:r>
      <w:r>
        <w:rPr>
          <w:rFonts w:hint="eastAsia" w:ascii="宋体" w:hAnsi="宋体" w:eastAsia="宋体" w:cs="宋体"/>
          <w:sz w:val="28"/>
          <w:szCs w:val="28"/>
        </w:rPr>
        <w:t>规范化，遵守与制定标准有关的基础标准及相关的法律法规的规定，按照GB/T 1.1—2020《标准化工作导则第1部分：标准化文件的结构和起草规则》、《中山市环境科学学会团体标准管理办法》等编制起草；其次，</w:t>
      </w:r>
      <w:r>
        <w:rPr>
          <w:rFonts w:hint="eastAsia" w:ascii="宋体" w:hAnsi="宋体" w:eastAsia="宋体" w:cs="宋体"/>
          <w:sz w:val="28"/>
          <w:szCs w:val="28"/>
          <w:lang w:val="en-US" w:eastAsia="zh-CN"/>
        </w:rPr>
        <w:t>团体标准</w:t>
      </w:r>
      <w:r>
        <w:rPr>
          <w:rFonts w:hint="eastAsia" w:ascii="宋体" w:hAnsi="宋体" w:eastAsia="宋体" w:cs="宋体"/>
          <w:sz w:val="28"/>
          <w:szCs w:val="28"/>
        </w:rPr>
        <w:t>的制定与现行的国家、行业、地方标准协调一致，相互兼容并有机衔接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w:t>
      </w:r>
      <w:r>
        <w:rPr>
          <w:rFonts w:hint="eastAsia" w:ascii="宋体" w:hAnsi="宋体" w:eastAsia="宋体" w:cs="宋体"/>
          <w:sz w:val="28"/>
          <w:szCs w:val="28"/>
        </w:rPr>
        <w:t>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11959"/>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1范围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2规范性引用文件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3术语和定义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4基本要求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5场地建设要求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6作业规范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7预处理治污要求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8污染集中治理要求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9环境监测</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本标准规定了木制家具喷涂类环保共性产业园核心区（以下简称“核心区”）建设与管理的术语和定义，提出对核心区建设和管理的基本要求、场地建设、作业规范、污染防治、环境监测和组织管理等要求。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本标准适用于新建、改建、扩建核心区的建设和管理。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本部分为木制家具喷涂类环保共性产业园核心区建设与管理所需要遵循的相关环境保护标准和文件。这些标准和文件的有关条文将成为本标准的组成部分。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本标准对本文中重要术语进行了规定，包括</w:t>
      </w:r>
      <w:r>
        <w:rPr>
          <w:rFonts w:hint="eastAsia" w:ascii="宋体" w:hAnsi="宋体" w:eastAsia="宋体" w:cs="宋体"/>
          <w:sz w:val="28"/>
          <w:szCs w:val="28"/>
          <w:lang w:val="en-US" w:eastAsia="zh-CN"/>
        </w:rPr>
        <w:t>木制家具喷涂、木制家具喷涂类环保共性产业园核心区、厂房、车间、密闭等术语和定义</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（1）基本要求：本部分对</w:t>
      </w:r>
      <w:r>
        <w:rPr>
          <w:rFonts w:hint="eastAsia" w:ascii="宋体" w:hAnsi="宋体" w:eastAsia="宋体" w:cs="宋体"/>
          <w:sz w:val="28"/>
          <w:szCs w:val="28"/>
          <w:lang w:val="en-US" w:eastAsia="zh-CN"/>
        </w:rPr>
        <w:t>核心区应贯彻的规划、设计、建造理念等基本要求作出了规定，包括规划布局、能源结构、共享治污</w:t>
      </w:r>
      <w:r>
        <w:rPr>
          <w:rFonts w:hint="eastAsia" w:ascii="宋体" w:hAnsi="宋体" w:eastAsia="宋体" w:cs="宋体"/>
          <w:sz w:val="28"/>
          <w:szCs w:val="28"/>
        </w:rPr>
        <w:t>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场地建设要求</w:t>
      </w:r>
      <w:r>
        <w:rPr>
          <w:rFonts w:hint="eastAsia" w:ascii="宋体" w:hAnsi="宋体" w:eastAsia="宋体" w:cs="宋体"/>
          <w:sz w:val="28"/>
          <w:szCs w:val="28"/>
        </w:rPr>
        <w:t>：本部分</w:t>
      </w:r>
      <w:r>
        <w:rPr>
          <w:rFonts w:hint="eastAsia" w:ascii="宋体" w:hAnsi="宋体" w:eastAsia="宋体" w:cs="宋体"/>
          <w:sz w:val="28"/>
          <w:szCs w:val="28"/>
          <w:lang w:val="en-US" w:eastAsia="zh-CN"/>
        </w:rPr>
        <w:t>对场地建设基本要求、厂房建设要求和车间建设要求作出了规定，包括厂房建设的层高、建筑面积、基本布局，车间的生产单元、治污单元、物流及辅助单元的建设要求等</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作业规范</w:t>
      </w:r>
      <w:r>
        <w:rPr>
          <w:rFonts w:hint="eastAsia" w:ascii="宋体" w:hAnsi="宋体" w:eastAsia="宋体" w:cs="宋体"/>
          <w:sz w:val="28"/>
          <w:szCs w:val="28"/>
        </w:rPr>
        <w:t>：本部分对</w:t>
      </w:r>
      <w:r>
        <w:rPr>
          <w:rFonts w:hint="eastAsia" w:ascii="宋体" w:hAnsi="宋体" w:eastAsia="宋体" w:cs="宋体"/>
          <w:sz w:val="28"/>
          <w:szCs w:val="28"/>
          <w:lang w:val="en-US" w:eastAsia="zh-CN"/>
        </w:rPr>
        <w:t>木制家具喷涂作业</w:t>
      </w:r>
      <w:r>
        <w:rPr>
          <w:rFonts w:hint="eastAsia" w:ascii="宋体" w:hAnsi="宋体" w:eastAsia="宋体" w:cs="宋体"/>
          <w:sz w:val="28"/>
          <w:szCs w:val="28"/>
        </w:rPr>
        <w:t>要求做出了规定，包括</w:t>
      </w:r>
      <w:r>
        <w:rPr>
          <w:rFonts w:hint="eastAsia" w:ascii="宋体" w:hAnsi="宋体" w:eastAsia="宋体" w:cs="宋体"/>
          <w:sz w:val="28"/>
          <w:szCs w:val="28"/>
          <w:lang w:val="en-US" w:eastAsia="zh-CN"/>
        </w:rPr>
        <w:t>一般要求、涂料及辅料、涂装作业（调配、喷涂、流平及干燥、打磨及抛光、设施清洗）</w:t>
      </w:r>
      <w:r>
        <w:rPr>
          <w:rFonts w:hint="eastAsia" w:ascii="宋体" w:hAnsi="宋体" w:eastAsia="宋体" w:cs="宋体"/>
          <w:sz w:val="28"/>
          <w:szCs w:val="28"/>
        </w:rPr>
        <w:t>等。</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预处理治污要求</w:t>
      </w:r>
      <w:r>
        <w:rPr>
          <w:rFonts w:hint="eastAsia" w:ascii="宋体" w:hAnsi="宋体" w:eastAsia="宋体" w:cs="宋体"/>
          <w:sz w:val="28"/>
          <w:szCs w:val="28"/>
        </w:rPr>
        <w:t>：本部分对</w:t>
      </w:r>
      <w:r>
        <w:rPr>
          <w:rFonts w:hint="eastAsia" w:ascii="宋体" w:hAnsi="宋体" w:eastAsia="宋体" w:cs="宋体"/>
          <w:sz w:val="28"/>
          <w:szCs w:val="28"/>
          <w:lang w:val="en-US" w:eastAsia="zh-CN"/>
        </w:rPr>
        <w:t>车间生产过程中，废气、涂料废渣及废溶剂、沾有涂料或溶剂的棉纱、抹布等废弃物的预处理要求</w:t>
      </w:r>
      <w:r>
        <w:rPr>
          <w:rFonts w:hint="eastAsia" w:ascii="宋体" w:hAnsi="宋体" w:eastAsia="宋体" w:cs="宋体"/>
          <w:sz w:val="28"/>
          <w:szCs w:val="28"/>
        </w:rPr>
        <w:t>做出了规定。</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污染集中治理要求：本部分对废气收集治理、废水集中收集处理作出了规定，包括治污技术及工艺、污染物排放浓度、治污设施运营和管理等。</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（6）环境监测：本部分对污染源排放监测（废气排放监测、废水排放监测）、周边环境质量监测、监测信息记录等作出了规定。</w:t>
      </w:r>
    </w:p>
    <w:p>
      <w:pPr>
        <w:spacing w:line="360" w:lineRule="auto"/>
        <w:outlineLvl w:val="0"/>
        <w:rPr>
          <w:rFonts w:ascii="黑体" w:hAnsi="黑体" w:eastAsia="黑体" w:cs="黑体"/>
          <w:sz w:val="28"/>
          <w:szCs w:val="28"/>
        </w:rPr>
      </w:pPr>
      <w:bookmarkStart w:id="4" w:name="_Toc27234"/>
      <w:bookmarkStart w:id="5" w:name="_Toc13886"/>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29606"/>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12195"/>
      <w:r>
        <w:rPr>
          <w:rFonts w:hint="eastAsia" w:ascii="黑体" w:hAnsi="黑体" w:eastAsia="黑体" w:cs="黑体"/>
          <w:sz w:val="28"/>
          <w:szCs w:val="28"/>
        </w:rPr>
        <w:t>七、重大分歧或重难点的处理经过和依据</w:t>
      </w:r>
      <w:bookmarkEnd w:id="7"/>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pPr>
        <w:spacing w:line="360" w:lineRule="auto"/>
        <w:outlineLvl w:val="0"/>
        <w:rPr>
          <w:rFonts w:ascii="黑体" w:hAnsi="黑体" w:eastAsia="黑体" w:cs="黑体"/>
          <w:sz w:val="28"/>
          <w:szCs w:val="28"/>
        </w:rPr>
      </w:pPr>
      <w:bookmarkStart w:id="8" w:name="_Toc3708"/>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11056"/>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7338"/>
      <w:bookmarkStart w:id="12" w:name="_Toc5196"/>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A60404"/>
    <w:rsid w:val="006926B0"/>
    <w:rsid w:val="007D6EC6"/>
    <w:rsid w:val="0087375C"/>
    <w:rsid w:val="00A60404"/>
    <w:rsid w:val="00CF6645"/>
    <w:rsid w:val="00EE0935"/>
    <w:rsid w:val="05003213"/>
    <w:rsid w:val="06887C1D"/>
    <w:rsid w:val="085E3C59"/>
    <w:rsid w:val="0DCA6B33"/>
    <w:rsid w:val="128265FB"/>
    <w:rsid w:val="12C549B5"/>
    <w:rsid w:val="15E009D0"/>
    <w:rsid w:val="162666FD"/>
    <w:rsid w:val="16AE4EEB"/>
    <w:rsid w:val="181D6FFB"/>
    <w:rsid w:val="1A12131B"/>
    <w:rsid w:val="1C08618D"/>
    <w:rsid w:val="1F921430"/>
    <w:rsid w:val="2181476E"/>
    <w:rsid w:val="22E212BD"/>
    <w:rsid w:val="249B3CCC"/>
    <w:rsid w:val="26034A0A"/>
    <w:rsid w:val="28A739C6"/>
    <w:rsid w:val="2BE41B8A"/>
    <w:rsid w:val="2C43054A"/>
    <w:rsid w:val="2EAF64FE"/>
    <w:rsid w:val="315A1915"/>
    <w:rsid w:val="333D379E"/>
    <w:rsid w:val="34293B4A"/>
    <w:rsid w:val="34327C2A"/>
    <w:rsid w:val="34D70F4A"/>
    <w:rsid w:val="3871097C"/>
    <w:rsid w:val="38D0242E"/>
    <w:rsid w:val="3CBE118F"/>
    <w:rsid w:val="3FD365F0"/>
    <w:rsid w:val="401C38F2"/>
    <w:rsid w:val="427F375F"/>
    <w:rsid w:val="45D56A34"/>
    <w:rsid w:val="478A6753"/>
    <w:rsid w:val="4BAE0C1A"/>
    <w:rsid w:val="518C150C"/>
    <w:rsid w:val="518C60C3"/>
    <w:rsid w:val="52C9666F"/>
    <w:rsid w:val="535C1C39"/>
    <w:rsid w:val="545E3032"/>
    <w:rsid w:val="547F1F0F"/>
    <w:rsid w:val="551451F5"/>
    <w:rsid w:val="561916B0"/>
    <w:rsid w:val="57B47BFC"/>
    <w:rsid w:val="586D4936"/>
    <w:rsid w:val="5A486DC3"/>
    <w:rsid w:val="5AF60D54"/>
    <w:rsid w:val="600B4B3C"/>
    <w:rsid w:val="606B39CF"/>
    <w:rsid w:val="70A71CF7"/>
    <w:rsid w:val="718D1601"/>
    <w:rsid w:val="730C4E38"/>
    <w:rsid w:val="733F44B6"/>
    <w:rsid w:val="73CE2209"/>
    <w:rsid w:val="77283B4A"/>
    <w:rsid w:val="78776419"/>
    <w:rsid w:val="7CEB5F1C"/>
    <w:rsid w:val="7D6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0text"/>
    <w:basedOn w:val="1"/>
    <w:qFormat/>
    <w:uiPriority w:val="0"/>
    <w:pPr>
      <w:topLinePunct/>
      <w:spacing w:line="400" w:lineRule="atLeast"/>
      <w:ind w:firstLine="200" w:firstLineChars="200"/>
    </w:pPr>
  </w:style>
  <w:style w:type="character" w:customStyle="1" w:styleId="10">
    <w:name w:val="fontstyle01"/>
    <w:qFormat/>
    <w:uiPriority w:val="0"/>
    <w:rPr>
      <w:rFonts w:hint="eastAsia" w:ascii="宋体" w:hAnsi="宋体" w:eastAsia="宋体"/>
      <w:color w:val="000000"/>
      <w:sz w:val="22"/>
      <w:szCs w:val="22"/>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3">
    <w:name w:val="标准文件_段"/>
    <w:basedOn w:val="1"/>
    <w:link w:val="14"/>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4">
    <w:name w:val="标准文件_段 Char"/>
    <w:basedOn w:val="8"/>
    <w:link w:val="13"/>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2992</Words>
  <Characters>3040</Characters>
  <Lines>6</Lines>
  <Paragraphs>8</Paragraphs>
  <TotalTime>4</TotalTime>
  <ScaleCrop>false</ScaleCrop>
  <LinksUpToDate>false</LinksUpToDate>
  <CharactersWithSpaces>3078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lgr</cp:lastModifiedBy>
  <dcterms:modified xsi:type="dcterms:W3CDTF">2022-09-09T10:44:01Z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ADA7625D63EE428CBD1A747B447FC8EB</vt:lpwstr>
  </property>
</Properties>
</file>