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共性产业园核心区建设和管理技术规范</w:t>
      </w:r>
      <w:r>
        <w:cr/>
      </w:r>
      <w:r>
        <w:t>金属表面处理</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specifications for the construction and management of the core area of the common industrial park</w:t>
      </w:r>
    </w:p>
    <w:p>
      <w:pPr>
        <w:pStyle w:val="125"/>
        <w:framePr w:w="9639" w:h="6974" w:hRule="exact" w:wrap="around" w:vAnchor="page" w:hAnchor="page" w:x="1419" w:y="6408" w:anchorLock="1"/>
        <w:textAlignment w:val="bottom"/>
        <w:rPr>
          <w:rFonts w:eastAsia="黑体"/>
          <w:szCs w:val="28"/>
        </w:rPr>
      </w:pPr>
      <w:r>
        <w:rPr>
          <w:rFonts w:eastAsia="黑体"/>
          <w:szCs w:val="28"/>
        </w:rPr>
        <w:t>Metal Finishing Industry</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中山市环境科学学会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21" w:name="BookMark1"/>
      <w:bookmarkStart w:id="22" w:name="_Toc113635068"/>
      <w:bookmarkStart w:id="23" w:name="_Toc113634510"/>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"_Toc113635506" </w:instrText>
      </w:r>
      <w:r>
        <w:fldChar w:fldCharType="separate"/>
      </w:r>
      <w:r>
        <w:rPr>
          <w:rStyle w:val="32"/>
          <w:rFonts w:hint="eastAsia"/>
        </w:rPr>
        <w:t>前言</w:t>
      </w:r>
      <w:r>
        <w:tab/>
      </w:r>
      <w:r>
        <w:fldChar w:fldCharType="begin"/>
      </w:r>
      <w:r>
        <w:instrText xml:space="preserve"> PAGEREF _Toc113635506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"_Toc113635507" </w:instrText>
      </w:r>
      <w:r>
        <w:fldChar w:fldCharType="separate"/>
      </w:r>
      <w:r>
        <w:rPr>
          <w:rStyle w:val="32"/>
        </w:rPr>
        <w:t xml:space="preserve">1 </w:t>
      </w:r>
      <w:r>
        <w:rPr>
          <w:rStyle w:val="32"/>
          <w:rFonts w:hint="eastAsia"/>
        </w:rPr>
        <w:t xml:space="preserve"> 范围</w:t>
      </w:r>
      <w:r>
        <w:tab/>
      </w:r>
      <w:r>
        <w:fldChar w:fldCharType="begin"/>
      </w:r>
      <w:r>
        <w:instrText xml:space="preserve"> PAGEREF _Toc113635507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"_Toc113635508"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_Toc113635508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"_Toc113635509"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_Toc113635509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"_Toc113635510" </w:instrText>
      </w:r>
      <w:r>
        <w:fldChar w:fldCharType="separate"/>
      </w:r>
      <w:r>
        <w:rPr>
          <w:rStyle w:val="32"/>
        </w:rPr>
        <w:t xml:space="preserve">4 </w:t>
      </w:r>
      <w:r>
        <w:rPr>
          <w:rStyle w:val="32"/>
          <w:rFonts w:hint="eastAsia"/>
        </w:rPr>
        <w:t xml:space="preserve"> 基本要求</w:t>
      </w:r>
      <w:r>
        <w:tab/>
      </w:r>
      <w:r>
        <w:fldChar w:fldCharType="begin"/>
      </w:r>
      <w:r>
        <w:instrText xml:space="preserve"> PAGEREF _Toc113635510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"_Toc113635511" </w:instrText>
      </w:r>
      <w:r>
        <w:fldChar w:fldCharType="separate"/>
      </w:r>
      <w:r>
        <w:rPr>
          <w:rStyle w:val="32"/>
        </w:rPr>
        <w:t xml:space="preserve">5 </w:t>
      </w:r>
      <w:r>
        <w:rPr>
          <w:rStyle w:val="32"/>
          <w:rFonts w:hint="eastAsia"/>
        </w:rPr>
        <w:t xml:space="preserve"> 场地建设要求</w:t>
      </w:r>
      <w:r>
        <w:tab/>
      </w:r>
      <w:r>
        <w:fldChar w:fldCharType="begin"/>
      </w:r>
      <w:r>
        <w:instrText xml:space="preserve"> PAGEREF _Toc113635511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"_Toc113635512" </w:instrText>
      </w:r>
      <w:r>
        <w:fldChar w:fldCharType="separate"/>
      </w:r>
      <w:r>
        <w:rPr>
          <w:rStyle w:val="32"/>
        </w:rPr>
        <w:t xml:space="preserve">6 </w:t>
      </w:r>
      <w:r>
        <w:rPr>
          <w:rStyle w:val="32"/>
          <w:rFonts w:hint="eastAsia"/>
        </w:rPr>
        <w:t xml:space="preserve"> 作业规范</w:t>
      </w:r>
      <w:r>
        <w:tab/>
      </w:r>
      <w:r>
        <w:fldChar w:fldCharType="begin"/>
      </w:r>
      <w:r>
        <w:instrText xml:space="preserve"> PAGEREF _Toc113635512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"_Toc113635513" </w:instrText>
      </w:r>
      <w:r>
        <w:fldChar w:fldCharType="separate"/>
      </w:r>
      <w:r>
        <w:rPr>
          <w:rStyle w:val="32"/>
        </w:rPr>
        <w:t xml:space="preserve">7 </w:t>
      </w:r>
      <w:r>
        <w:rPr>
          <w:rStyle w:val="32"/>
          <w:rFonts w:hint="eastAsia"/>
        </w:rPr>
        <w:t xml:space="preserve"> 污染集中防治要求</w:t>
      </w:r>
      <w:r>
        <w:tab/>
      </w:r>
      <w:r>
        <w:fldChar w:fldCharType="begin"/>
      </w:r>
      <w:r>
        <w:instrText xml:space="preserve"> PAGEREF _Toc113635513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"_Toc113635514" </w:instrText>
      </w:r>
      <w:r>
        <w:fldChar w:fldCharType="separate"/>
      </w:r>
      <w:r>
        <w:rPr>
          <w:rStyle w:val="32"/>
        </w:rPr>
        <w:t xml:space="preserve">8 </w:t>
      </w:r>
      <w:r>
        <w:rPr>
          <w:rStyle w:val="32"/>
          <w:rFonts w:hint="eastAsia"/>
        </w:rPr>
        <w:t xml:space="preserve"> 环境监测</w:t>
      </w:r>
      <w:r>
        <w:tab/>
      </w:r>
      <w:r>
        <w:fldChar w:fldCharType="begin"/>
      </w:r>
      <w:r>
        <w:instrText xml:space="preserve"> PAGEREF _Toc113635514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"_Toc113635515" </w:instrText>
      </w:r>
      <w:r>
        <w:fldChar w:fldCharType="separate"/>
      </w:r>
      <w:r>
        <w:rPr>
          <w:rStyle w:val="32"/>
          <w:rFonts w:hint="eastAsia"/>
        </w:rPr>
        <w:t>附录A（资料性）</w:t>
      </w:r>
      <w:r>
        <w:rPr>
          <w:rStyle w:val="32"/>
        </w:rPr>
        <w:t xml:space="preserve">  </w:t>
      </w:r>
      <w:r>
        <w:rPr>
          <w:rStyle w:val="32"/>
          <w:rFonts w:hint="eastAsia"/>
        </w:rPr>
        <w:t>金属表面处理类环保共性产业园核心区巡查要点</w:t>
      </w:r>
      <w:r>
        <w:tab/>
      </w:r>
      <w:r>
        <w:fldChar w:fldCharType="begin"/>
      </w:r>
      <w:r>
        <w:instrText xml:space="preserve"> PAGEREF _Toc113635515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"_Toc113635516" </w:instrText>
      </w:r>
      <w:r>
        <w:fldChar w:fldCharType="separate"/>
      </w:r>
      <w:r>
        <w:rPr>
          <w:rStyle w:val="32"/>
          <w:rFonts w:hint="eastAsia"/>
        </w:rPr>
        <w:t>参考文献</w:t>
      </w:r>
      <w:r>
        <w:tab/>
      </w:r>
      <w:r>
        <w:fldChar w:fldCharType="begin"/>
      </w:r>
      <w:r>
        <w:instrText xml:space="preserve"> PAGEREF _Toc113635516 \h </w:instrText>
      </w:r>
      <w:r>
        <w:fldChar w:fldCharType="separate"/>
      </w:r>
      <w:r>
        <w:t>11</w:t>
      </w:r>
      <w:r>
        <w:fldChar w:fldCharType="end"/>
      </w:r>
      <w:r>
        <w:fldChar w:fldCharType="end"/>
      </w:r>
    </w:p>
    <w:p>
      <w:pPr>
        <w:pStyle w:val="91"/>
        <w:spacing w:after="36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bookmarkStart w:id="96" w:name="_GoBack"/>
      <w:bookmarkEnd w:id="96"/>
    </w:p>
    <w:bookmarkEnd w:id="21"/>
    <w:p>
      <w:pPr>
        <w:pStyle w:val="89"/>
        <w:spacing w:after="360"/>
      </w:pPr>
      <w:bookmarkStart w:id="24" w:name="_Toc113635506"/>
      <w:bookmarkStart w:id="25" w:name="BookMark2"/>
      <w:r>
        <w:rPr>
          <w:spacing w:val="320"/>
        </w:rPr>
        <w:t>前</w:t>
      </w:r>
      <w:r>
        <w:t>言</w:t>
      </w:r>
      <w:bookmarkEnd w:id="22"/>
      <w:bookmarkEnd w:id="23"/>
      <w:bookmarkEnd w:id="24"/>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本文件由中山市环境保护技术中心提出。</w:t>
      </w:r>
    </w:p>
    <w:p>
      <w:pPr>
        <w:pStyle w:val="56"/>
        <w:ind w:firstLine="420"/>
      </w:pPr>
      <w:r>
        <w:rPr>
          <w:rFonts w:hint="eastAsia"/>
        </w:rPr>
        <w:t>本文件由中山市环境科学学会归口。</w:t>
      </w:r>
    </w:p>
    <w:p>
      <w:pPr>
        <w:pStyle w:val="56"/>
        <w:ind w:firstLine="420"/>
        <w:rPr>
          <w:rFonts w:hint="eastAsia"/>
        </w:rPr>
      </w:pPr>
      <w:r>
        <w:rPr>
          <w:rFonts w:hint="eastAsia"/>
        </w:rPr>
        <w:t>本文件起草单位：中山市环境保护技术中心、中山市三角镇商会表面处理协会、广东新环环保产业集团有限公司、中山市佰福工业发展有限公司、中山市元子实业有限公司、中山市龙山污水处理有限公司、广东和胜工业铝材股份有限公司。</w:t>
      </w:r>
    </w:p>
    <w:p>
      <w:pPr>
        <w:pStyle w:val="56"/>
        <w:ind w:firstLine="420"/>
      </w:pPr>
      <w:r>
        <w:rPr>
          <w:rFonts w:hint="eastAsia"/>
        </w:rPr>
        <w:t>本文件主要起草人：</w:t>
      </w:r>
      <w:r>
        <w:t xml:space="preserve"> </w:t>
      </w:r>
    </w:p>
    <w:p>
      <w:pPr>
        <w:pStyle w:val="56"/>
        <w:ind w:firstLine="420"/>
      </w:pPr>
    </w:p>
    <w:p>
      <w:pPr>
        <w:pStyle w:val="56"/>
        <w:ind w:firstLine="420"/>
        <w:sectPr>
          <w:pgSz w:w="11906" w:h="16838"/>
          <w:pgMar w:top="2410" w:right="1134" w:bottom="1134" w:left="1134" w:header="1418" w:footer="1134" w:gutter="284"/>
          <w:pgNumType w:fmt="upperRoman"/>
          <w:cols w:space="425" w:num="1"/>
          <w:formProt w:val="0"/>
          <w:docGrid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F2F6BA5D465547A5AE715CCD22A840C3"/>
        </w:placeholder>
      </w:sdtPr>
      <w:sdtContent>
        <w:p>
          <w:pPr>
            <w:pStyle w:val="177"/>
            <w:spacing w:before="2" w:beforeLines="1" w:after="2" w:afterLines="1"/>
          </w:pPr>
          <w:bookmarkStart w:id="27" w:name="NEW_STAND_NAME"/>
          <w:r>
            <w:rPr>
              <w:rFonts w:hint="eastAsia"/>
            </w:rPr>
            <w:t>共性产业园核心区建设和管理技术规范</w:t>
          </w:r>
        </w:p>
        <w:p>
          <w:pPr>
            <w:pStyle w:val="177"/>
            <w:spacing w:before="2" w:beforeLines="1" w:after="680"/>
          </w:pPr>
          <w:r>
            <w:rPr>
              <w:rFonts w:hint="eastAsia"/>
            </w:rPr>
            <w:t>金属表面处理</w:t>
          </w:r>
        </w:p>
      </w:sdtContent>
    </w:sdt>
    <w:bookmarkEnd w:id="27"/>
    <w:p>
      <w:pPr>
        <w:pStyle w:val="104"/>
        <w:spacing w:before="240" w:after="240"/>
      </w:pPr>
      <w:bookmarkStart w:id="28" w:name="_Toc17233325"/>
      <w:bookmarkStart w:id="29" w:name="_Toc17233333"/>
      <w:bookmarkStart w:id="30" w:name="_Toc24884211"/>
      <w:bookmarkStart w:id="31" w:name="_Toc24884218"/>
      <w:bookmarkStart w:id="32" w:name="_Toc26718930"/>
      <w:bookmarkStart w:id="33" w:name="_Toc26648465"/>
      <w:bookmarkStart w:id="34" w:name="_Toc26986771"/>
      <w:bookmarkStart w:id="35" w:name="_Toc26986530"/>
      <w:bookmarkStart w:id="36" w:name="_Toc113635507"/>
      <w:bookmarkStart w:id="37" w:name="_Toc113635069"/>
      <w:bookmarkStart w:id="38" w:name="_Toc113634511"/>
      <w:r>
        <w:rPr>
          <w:rFonts w:hint="eastAsia"/>
        </w:rPr>
        <w:t>范围</w:t>
      </w:r>
      <w:bookmarkEnd w:id="28"/>
      <w:bookmarkEnd w:id="29"/>
      <w:bookmarkEnd w:id="30"/>
      <w:bookmarkEnd w:id="31"/>
      <w:bookmarkEnd w:id="32"/>
      <w:bookmarkEnd w:id="33"/>
      <w:bookmarkEnd w:id="34"/>
      <w:bookmarkEnd w:id="35"/>
      <w:bookmarkEnd w:id="36"/>
      <w:bookmarkEnd w:id="37"/>
      <w:bookmarkEnd w:id="38"/>
    </w:p>
    <w:p>
      <w:pPr>
        <w:pStyle w:val="56"/>
        <w:ind w:firstLine="420"/>
      </w:pPr>
      <w:bookmarkStart w:id="39" w:name="_Toc17233326"/>
      <w:bookmarkStart w:id="40" w:name="_Toc26648466"/>
      <w:bookmarkStart w:id="41" w:name="_Toc24884219"/>
      <w:bookmarkStart w:id="42" w:name="_Toc17233334"/>
      <w:bookmarkStart w:id="43" w:name="_Toc24884212"/>
      <w:r>
        <w:rPr>
          <w:rFonts w:hint="eastAsia"/>
        </w:rPr>
        <w:t>本标准规定了金属表面处理类环保共性产业园核心区（以下简称“核心区”）的建设和管理的术语和定义，提出对核心区建设和管理的基本条件、场地建设、作业规范、污染防治、环境监测、技术人员、组织管理和运营管理等技术要求。</w:t>
      </w:r>
    </w:p>
    <w:p>
      <w:pPr>
        <w:pStyle w:val="56"/>
        <w:ind w:firstLine="420"/>
      </w:pPr>
      <w:r>
        <w:rPr>
          <w:rFonts w:hint="eastAsia"/>
        </w:rPr>
        <w:t>本标准适用于金属表面处理行业新建、改建、扩建核心区的建设和管理，不适用于电镀、化学镀类项目。</w:t>
      </w:r>
    </w:p>
    <w:p>
      <w:pPr>
        <w:pStyle w:val="104"/>
        <w:spacing w:before="240" w:after="240"/>
      </w:pPr>
      <w:bookmarkStart w:id="44" w:name="_Toc113634512"/>
      <w:bookmarkStart w:id="45" w:name="_Toc26986531"/>
      <w:bookmarkStart w:id="46" w:name="_Toc113635070"/>
      <w:bookmarkStart w:id="47" w:name="_Toc26986772"/>
      <w:bookmarkStart w:id="48" w:name="_Toc113635508"/>
      <w:bookmarkStart w:id="49" w:name="_Toc26718931"/>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2147A671CE6544B8AD7CE4C75C07879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 Z 1工业企业设计卫生标准</w:t>
      </w:r>
    </w:p>
    <w:p>
      <w:pPr>
        <w:pStyle w:val="56"/>
        <w:ind w:firstLine="420"/>
      </w:pPr>
      <w:r>
        <w:rPr>
          <w:rFonts w:hint="eastAsia"/>
        </w:rPr>
        <w:t>GB 6514涂装作业安全规程 涂漆工艺安全及其通风净化</w:t>
      </w:r>
    </w:p>
    <w:p>
      <w:pPr>
        <w:pStyle w:val="56"/>
        <w:ind w:firstLine="420"/>
      </w:pPr>
      <w:r>
        <w:rPr>
          <w:rFonts w:hint="eastAsia"/>
        </w:rPr>
        <w:t>GB 7691涂装作业安全规程 安全管理通则</w:t>
      </w:r>
    </w:p>
    <w:p>
      <w:pPr>
        <w:pStyle w:val="56"/>
        <w:ind w:firstLine="420"/>
      </w:pPr>
      <w:r>
        <w:rPr>
          <w:rFonts w:hint="eastAsia"/>
        </w:rPr>
        <w:t>GB 7692涂装作业安全规程 涂漆前处理工艺安全及其通风净化</w:t>
      </w:r>
    </w:p>
    <w:p>
      <w:pPr>
        <w:pStyle w:val="56"/>
        <w:ind w:firstLine="420"/>
      </w:pPr>
      <w:r>
        <w:rPr>
          <w:rFonts w:hint="eastAsia"/>
        </w:rPr>
        <w:t>GB 14444涂装作业安全规程 喷漆室安全技术规定</w:t>
      </w:r>
    </w:p>
    <w:p>
      <w:pPr>
        <w:pStyle w:val="56"/>
        <w:ind w:firstLine="420"/>
      </w:pPr>
      <w:r>
        <w:rPr>
          <w:rFonts w:hint="eastAsia"/>
        </w:rPr>
        <w:t>GB 15577粉尘防爆安全规程</w:t>
      </w:r>
    </w:p>
    <w:p>
      <w:pPr>
        <w:pStyle w:val="56"/>
        <w:ind w:firstLine="420"/>
      </w:pPr>
      <w:r>
        <w:rPr>
          <w:rFonts w:hint="eastAsia"/>
        </w:rPr>
        <w:t>GB 15607涂装作业安全规程 粉末静电喷涂工艺安全</w:t>
      </w:r>
    </w:p>
    <w:p>
      <w:pPr>
        <w:pStyle w:val="56"/>
        <w:ind w:firstLine="420"/>
      </w:pPr>
      <w:r>
        <w:rPr>
          <w:rFonts w:hint="eastAsia"/>
        </w:rPr>
        <w:t>GB/T 16157固定污染源排气中颗粒物测定与气态污染物采样方法</w:t>
      </w:r>
    </w:p>
    <w:p>
      <w:pPr>
        <w:pStyle w:val="56"/>
        <w:ind w:firstLine="420"/>
      </w:pPr>
      <w:r>
        <w:rPr>
          <w:rFonts w:hint="eastAsia"/>
        </w:rPr>
        <w:t>GB/T 16758排风罩的分类及技术条件</w:t>
      </w:r>
    </w:p>
    <w:p>
      <w:pPr>
        <w:pStyle w:val="56"/>
        <w:ind w:firstLine="420"/>
      </w:pPr>
      <w:r>
        <w:rPr>
          <w:rFonts w:hint="eastAsia"/>
        </w:rPr>
        <w:t>GB 18597危险废物贮存污染控制标准</w:t>
      </w:r>
    </w:p>
    <w:p>
      <w:pPr>
        <w:pStyle w:val="56"/>
        <w:ind w:firstLine="420"/>
      </w:pPr>
      <w:r>
        <w:rPr>
          <w:rFonts w:hint="eastAsia"/>
        </w:rPr>
        <w:t>GB 18599一般工业固体废物贮存和填埋污染控制标准</w:t>
      </w:r>
    </w:p>
    <w:p>
      <w:pPr>
        <w:pStyle w:val="56"/>
        <w:ind w:firstLine="420"/>
      </w:pPr>
      <w:r>
        <w:rPr>
          <w:rFonts w:hint="eastAsia"/>
        </w:rPr>
        <w:t>GB 21900电镀污染物排放标准</w:t>
      </w:r>
    </w:p>
    <w:p>
      <w:pPr>
        <w:pStyle w:val="56"/>
        <w:ind w:firstLine="420"/>
      </w:pPr>
      <w:r>
        <w:rPr>
          <w:rFonts w:hint="eastAsia"/>
        </w:rPr>
        <w:t>GB/T 23331能源管理体系 要求及使用指南</w:t>
      </w:r>
    </w:p>
    <w:p>
      <w:pPr>
        <w:pStyle w:val="56"/>
        <w:ind w:firstLine="420"/>
      </w:pPr>
      <w:r>
        <w:rPr>
          <w:rFonts w:hint="eastAsia"/>
        </w:rPr>
        <w:t>GB 30981工业防护涂料中有害物质限量</w:t>
      </w:r>
    </w:p>
    <w:p>
      <w:pPr>
        <w:pStyle w:val="56"/>
        <w:ind w:firstLine="420"/>
      </w:pPr>
      <w:r>
        <w:rPr>
          <w:rFonts w:hint="eastAsia"/>
        </w:rPr>
        <w:t>GB 33372胶粘剂挥发性有机化合物限量</w:t>
      </w:r>
    </w:p>
    <w:p>
      <w:pPr>
        <w:pStyle w:val="56"/>
        <w:ind w:firstLine="420"/>
      </w:pPr>
      <w:r>
        <w:rPr>
          <w:rFonts w:hint="eastAsia"/>
        </w:rPr>
        <w:t>GB 34330 固体废物鉴别标准—通则</w:t>
      </w:r>
    </w:p>
    <w:p>
      <w:pPr>
        <w:pStyle w:val="56"/>
        <w:ind w:firstLine="420"/>
      </w:pPr>
      <w:r>
        <w:rPr>
          <w:rFonts w:hint="eastAsia"/>
        </w:rPr>
        <w:t>GB 37822挥发性有机物无组织排放控制标准</w:t>
      </w:r>
    </w:p>
    <w:p>
      <w:pPr>
        <w:pStyle w:val="56"/>
        <w:ind w:firstLine="420"/>
      </w:pPr>
      <w:r>
        <w:rPr>
          <w:rFonts w:hint="eastAsia"/>
        </w:rPr>
        <w:t>GB 38508 清洗剂挥发性有机化合物含量限值</w:t>
      </w:r>
    </w:p>
    <w:p>
      <w:pPr>
        <w:pStyle w:val="56"/>
        <w:ind w:firstLine="420"/>
      </w:pPr>
      <w:r>
        <w:rPr>
          <w:rFonts w:hint="eastAsia"/>
        </w:rPr>
        <w:t>GB/T 39198一般固体废物分类与代码</w:t>
      </w:r>
    </w:p>
    <w:p>
      <w:pPr>
        <w:pStyle w:val="56"/>
        <w:ind w:firstLine="420"/>
      </w:pPr>
      <w:r>
        <w:rPr>
          <w:rFonts w:hint="eastAsia"/>
        </w:rPr>
        <w:t>GB 50016建筑设计防火规范</w:t>
      </w:r>
    </w:p>
    <w:p>
      <w:pPr>
        <w:pStyle w:val="56"/>
        <w:ind w:firstLine="420"/>
      </w:pPr>
      <w:r>
        <w:rPr>
          <w:rFonts w:hint="eastAsia"/>
        </w:rPr>
        <w:t>GB 50019工业建筑供暖通风与空气调节设计规范</w:t>
      </w:r>
    </w:p>
    <w:p>
      <w:pPr>
        <w:pStyle w:val="56"/>
        <w:ind w:firstLine="420"/>
      </w:pPr>
      <w:r>
        <w:rPr>
          <w:rFonts w:hint="eastAsia"/>
        </w:rPr>
        <w:t>GB 50058爆炸危险环境电力装置设计规范</w:t>
      </w:r>
    </w:p>
    <w:p>
      <w:pPr>
        <w:pStyle w:val="56"/>
        <w:ind w:firstLine="420"/>
      </w:pPr>
      <w:r>
        <w:rPr>
          <w:rFonts w:hint="eastAsia"/>
        </w:rPr>
        <w:t>GB 50073洁净厂房设计规范</w:t>
      </w:r>
    </w:p>
    <w:p>
      <w:pPr>
        <w:pStyle w:val="56"/>
        <w:ind w:firstLine="420"/>
      </w:pPr>
      <w:r>
        <w:rPr>
          <w:rFonts w:hint="eastAsia"/>
        </w:rPr>
        <w:t>GB 50087工业企业噪声控制设计规范</w:t>
      </w:r>
    </w:p>
    <w:p>
      <w:pPr>
        <w:pStyle w:val="56"/>
        <w:ind w:firstLine="420"/>
      </w:pPr>
      <w:r>
        <w:rPr>
          <w:rFonts w:hint="eastAsia"/>
        </w:rPr>
        <w:t>GB 50325民用建筑工程室内环境污染控制标准</w:t>
      </w:r>
    </w:p>
    <w:p>
      <w:pPr>
        <w:pStyle w:val="56"/>
        <w:ind w:firstLine="420"/>
      </w:pPr>
      <w:r>
        <w:rPr>
          <w:rFonts w:hint="eastAsia"/>
        </w:rPr>
        <w:t>DBJ/T 15-235广东省高标准厂房设计规范</w:t>
      </w:r>
    </w:p>
    <w:p>
      <w:pPr>
        <w:pStyle w:val="56"/>
        <w:ind w:firstLine="420"/>
      </w:pPr>
      <w:r>
        <w:rPr>
          <w:rFonts w:hint="eastAsia"/>
        </w:rPr>
        <w:t>DB 44/1597 电镀水污染物排放标准</w:t>
      </w:r>
    </w:p>
    <w:p>
      <w:pPr>
        <w:pStyle w:val="56"/>
        <w:ind w:firstLine="420"/>
      </w:pPr>
      <w:r>
        <w:rPr>
          <w:rFonts w:hint="eastAsia"/>
        </w:rPr>
        <w:t>DB 44/2367固定污染源挥发性有机物综合排放标准</w:t>
      </w:r>
    </w:p>
    <w:p>
      <w:pPr>
        <w:pStyle w:val="56"/>
        <w:ind w:firstLine="420"/>
      </w:pPr>
      <w:r>
        <w:rPr>
          <w:rFonts w:hint="eastAsia"/>
        </w:rPr>
        <w:t>HJ/T 1-92气体参数测量和采样的固定位装置</w:t>
      </w:r>
    </w:p>
    <w:p>
      <w:pPr>
        <w:pStyle w:val="56"/>
        <w:ind w:firstLine="420"/>
      </w:pPr>
      <w:r>
        <w:rPr>
          <w:rFonts w:hint="eastAsia"/>
        </w:rPr>
        <w:t>HJ/T 55大气无组织排放监测技术导则</w:t>
      </w:r>
    </w:p>
    <w:p>
      <w:pPr>
        <w:pStyle w:val="56"/>
        <w:ind w:firstLine="420"/>
      </w:pPr>
      <w:r>
        <w:rPr>
          <w:rFonts w:hint="eastAsia"/>
        </w:rPr>
        <w:t>HJ/T 201环境标志产品技术要求 水性涂料</w:t>
      </w:r>
    </w:p>
    <w:p>
      <w:pPr>
        <w:pStyle w:val="56"/>
        <w:ind w:firstLine="420"/>
      </w:pPr>
      <w:r>
        <w:rPr>
          <w:rFonts w:hint="eastAsia"/>
        </w:rPr>
        <w:t>HJ 212污染物在线监控（监测）系统数据传输标准</w:t>
      </w:r>
    </w:p>
    <w:p>
      <w:pPr>
        <w:pStyle w:val="56"/>
        <w:ind w:firstLine="420"/>
      </w:pPr>
      <w:r>
        <w:rPr>
          <w:rFonts w:hint="eastAsia"/>
        </w:rPr>
        <w:t>HJ/T 388环境保护产品技术要求 湿法漆雾过滤净化装置</w:t>
      </w:r>
    </w:p>
    <w:p>
      <w:pPr>
        <w:pStyle w:val="56"/>
        <w:ind w:firstLine="420"/>
      </w:pPr>
      <w:r>
        <w:rPr>
          <w:rFonts w:hint="eastAsia"/>
        </w:rPr>
        <w:t>HJ/T 389环境保护产品技术要求 工业有机废气催化净化装置</w:t>
      </w:r>
    </w:p>
    <w:p>
      <w:pPr>
        <w:pStyle w:val="56"/>
        <w:ind w:firstLine="420"/>
      </w:pPr>
      <w:r>
        <w:rPr>
          <w:rFonts w:hint="eastAsia"/>
        </w:rPr>
        <w:t>HJ/T 397固定源废气监测技术规范</w:t>
      </w:r>
    </w:p>
    <w:p>
      <w:pPr>
        <w:pStyle w:val="56"/>
        <w:ind w:firstLine="420"/>
      </w:pPr>
      <w:r>
        <w:rPr>
          <w:rFonts w:hint="eastAsia"/>
        </w:rPr>
        <w:t>HJ 440环境标志产品技术要求 建筑装饰装修工程</w:t>
      </w:r>
    </w:p>
    <w:p>
      <w:pPr>
        <w:pStyle w:val="56"/>
        <w:ind w:firstLine="420"/>
      </w:pPr>
      <w:r>
        <w:rPr>
          <w:rFonts w:hint="eastAsia"/>
        </w:rPr>
        <w:t>HJ 589突发环境事件应急监测技术规范</w:t>
      </w:r>
    </w:p>
    <w:p>
      <w:pPr>
        <w:pStyle w:val="56"/>
        <w:ind w:firstLine="420"/>
      </w:pPr>
      <w:r>
        <w:rPr>
          <w:rFonts w:hint="eastAsia"/>
        </w:rPr>
        <w:t>HJ 606工业污染源现场检查技术规范</w:t>
      </w:r>
    </w:p>
    <w:p>
      <w:pPr>
        <w:pStyle w:val="56"/>
        <w:ind w:firstLine="420"/>
      </w:pPr>
      <w:r>
        <w:rPr>
          <w:rFonts w:hint="eastAsia"/>
        </w:rPr>
        <w:t>HJ 819排污单位自行监测技术指南 总则</w:t>
      </w:r>
    </w:p>
    <w:p>
      <w:pPr>
        <w:pStyle w:val="56"/>
        <w:ind w:firstLine="420"/>
      </w:pPr>
      <w:r>
        <w:rPr>
          <w:rFonts w:hint="eastAsia"/>
        </w:rPr>
        <w:t>HJ 855排污许可证申请与核发技术规范 电镀工业</w:t>
      </w:r>
    </w:p>
    <w:p>
      <w:pPr>
        <w:pStyle w:val="56"/>
        <w:ind w:firstLine="420"/>
      </w:pPr>
      <w:r>
        <w:rPr>
          <w:rFonts w:hint="eastAsia"/>
        </w:rPr>
        <w:t>HJ 942排污许可证申请与核发技术规范 总则</w:t>
      </w:r>
    </w:p>
    <w:p>
      <w:pPr>
        <w:pStyle w:val="56"/>
        <w:ind w:firstLine="420"/>
      </w:pPr>
      <w:r>
        <w:rPr>
          <w:rFonts w:hint="eastAsia"/>
        </w:rPr>
        <w:t>HJ 944排污单位环境管理台账及排污许可证执行报告技术规范 总则（试行）</w:t>
      </w:r>
    </w:p>
    <w:p>
      <w:pPr>
        <w:pStyle w:val="56"/>
        <w:ind w:firstLine="420"/>
      </w:pPr>
      <w:r>
        <w:rPr>
          <w:rFonts w:hint="eastAsia"/>
        </w:rPr>
        <w:t>HJ 985排污单位自行监测技术指南 电镀工业</w:t>
      </w:r>
    </w:p>
    <w:p>
      <w:pPr>
        <w:pStyle w:val="56"/>
        <w:ind w:firstLine="420"/>
      </w:pPr>
      <w:r>
        <w:rPr>
          <w:rFonts w:hint="eastAsia"/>
        </w:rPr>
        <w:t>HJ 1086排污单位自行监测技术指南 涂装</w:t>
      </w:r>
    </w:p>
    <w:p>
      <w:pPr>
        <w:pStyle w:val="56"/>
        <w:ind w:firstLine="420"/>
      </w:pPr>
      <w:r>
        <w:rPr>
          <w:rFonts w:hint="eastAsia"/>
        </w:rPr>
        <w:t>HJ 1093蓄热燃烧法工业有机废气治理工程技术规范</w:t>
      </w:r>
    </w:p>
    <w:p>
      <w:pPr>
        <w:pStyle w:val="56"/>
        <w:ind w:firstLine="420"/>
      </w:pPr>
      <w:r>
        <w:rPr>
          <w:rFonts w:hint="eastAsia"/>
        </w:rPr>
        <w:t>HJ 1200排污许可证申请与核发技术规范 工业固体废物（试行）</w:t>
      </w:r>
    </w:p>
    <w:p>
      <w:pPr>
        <w:pStyle w:val="56"/>
        <w:ind w:firstLine="420"/>
      </w:pPr>
      <w:r>
        <w:rPr>
          <w:rFonts w:hint="eastAsia"/>
        </w:rPr>
        <w:t>HJ 1230工业企业挥发性有机物泄漏检测与修复技术指南</w:t>
      </w:r>
    </w:p>
    <w:p>
      <w:pPr>
        <w:pStyle w:val="56"/>
        <w:ind w:firstLine="420"/>
      </w:pPr>
      <w:r>
        <w:rPr>
          <w:rFonts w:hint="eastAsia"/>
        </w:rPr>
        <w:t>HJ 2026吸附法工业有机废气治理工程技术规范</w:t>
      </w:r>
    </w:p>
    <w:p>
      <w:pPr>
        <w:pStyle w:val="56"/>
        <w:ind w:firstLine="420"/>
      </w:pPr>
      <w:r>
        <w:rPr>
          <w:rFonts w:hint="eastAsia"/>
        </w:rPr>
        <w:t>HJ 2027催化燃烧法工业有机废气治理工程技术规范</w:t>
      </w:r>
    </w:p>
    <w:p>
      <w:pPr>
        <w:pStyle w:val="56"/>
        <w:ind w:firstLine="420"/>
      </w:pPr>
      <w:r>
        <w:rPr>
          <w:rFonts w:hint="eastAsia"/>
        </w:rPr>
        <w:t>HJ-BAT-11电镀污染防治最佳可行技术指南</w:t>
      </w:r>
    </w:p>
    <w:p>
      <w:pPr>
        <w:pStyle w:val="56"/>
        <w:ind w:firstLine="420"/>
      </w:pPr>
      <w:r>
        <w:rPr>
          <w:rFonts w:hint="eastAsia"/>
        </w:rPr>
        <w:t>T/GDAEPI 07-2022广东省环保管家服务规范</w:t>
      </w:r>
    </w:p>
    <w:p>
      <w:pPr>
        <w:pStyle w:val="56"/>
        <w:ind w:firstLine="420"/>
      </w:pPr>
      <w:r>
        <w:rPr>
          <w:rFonts w:hint="eastAsia"/>
        </w:rPr>
        <w:t>电镀行业清洁生产评价指标体系</w:t>
      </w:r>
    </w:p>
    <w:p>
      <w:pPr>
        <w:pStyle w:val="104"/>
        <w:spacing w:before="240" w:after="240"/>
      </w:pPr>
      <w:bookmarkStart w:id="50" w:name="_Toc113635509"/>
      <w:bookmarkStart w:id="51" w:name="_Toc113634513"/>
      <w:bookmarkStart w:id="52" w:name="_Toc113635071"/>
      <w:r>
        <w:rPr>
          <w:rFonts w:hint="eastAsia"/>
          <w:szCs w:val="21"/>
        </w:rPr>
        <w:t>术语和定义</w:t>
      </w:r>
      <w:bookmarkEnd w:id="50"/>
      <w:bookmarkEnd w:id="51"/>
      <w:bookmarkEnd w:id="52"/>
    </w:p>
    <w:sdt>
      <w:sdtPr>
        <w:id w:val="-1909835108"/>
        <w:placeholder>
          <w:docPart w:val="193AACE90AE542C8A23C3D050E1BE64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3" w:name="_Toc26986532"/>
          <w:bookmarkEnd w:id="53"/>
          <w:r>
            <w:t>下列术语和定义适用于本文件。</w:t>
          </w:r>
        </w:p>
      </w:sdtContent>
    </w:sdt>
    <w:p>
      <w:pPr>
        <w:pStyle w:val="223"/>
        <w:ind w:left="420" w:hanging="420" w:hangingChars="200"/>
        <w:rPr>
          <w:rFonts w:ascii="黑体" w:hAnsi="黑体" w:eastAsia="黑体"/>
        </w:rPr>
      </w:pPr>
    </w:p>
    <w:p>
      <w:pPr>
        <w:pStyle w:val="223"/>
        <w:numPr>
          <w:ilvl w:val="0"/>
          <w:numId w:val="0"/>
        </w:numPr>
        <w:ind w:left="420"/>
        <w:rPr>
          <w:rFonts w:ascii="黑体" w:hAnsi="黑体" w:eastAsia="黑体"/>
        </w:rPr>
      </w:pPr>
      <w:r>
        <w:rPr>
          <w:rFonts w:ascii="黑体" w:hAnsi="黑体" w:eastAsia="黑体"/>
        </w:rPr>
        <w:t>金属表面处理</w:t>
      </w:r>
      <w:r>
        <w:rPr>
          <w:rFonts w:hint="eastAsia" w:ascii="黑体" w:hAnsi="黑体" w:eastAsia="黑体"/>
        </w:rPr>
        <w:t xml:space="preserve"> </w:t>
      </w:r>
      <w:r>
        <w:rPr>
          <w:rFonts w:ascii="黑体" w:hAnsi="黑体" w:eastAsia="黑体"/>
        </w:rPr>
        <w:t>Metal finishing industry</w:t>
      </w:r>
    </w:p>
    <w:p>
      <w:pPr>
        <w:pStyle w:val="56"/>
        <w:ind w:firstLine="420"/>
      </w:pPr>
      <w:r>
        <w:rPr>
          <w:rFonts w:hint="eastAsia"/>
        </w:rPr>
        <w:t>在金属基体材料表面上人工形成一层与基体的机械、物理和化学性能不同的表层的工艺方法，其目的是满足产品的耐蚀性、耐磨性、装饰或其他特种功能要求。</w:t>
      </w:r>
    </w:p>
    <w:p>
      <w:pPr>
        <w:pStyle w:val="223"/>
        <w:ind w:left="420" w:hanging="420" w:hangingChars="200"/>
        <w:rPr>
          <w:rFonts w:ascii="黑体" w:hAnsi="黑体" w:eastAsia="黑体"/>
        </w:rPr>
      </w:pPr>
    </w:p>
    <w:p>
      <w:pPr>
        <w:pStyle w:val="223"/>
        <w:numPr>
          <w:ilvl w:val="0"/>
          <w:numId w:val="0"/>
        </w:numPr>
        <w:ind w:left="420"/>
        <w:rPr>
          <w:rFonts w:ascii="黑体" w:hAnsi="黑体" w:eastAsia="黑体"/>
        </w:rPr>
      </w:pPr>
      <w:r>
        <w:rPr>
          <w:rFonts w:ascii="黑体" w:hAnsi="黑体" w:eastAsia="黑体"/>
        </w:rPr>
        <w:t>湿式作业</w:t>
      </w:r>
      <w:r>
        <w:rPr>
          <w:rFonts w:hint="eastAsia" w:ascii="黑体" w:hAnsi="黑体" w:eastAsia="黑体"/>
        </w:rPr>
        <w:t xml:space="preserve"> Wet operation</w:t>
      </w:r>
    </w:p>
    <w:p>
      <w:pPr>
        <w:pStyle w:val="56"/>
        <w:ind w:firstLine="420"/>
        <w:rPr>
          <w:rFonts w:ascii="Times New Roman"/>
          <w:szCs w:val="21"/>
          <w:shd w:val="clear" w:color="auto" w:fill="FFFFFF"/>
        </w:rPr>
      </w:pPr>
      <w:r>
        <w:rPr>
          <w:rFonts w:ascii="Times New Roman"/>
          <w:szCs w:val="21"/>
          <w:shd w:val="clear" w:color="auto" w:fill="FFFFFF"/>
        </w:rPr>
        <w:t>生产过程涉及用排水的金属表面处理工艺，包括脱脂、酸洗、中和、表调、磷化、钝化、阳极氧化、化学氧化、硅烷化、清洗、蚀刻、电泳、水帘柜喷涂等。</w:t>
      </w:r>
    </w:p>
    <w:p>
      <w:pPr>
        <w:pStyle w:val="223"/>
        <w:rPr>
          <w:rFonts w:ascii="黑体" w:hAnsi="黑体" w:eastAsia="黑体"/>
        </w:rPr>
      </w:pPr>
    </w:p>
    <w:p>
      <w:pPr>
        <w:pStyle w:val="223"/>
        <w:numPr>
          <w:ilvl w:val="0"/>
          <w:numId w:val="0"/>
        </w:numPr>
        <w:ind w:firstLine="420" w:firstLineChars="200"/>
        <w:rPr>
          <w:rFonts w:ascii="黑体" w:hAnsi="黑体" w:eastAsia="黑体"/>
        </w:rPr>
      </w:pPr>
      <w:r>
        <w:rPr>
          <w:rFonts w:ascii="黑体" w:hAnsi="黑体" w:eastAsia="黑体"/>
        </w:rPr>
        <w:t>金属表面处理类环保共性产业园核心区</w:t>
      </w:r>
      <w:r>
        <w:rPr>
          <w:rFonts w:hint="eastAsia" w:ascii="黑体" w:hAnsi="黑体" w:eastAsia="黑体"/>
        </w:rPr>
        <w:t xml:space="preserve"> </w:t>
      </w:r>
      <w:r>
        <w:rPr>
          <w:rFonts w:ascii="黑体" w:hAnsi="黑体" w:eastAsia="黑体"/>
        </w:rPr>
        <w:t>Environmental protection common industrial park core area of metal finishing industry</w:t>
      </w:r>
    </w:p>
    <w:p>
      <w:pPr>
        <w:pStyle w:val="56"/>
        <w:ind w:firstLine="420"/>
      </w:pPr>
      <w:r>
        <w:rPr>
          <w:rFonts w:hint="eastAsia"/>
        </w:rPr>
        <w:t>由单个或多个金属表面处理项目组成的能为产业链上下游提供共享产污工段与环境污染治理设施配套服务的产业集聚区域。</w:t>
      </w:r>
    </w:p>
    <w:p>
      <w:pPr>
        <w:pStyle w:val="223"/>
        <w:rPr>
          <w:rFonts w:ascii="黑体" w:hAnsi="黑体" w:eastAsia="黑体"/>
        </w:rPr>
      </w:pPr>
    </w:p>
    <w:p>
      <w:pPr>
        <w:pStyle w:val="223"/>
        <w:numPr>
          <w:ilvl w:val="0"/>
          <w:numId w:val="0"/>
        </w:numPr>
        <w:ind w:firstLine="420" w:firstLineChars="200"/>
        <w:rPr>
          <w:rFonts w:ascii="黑体" w:hAnsi="黑体" w:eastAsia="黑体"/>
        </w:rPr>
      </w:pPr>
      <w:r>
        <w:rPr>
          <w:rFonts w:hint="eastAsia" w:ascii="黑体" w:hAnsi="黑体" w:eastAsia="黑体"/>
        </w:rPr>
        <w:t>厂房 Warehouse</w:t>
      </w:r>
    </w:p>
    <w:p>
      <w:pPr>
        <w:pStyle w:val="56"/>
        <w:ind w:firstLine="420"/>
      </w:pPr>
      <w:r>
        <w:rPr>
          <w:rFonts w:hint="eastAsia"/>
        </w:rPr>
        <w:t>直接用于生产或为生产配套的各种建筑物。</w:t>
      </w:r>
    </w:p>
    <w:p>
      <w:pPr>
        <w:pStyle w:val="56"/>
        <w:ind w:firstLine="420"/>
      </w:pPr>
      <w:r>
        <w:rPr>
          <w:rFonts w:hint="eastAsia"/>
        </w:rPr>
        <w:t>[来源：DBJ/T 15-235-2021，2.0.2]</w:t>
      </w:r>
    </w:p>
    <w:p>
      <w:pPr>
        <w:pStyle w:val="223"/>
        <w:rPr>
          <w:rFonts w:ascii="黑体" w:hAnsi="黑体" w:eastAsia="黑体"/>
        </w:rPr>
      </w:pPr>
    </w:p>
    <w:p>
      <w:pPr>
        <w:pStyle w:val="223"/>
        <w:numPr>
          <w:ilvl w:val="0"/>
          <w:numId w:val="0"/>
        </w:numPr>
        <w:ind w:firstLine="420" w:firstLineChars="200"/>
        <w:rPr>
          <w:rFonts w:ascii="黑体" w:hAnsi="黑体" w:eastAsia="黑体"/>
        </w:rPr>
      </w:pPr>
      <w:r>
        <w:rPr>
          <w:rFonts w:hint="eastAsia" w:ascii="黑体" w:hAnsi="黑体" w:eastAsia="黑体"/>
        </w:rPr>
        <w:t>车间 Workplace</w:t>
      </w:r>
    </w:p>
    <w:p>
      <w:pPr>
        <w:pStyle w:val="56"/>
        <w:ind w:firstLine="420"/>
      </w:pPr>
      <w:r>
        <w:rPr>
          <w:rFonts w:hint="eastAsia"/>
        </w:rPr>
        <w:t>又称基本生产单元，由固定围护结构分隔形成的用于工业生产等的独立作业空间。</w:t>
      </w:r>
    </w:p>
    <w:p>
      <w:pPr>
        <w:pStyle w:val="56"/>
        <w:ind w:firstLine="420"/>
      </w:pPr>
      <w:r>
        <w:t>[来源：</w:t>
      </w:r>
      <w:r>
        <w:rPr>
          <w:rFonts w:hint="eastAsia"/>
        </w:rPr>
        <w:t>来源：DBJ/T 15-235-2021，2.0.5</w:t>
      </w:r>
      <w:r>
        <w:t>]</w:t>
      </w:r>
    </w:p>
    <w:p>
      <w:pPr>
        <w:pStyle w:val="223"/>
        <w:rPr>
          <w:rFonts w:ascii="黑体" w:hAnsi="黑体" w:eastAsia="黑体"/>
        </w:rPr>
      </w:pPr>
    </w:p>
    <w:p>
      <w:pPr>
        <w:pStyle w:val="223"/>
        <w:numPr>
          <w:ilvl w:val="0"/>
          <w:numId w:val="0"/>
        </w:numPr>
        <w:ind w:firstLine="420" w:firstLineChars="200"/>
        <w:rPr>
          <w:rFonts w:ascii="黑体" w:hAnsi="黑体" w:eastAsia="黑体"/>
        </w:rPr>
      </w:pPr>
      <w:r>
        <w:rPr>
          <w:rFonts w:hint="eastAsia" w:ascii="黑体" w:hAnsi="黑体" w:eastAsia="黑体"/>
        </w:rPr>
        <w:t>密闭 Closed</w:t>
      </w:r>
    </w:p>
    <w:p>
      <w:pPr>
        <w:pStyle w:val="223"/>
        <w:numPr>
          <w:ilvl w:val="0"/>
          <w:numId w:val="0"/>
        </w:numPr>
        <w:ind w:firstLine="420" w:firstLineChars="200"/>
      </w:pPr>
      <w:r>
        <w:rPr>
          <w:rFonts w:hint="eastAsia"/>
        </w:rPr>
        <w:t>污染物质不与环境空气接触，或通过密封材料、密封设备与环境空气隔离的状态或作业方式。</w:t>
      </w:r>
    </w:p>
    <w:p>
      <w:pPr>
        <w:pStyle w:val="223"/>
        <w:numPr>
          <w:ilvl w:val="0"/>
          <w:numId w:val="0"/>
        </w:numPr>
        <w:ind w:firstLine="420" w:firstLineChars="200"/>
      </w:pPr>
      <w:r>
        <w:t>[来源：DB44/2367,3.6]</w:t>
      </w:r>
    </w:p>
    <w:p>
      <w:pPr>
        <w:pStyle w:val="104"/>
        <w:spacing w:before="240" w:after="240"/>
      </w:pPr>
      <w:bookmarkStart w:id="54" w:name="_Toc113635510"/>
      <w:bookmarkStart w:id="55" w:name="_Toc113634514"/>
      <w:bookmarkStart w:id="56" w:name="_Toc113635072"/>
      <w:r>
        <w:t>基本要求</w:t>
      </w:r>
      <w:bookmarkEnd w:id="54"/>
      <w:bookmarkEnd w:id="55"/>
      <w:bookmarkEnd w:id="56"/>
    </w:p>
    <w:p>
      <w:pPr>
        <w:pStyle w:val="162"/>
      </w:pPr>
      <w:r>
        <w:rPr>
          <w:rFonts w:hint="eastAsia"/>
        </w:rPr>
        <w:t>核心区的选址应符合国家和地方相关规定，符合所在地城乡规划要求及“三线一单”管控要求，贯彻绿色低碳的设计建造思路，符合能源梯级利用要求，体现清洁生产与绿色工厂理念，并在规划阶段预留分布式光伏系统的载荷能力和电网结构，鼓励使用清洁能源进行生产作业。</w:t>
      </w:r>
    </w:p>
    <w:p>
      <w:pPr>
        <w:pStyle w:val="162"/>
      </w:pPr>
      <w:r>
        <w:rPr>
          <w:rFonts w:hint="eastAsia"/>
        </w:rPr>
        <w:t>核心区总体设计应满足布局精益化、生产自动化、物流智能化、工况数字化、监管透明化的五项要求。</w:t>
      </w:r>
    </w:p>
    <w:p>
      <w:pPr>
        <w:pStyle w:val="162"/>
      </w:pPr>
      <w:r>
        <w:rPr>
          <w:rFonts w:hint="eastAsia"/>
        </w:rPr>
        <w:t>核心区内废气集中治理工程、废水集中治理工程、固体废物集中贮存场所应与厂房同时设计、同时施工、同时投产使用，不应擅自拆除或闲置。</w:t>
      </w:r>
    </w:p>
    <w:p>
      <w:pPr>
        <w:pStyle w:val="104"/>
        <w:spacing w:before="240" w:after="240"/>
      </w:pPr>
      <w:bookmarkStart w:id="57" w:name="_Toc113635511"/>
      <w:bookmarkStart w:id="58" w:name="_Toc113634515"/>
      <w:bookmarkStart w:id="59" w:name="_Toc113635073"/>
      <w:r>
        <w:t>场地建设要求</w:t>
      </w:r>
      <w:bookmarkEnd w:id="57"/>
      <w:bookmarkEnd w:id="58"/>
      <w:bookmarkEnd w:id="59"/>
    </w:p>
    <w:p>
      <w:pPr>
        <w:pStyle w:val="162"/>
      </w:pPr>
      <w:r>
        <w:rPr>
          <w:rFonts w:hint="eastAsia"/>
        </w:rPr>
        <w:t>核心区场地建设应体现共享、平衡、集成的理念，坚持“先地下后地上”原则，统筹厂房建设、电力、给排水、通讯、供气、暖通空调、道路、消防、污染物输送、固体废物集中贮存场所、危险化学品仓库等基础设施和公共配套设施，并与城市基础设施相衔接。</w:t>
      </w:r>
    </w:p>
    <w:p>
      <w:pPr>
        <w:pStyle w:val="105"/>
        <w:spacing w:before="120" w:after="120"/>
      </w:pPr>
      <w:bookmarkStart w:id="60" w:name="_Toc113635074"/>
      <w:bookmarkStart w:id="61" w:name="_Toc113634516"/>
      <w:r>
        <w:t>厂房建设要求</w:t>
      </w:r>
      <w:bookmarkEnd w:id="60"/>
      <w:bookmarkEnd w:id="61"/>
    </w:p>
    <w:p>
      <w:pPr>
        <w:pStyle w:val="165"/>
      </w:pPr>
      <w:r>
        <w:rPr>
          <w:rFonts w:hint="eastAsia"/>
        </w:rPr>
        <w:t>厂房建筑层数不应低于4层，建筑首层高度不应小于6m，二层及以上楼层层高不应小于4.5m。整栋厂房建筑高度应符合当地规划限高。</w:t>
      </w:r>
    </w:p>
    <w:p>
      <w:pPr>
        <w:pStyle w:val="165"/>
      </w:pPr>
      <w:r>
        <w:rPr>
          <w:rFonts w:hint="eastAsia"/>
        </w:rPr>
        <w:t>每层生产厂房建筑面积不宜小于2000㎡。按层分割的厂房，每个基本生产车间建筑面积不应小于500㎡。</w:t>
      </w:r>
    </w:p>
    <w:p>
      <w:pPr>
        <w:pStyle w:val="165"/>
      </w:pPr>
      <w:r>
        <w:rPr>
          <w:rFonts w:hint="eastAsia"/>
        </w:rPr>
        <w:t>每层生产厂房应将电梯、楼梯、卫生间、设备房、检查井、污染预处理设施等交通和辅助用室靠外墙集中分布，同时对平面及立面预留统一窗户、空调、管线等位置。</w:t>
      </w:r>
    </w:p>
    <w:p>
      <w:pPr>
        <w:pStyle w:val="165"/>
      </w:pPr>
      <w:r>
        <w:rPr>
          <w:rFonts w:hint="eastAsia"/>
        </w:rPr>
        <w:t>每幢厂房宜于首层设置统一物流周转与装卸货平台，若将装卸货平台布置在半地下或地下一层，其结构柱网和层高应满足大型货车通行需求。每层生产厂房应设不少于1个设备吊装口，吊装口宽度不宜小于4m，高度不宜小于3.5m，吊装口应设置防雨、防坠落等措施。</w:t>
      </w:r>
    </w:p>
    <w:p>
      <w:pPr>
        <w:pStyle w:val="165"/>
      </w:pPr>
      <w:r>
        <w:rPr>
          <w:rFonts w:hint="eastAsia"/>
        </w:rPr>
        <w:t>厂房建设应符合GB 50016要求，火灾危险性分类为乙、丙类的厂房宜按照高标准厂房要求设计和建设，符合DBJ/T 15-235条件。</w:t>
      </w:r>
    </w:p>
    <w:p>
      <w:pPr>
        <w:pStyle w:val="165"/>
      </w:pPr>
      <w:r>
        <w:rPr>
          <w:rFonts w:hint="eastAsia"/>
        </w:rPr>
        <w:t>厂房室内建筑材料和装修材料燃烧性能等级应符合GB 50222要求，其所产生的污染物浓度限量应按照GB 50325执行。</w:t>
      </w:r>
    </w:p>
    <w:p>
      <w:pPr>
        <w:pStyle w:val="105"/>
        <w:spacing w:before="120" w:after="120"/>
      </w:pPr>
      <w:bookmarkStart w:id="62" w:name="_Toc113634517"/>
      <w:bookmarkStart w:id="63" w:name="_Toc113635075"/>
      <w:r>
        <w:t>车间建设要求</w:t>
      </w:r>
      <w:bookmarkEnd w:id="62"/>
      <w:bookmarkEnd w:id="63"/>
    </w:p>
    <w:p>
      <w:pPr>
        <w:pStyle w:val="165"/>
      </w:pPr>
      <w:r>
        <w:rPr>
          <w:rFonts w:hint="eastAsia"/>
        </w:rPr>
        <w:t>按照生产性能和使用功能，各金属表面处理项目应合理布局生产设备、化学品贮存场所、污染预处理设施、固体废物贮存点、物流周转区、生产辅助用室等单元，符合功能分区明确、人货分流高效、环境质量提升的原则。功能分区内各项设施的布置应紧凑、合理。</w:t>
      </w:r>
    </w:p>
    <w:p>
      <w:pPr>
        <w:pStyle w:val="65"/>
        <w:spacing w:before="120" w:after="120"/>
      </w:pPr>
      <w:r>
        <w:rPr>
          <w:rFonts w:hint="eastAsia"/>
        </w:rPr>
        <w:t>生产区建设要求</w:t>
      </w:r>
    </w:p>
    <w:p>
      <w:pPr>
        <w:pStyle w:val="164"/>
      </w:pPr>
      <w:r>
        <w:rPr>
          <w:rFonts w:hint="eastAsia"/>
        </w:rPr>
        <w:t>各生产设备应位于室内，环保、安全设施设备齐全，干湿作业区分离，并应满足以下要求：</w:t>
      </w:r>
    </w:p>
    <w:p>
      <w:pPr>
        <w:pStyle w:val="174"/>
      </w:pPr>
      <w:r>
        <w:rPr>
          <w:rFonts w:hint="eastAsia"/>
        </w:rPr>
        <w:t>具有防止水、油类等液体渗透的硬化地面，铺设匹配区域用途及地面承载力的地坪涂层，湿式作业区域地面应选择涂层较厚的玻璃钢防腐型环氧地坪或环氧砂浆地坪，宜“三涂两布”，总厚度不小于3mm。</w:t>
      </w:r>
    </w:p>
    <w:p>
      <w:pPr>
        <w:pStyle w:val="174"/>
      </w:pPr>
      <w:r>
        <w:rPr>
          <w:rFonts w:hint="eastAsia"/>
        </w:rPr>
        <w:t>生产区与非生产区应有明显间隔，各出入口连通位置应设置双层门，确保不能同时打开，并形成负压缓冲带，如图1所示（图仅作参考，各项目应根据自身建设实际情况确保做到功能分区、干湿分离、污染分类）。</w:t>
      </w:r>
    </w:p>
    <w:p>
      <w:pPr>
        <w:pStyle w:val="174"/>
      </w:pPr>
      <w:r>
        <w:rPr>
          <w:rFonts w:hint="eastAsia"/>
        </w:rPr>
        <w:t>生产区内宜配套环保新风系统，不设窗户及工业排风扇。建筑围护结构所有缝隙和管道贯穿处接缝均有良好气密性，在非必要时保持关闭。</w:t>
      </w:r>
    </w:p>
    <w:p>
      <w:pPr>
        <w:pStyle w:val="174"/>
      </w:pPr>
      <w:r>
        <w:rPr>
          <w:rFonts w:hint="eastAsia"/>
        </w:rPr>
        <w:t>生产区内机械送、排风系统应使相邻相通的不同作业区间保持必要压力梯度，保证空气进行定向流动，防止污染物逸散。</w:t>
      </w:r>
    </w:p>
    <w:p>
      <w:pPr>
        <w:pStyle w:val="174"/>
        <w:numPr>
          <w:ilvl w:val="0"/>
          <w:numId w:val="0"/>
        </w:numPr>
        <w:ind w:left="851"/>
      </w:pPr>
      <w:r>
        <w:rPr>
          <w:rFonts w:ascii="Times New Roman"/>
        </w:rPr>
        <w:drawing>
          <wp:inline distT="0" distB="0" distL="114300" distR="114300">
            <wp:extent cx="5929630" cy="3665855"/>
            <wp:effectExtent l="0" t="0" r="13970"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a:stretch>
                      <a:fillRect/>
                    </a:stretch>
                  </pic:blipFill>
                  <pic:spPr>
                    <a:xfrm>
                      <a:off x="0" y="0"/>
                      <a:ext cx="5929630" cy="3665855"/>
                    </a:xfrm>
                    <a:prstGeom prst="rect">
                      <a:avLst/>
                    </a:prstGeom>
                    <a:noFill/>
                    <a:ln>
                      <a:noFill/>
                    </a:ln>
                  </pic:spPr>
                </pic:pic>
              </a:graphicData>
            </a:graphic>
          </wp:inline>
        </w:drawing>
      </w:r>
    </w:p>
    <w:p>
      <w:pPr>
        <w:pStyle w:val="114"/>
        <w:spacing w:before="120" w:after="120"/>
      </w:pPr>
      <w:r>
        <w:rPr>
          <w:rFonts w:hint="eastAsia"/>
        </w:rPr>
        <w:t>车间中各功能间平面布置示意图（仅参考）</w:t>
      </w:r>
    </w:p>
    <w:p>
      <w:pPr>
        <w:pStyle w:val="164"/>
      </w:pPr>
      <w:r>
        <w:rPr>
          <w:rFonts w:hint="eastAsia"/>
        </w:rPr>
        <w:t>涉及大气污染物的生产设备应加强工位围蔽处理，宜对不同处理工艺间隔安装垂帘，在不影响生产情况下尽量减少敞开面积。</w:t>
      </w:r>
    </w:p>
    <w:p>
      <w:pPr>
        <w:pStyle w:val="164"/>
      </w:pPr>
      <w:r>
        <w:rPr>
          <w:rFonts w:hint="eastAsia"/>
        </w:rPr>
        <w:t>湿式作业生产设备应设于地面，并对槽体四周设置围堰及导流管线，各处理池体另需底部加垫确保高出地坪面0.3m以上，通风净化处理应符合GB7692的要求。</w:t>
      </w:r>
    </w:p>
    <w:p>
      <w:pPr>
        <w:pStyle w:val="65"/>
        <w:spacing w:before="120" w:after="120"/>
      </w:pPr>
      <w:r>
        <w:t>预治污单元建设要求</w:t>
      </w:r>
    </w:p>
    <w:p>
      <w:pPr>
        <w:pStyle w:val="164"/>
      </w:pPr>
      <w:r>
        <w:rPr>
          <w:rFonts w:hint="eastAsia"/>
        </w:rPr>
        <w:t>大气污染物预处理设施应满足以下要求：</w:t>
      </w:r>
    </w:p>
    <w:p>
      <w:pPr>
        <w:pStyle w:val="174"/>
        <w:numPr>
          <w:ilvl w:val="0"/>
          <w:numId w:val="32"/>
        </w:numPr>
      </w:pPr>
      <w:r>
        <w:rPr>
          <w:rFonts w:hint="eastAsia"/>
        </w:rPr>
        <w:t>根据生产工艺与产污特性选择相适应的预处理工艺。</w:t>
      </w:r>
    </w:p>
    <w:p>
      <w:pPr>
        <w:pStyle w:val="174"/>
      </w:pPr>
      <w:r>
        <w:rPr>
          <w:rFonts w:hint="eastAsia"/>
        </w:rPr>
        <w:t>涉挥发性有机物工艺应设置预处理装置，宜采用文丘里/水旋/水幕湿法漆雾捕集+多级干式过滤除湿联合装置，并对过滤装置两端进行压差计量。</w:t>
      </w:r>
    </w:p>
    <w:p>
      <w:pPr>
        <w:pStyle w:val="174"/>
      </w:pPr>
      <w:r>
        <w:rPr>
          <w:rFonts w:hint="eastAsia"/>
        </w:rPr>
        <w:t>洗涤塔、喷淋塔等预处理设施应建设清晰用排水管路，选取抗酸碱、抗老化、抗氧化性能良好管线及阀门材料，确保预处理过程所产生的水污染物有效收集。</w:t>
      </w:r>
    </w:p>
    <w:p>
      <w:pPr>
        <w:pStyle w:val="164"/>
      </w:pPr>
      <w:r>
        <w:rPr>
          <w:rFonts w:hint="eastAsia"/>
        </w:rPr>
        <w:t>水污染物车间收集池应满足以下要求：</w:t>
      </w:r>
    </w:p>
    <w:p>
      <w:pPr>
        <w:pStyle w:val="174"/>
        <w:numPr>
          <w:ilvl w:val="0"/>
          <w:numId w:val="33"/>
        </w:numPr>
      </w:pPr>
      <w:r>
        <w:rPr>
          <w:rFonts w:hint="eastAsia"/>
        </w:rPr>
        <w:t>车间收集池应按照分类分质、独立隔断、液位计量的原则设计建设，确保车间内所有类型的生产废水明管到池。</w:t>
      </w:r>
    </w:p>
    <w:p>
      <w:pPr>
        <w:pStyle w:val="174"/>
        <w:numPr>
          <w:ilvl w:val="0"/>
          <w:numId w:val="33"/>
        </w:numPr>
      </w:pPr>
      <w:r>
        <w:rPr>
          <w:rFonts w:hint="eastAsia"/>
        </w:rPr>
        <w:t>车间收集池容积应满足1h最大生产负荷下排水量，保障事故状态下对水污染物应急截流。</w:t>
      </w:r>
    </w:p>
    <w:p>
      <w:pPr>
        <w:pStyle w:val="174"/>
        <w:numPr>
          <w:ilvl w:val="0"/>
          <w:numId w:val="33"/>
        </w:numPr>
      </w:pPr>
      <w:r>
        <w:rPr>
          <w:rFonts w:hint="eastAsia"/>
        </w:rPr>
        <w:t>车间收集池应采用性能良好的防腐防渗防漏材料，在满足采样条件情况下密封或加盖处理。</w:t>
      </w:r>
    </w:p>
    <w:p>
      <w:pPr>
        <w:pStyle w:val="164"/>
      </w:pPr>
      <w:r>
        <w:rPr>
          <w:rFonts w:hint="eastAsia"/>
        </w:rPr>
        <w:t>固体废弃物贮存点应满足以下要求：</w:t>
      </w:r>
    </w:p>
    <w:p>
      <w:pPr>
        <w:pStyle w:val="174"/>
        <w:numPr>
          <w:ilvl w:val="0"/>
          <w:numId w:val="34"/>
        </w:numPr>
      </w:pPr>
      <w:r>
        <w:rPr>
          <w:rFonts w:hint="eastAsia"/>
        </w:rPr>
        <w:t>根据生产工艺与产污特征配套一般工业固体废物临时贮存点和危险废物临时贮存点，分别满足GB 18599和GB 18597的要求。</w:t>
      </w:r>
    </w:p>
    <w:p>
      <w:pPr>
        <w:pStyle w:val="174"/>
      </w:pPr>
      <w:r>
        <w:rPr>
          <w:rFonts w:hint="eastAsia"/>
        </w:rPr>
        <w:t>应根据废物特性对贮存设施进行分区，不同分区应有明显的间隔，禁止将不相容（相互反应）的危险废物混合贮存。</w:t>
      </w:r>
    </w:p>
    <w:p>
      <w:pPr>
        <w:pStyle w:val="174"/>
      </w:pPr>
      <w:r>
        <w:rPr>
          <w:rFonts w:hint="eastAsia"/>
        </w:rPr>
        <w:t>贮存设施设计容量不小于1天产生的固体废物所占空间，并预留充足装卸周转空间，方便转运至核心区集中式贮存场所。</w:t>
      </w:r>
    </w:p>
    <w:p>
      <w:pPr>
        <w:pStyle w:val="174"/>
      </w:pPr>
      <w:r>
        <w:rPr>
          <w:rFonts w:hint="eastAsia"/>
        </w:rPr>
        <w:t>贮存易挥发的危险废物，贮存设施应设置废气收集净化装置。</w:t>
      </w:r>
    </w:p>
    <w:p>
      <w:pPr>
        <w:pStyle w:val="174"/>
      </w:pPr>
      <w:r>
        <w:rPr>
          <w:rFonts w:hint="eastAsia"/>
        </w:rPr>
        <w:t>危险废物贮存设施地面应明显高于室外，地面与裙脚采用坚固、防渗的材料建造。存放装载液体、半固体危险废物容器的地方，应有耐腐蚀的硬化地面，无裂缝，配套导流沟及收集槽。</w:t>
      </w:r>
    </w:p>
    <w:p>
      <w:pPr>
        <w:pStyle w:val="65"/>
        <w:spacing w:before="120" w:after="120"/>
      </w:pPr>
      <w:r>
        <w:t>物流单元建设要求</w:t>
      </w:r>
    </w:p>
    <w:p>
      <w:pPr>
        <w:pStyle w:val="164"/>
      </w:pPr>
      <w:r>
        <w:rPr>
          <w:rFonts w:hint="eastAsia"/>
        </w:rPr>
        <w:t>车间的门应向外开，其内部通道宽度应不小于1.2m，并应满足物流运输、设备搬运、人员疏散及金属制品生产工艺的要求。</w:t>
      </w:r>
    </w:p>
    <w:p>
      <w:pPr>
        <w:pStyle w:val="164"/>
      </w:pPr>
      <w:r>
        <w:rPr>
          <w:rFonts w:hint="eastAsia"/>
        </w:rPr>
        <w:t>单栋建筑面积大于5000㎡时，每个标准层应设置不少2台2t的载重电梯；当单栋建筑面积大于30000㎡时，超过部分需按每9000㎡设置至少1台2t以上载重货梯。</w:t>
      </w:r>
    </w:p>
    <w:p>
      <w:pPr>
        <w:pStyle w:val="164"/>
      </w:pPr>
      <w:r>
        <w:rPr>
          <w:rFonts w:hint="eastAsia"/>
        </w:rPr>
        <w:t>车间应分别设置载人电梯及载货电梯，载货电梯门洞净宽度应满足行业要求，不宜小于1.5 m，净高度不宜小于2.1m。</w:t>
      </w:r>
    </w:p>
    <w:p>
      <w:pPr>
        <w:pStyle w:val="164"/>
      </w:pPr>
      <w:r>
        <w:rPr>
          <w:rFonts w:hint="eastAsia"/>
        </w:rPr>
        <w:t>车间内宜靠近载货电梯设置独立货物输送周转路线，若所在厂房首层设有统一物流周转与装卸货平台，车间内可仅预留叉车作业空间。若厂房具备货车上楼卸货的条件，车间内应预留至少1台5t货车作业空间。</w:t>
      </w:r>
    </w:p>
    <w:p>
      <w:pPr>
        <w:pStyle w:val="165"/>
      </w:pPr>
      <w:r>
        <w:rPr>
          <w:rFonts w:hint="eastAsia"/>
        </w:rPr>
        <w:t>车间内应选取合适位置建设化学品贮存场所，该类场所地面应平整、坚实、防潮、防滑、防渗漏、易于清扫，分类分区储存。若涉及危险化学品，应根据其特性配备通风、密封、调温、调湿、防静电等设施。</w:t>
      </w:r>
    </w:p>
    <w:p>
      <w:pPr>
        <w:pStyle w:val="165"/>
      </w:pPr>
      <w:r>
        <w:rPr>
          <w:rFonts w:hint="eastAsia"/>
        </w:rPr>
        <w:t>生产辅助用室应避开有害物质、高温等有害因素的影响，建筑物内部构造应易于清扫，卫生设备应便于使用，并符合相关卫生标准要求。</w:t>
      </w:r>
    </w:p>
    <w:p>
      <w:pPr>
        <w:pStyle w:val="104"/>
        <w:spacing w:before="240" w:after="240"/>
      </w:pPr>
      <w:bookmarkStart w:id="64" w:name="_Toc113635512"/>
      <w:bookmarkStart w:id="65" w:name="_Toc113634518"/>
      <w:bookmarkStart w:id="66" w:name="_Toc113635076"/>
      <w:r>
        <w:t>作业规范</w:t>
      </w:r>
      <w:bookmarkEnd w:id="64"/>
      <w:bookmarkEnd w:id="65"/>
      <w:bookmarkEnd w:id="66"/>
    </w:p>
    <w:p>
      <w:pPr>
        <w:pStyle w:val="105"/>
        <w:spacing w:before="120" w:after="120"/>
      </w:pPr>
      <w:bookmarkStart w:id="67" w:name="_Toc113635077"/>
      <w:bookmarkStart w:id="68" w:name="_Toc113634519"/>
      <w:r>
        <w:t>生产设备装备水平</w:t>
      </w:r>
      <w:bookmarkEnd w:id="67"/>
      <w:bookmarkEnd w:id="68"/>
    </w:p>
    <w:p>
      <w:pPr>
        <w:pStyle w:val="165"/>
      </w:pPr>
      <w:r>
        <w:rPr>
          <w:rFonts w:hint="eastAsia"/>
        </w:rPr>
        <w:t>各金属表面处理项目应根据工艺特点，优先采用自动化、机械化、密闭化的先进生产工艺和设备，尽可能减少或避免手工作业。</w:t>
      </w:r>
    </w:p>
    <w:p>
      <w:pPr>
        <w:pStyle w:val="165"/>
      </w:pPr>
      <w:r>
        <w:rPr>
          <w:rFonts w:hint="eastAsia"/>
        </w:rPr>
        <w:t>生产设备应具有完整的规格参数、使用说明书，并建立设备设施安全管理制度，明确安全设备设施、特种设备、职业危害防护设备设施的验收检查及检测、定期检查及检测、维护、报废等管理要求。</w:t>
      </w:r>
    </w:p>
    <w:p>
      <w:pPr>
        <w:pStyle w:val="105"/>
        <w:spacing w:before="120" w:after="120"/>
      </w:pPr>
      <w:bookmarkStart w:id="69" w:name="_Toc113634520"/>
      <w:bookmarkStart w:id="70" w:name="_Toc113635078"/>
      <w:r>
        <w:t>原辅料管理</w:t>
      </w:r>
      <w:bookmarkEnd w:id="69"/>
      <w:bookmarkEnd w:id="70"/>
    </w:p>
    <w:p>
      <w:pPr>
        <w:pStyle w:val="165"/>
      </w:pPr>
      <w:r>
        <w:rPr>
          <w:rFonts w:hint="eastAsia"/>
        </w:rPr>
        <w:t>各原辅料入库时应有完整、准确、清晰的产品包装标志、检验合格证、化学品安全数据说明书，做好进出库台账记录。</w:t>
      </w:r>
    </w:p>
    <w:p>
      <w:pPr>
        <w:pStyle w:val="165"/>
      </w:pPr>
      <w:r>
        <w:rPr>
          <w:rFonts w:hint="eastAsia"/>
        </w:rPr>
        <w:t>各生产设备四周可按生产需求暂时存放一定量的原辅料，但不应超过一个生产班次的用量。</w:t>
      </w:r>
    </w:p>
    <w:p>
      <w:pPr>
        <w:pStyle w:val="165"/>
      </w:pPr>
      <w:r>
        <w:rPr>
          <w:rFonts w:hint="eastAsia"/>
        </w:rPr>
        <w:t>涉挥发性有机物原辅料应符合GB 33372、GB 18581、GB 30981、GB 38508等有害物质限量规定，存放过程加盖密封或仅保留供给生产需要的敞口。</w:t>
      </w:r>
    </w:p>
    <w:p>
      <w:pPr>
        <w:pStyle w:val="105"/>
        <w:spacing w:before="120" w:after="120"/>
      </w:pPr>
      <w:bookmarkStart w:id="71" w:name="_Toc113634521"/>
      <w:bookmarkStart w:id="72" w:name="_Toc113635079"/>
      <w:r>
        <w:t>生产过程管控</w:t>
      </w:r>
      <w:bookmarkEnd w:id="71"/>
      <w:bookmarkEnd w:id="72"/>
    </w:p>
    <w:p>
      <w:pPr>
        <w:pStyle w:val="65"/>
        <w:spacing w:before="120" w:after="120"/>
      </w:pPr>
      <w:r>
        <w:t>生产准备</w:t>
      </w:r>
    </w:p>
    <w:p>
      <w:pPr>
        <w:pStyle w:val="164"/>
      </w:pPr>
      <w:r>
        <w:rPr>
          <w:rFonts w:hint="eastAsia"/>
        </w:rPr>
        <w:t>涉挥发性有机物原辅料调配及输送应符合以下要求：</w:t>
      </w:r>
    </w:p>
    <w:p>
      <w:pPr>
        <w:pStyle w:val="174"/>
        <w:numPr>
          <w:ilvl w:val="0"/>
          <w:numId w:val="35"/>
        </w:numPr>
      </w:pPr>
      <w:r>
        <w:rPr>
          <w:rFonts w:hint="eastAsia"/>
        </w:rPr>
        <w:t>涂料调配应在密闭负压的调漆室内进行，存在相互反应的原料及辅料应分别设区调配。调漆室一般不设置电气设备，如必需设置时，应符合GB 50058的要求。单班使用溶剂型涂料少于20kg，可以在喷涂区现场调配，但调配人员应严格遵守安全操作规程。</w:t>
      </w:r>
    </w:p>
    <w:p>
      <w:pPr>
        <w:pStyle w:val="174"/>
      </w:pPr>
      <w:r>
        <w:rPr>
          <w:rFonts w:hint="eastAsia"/>
        </w:rPr>
        <w:t>调漆室应安装可燃性气体报警仪，根据涂料及辅料种类合理设置室内最高允许报警浓度值。调漆室内换气次数不应少于25次/h，引进车间新风的气流循环速度不应低于0.5m/s，粉尘颗粒物含量应低于1mg/m³。</w:t>
      </w:r>
    </w:p>
    <w:p>
      <w:pPr>
        <w:pStyle w:val="174"/>
      </w:pPr>
      <w:r>
        <w:rPr>
          <w:rFonts w:hint="eastAsia"/>
        </w:rPr>
        <w:t>有集中供料系统的，涂料输送管道应保持完好，严禁滴漏；无集中供料系统的，工作结束后应将剩余涂料及辅料送回调漆室或倒入密闭容器中，严禁将液体涂料和辅料倒入下水道。</w:t>
      </w:r>
    </w:p>
    <w:p>
      <w:pPr>
        <w:pStyle w:val="65"/>
        <w:spacing w:before="120" w:after="120"/>
      </w:pPr>
      <w:r>
        <w:t>湿式作业</w:t>
      </w:r>
    </w:p>
    <w:p>
      <w:pPr>
        <w:pStyle w:val="164"/>
      </w:pPr>
      <w:r>
        <w:rPr>
          <w:rFonts w:hint="eastAsia"/>
        </w:rPr>
        <w:t>各生产设备应强化节水节能设计，鼓励设置槽边在线回收系统，采用逆流漂洗、溢流清洗等作业方式。</w:t>
      </w:r>
    </w:p>
    <w:p>
      <w:pPr>
        <w:pStyle w:val="164"/>
      </w:pPr>
      <w:r>
        <w:rPr>
          <w:rFonts w:hint="eastAsia"/>
        </w:rPr>
        <w:t>各生产设备应根据污染物种类落实明管分类分质收集，鼓励配套远传式计量装置，对日常用排水情况进行实时记录。</w:t>
      </w:r>
    </w:p>
    <w:p>
      <w:pPr>
        <w:pStyle w:val="164"/>
      </w:pPr>
      <w:r>
        <w:rPr>
          <w:rFonts w:hint="eastAsia"/>
        </w:rPr>
        <w:t>酸洗、蚀刻、化学氧化、阳极氧化、电泳、水帘柜喷漆等工艺生产过程应保证作业空间密闭，相对其他区域形成负压效果。</w:t>
      </w:r>
    </w:p>
    <w:p>
      <w:pPr>
        <w:pStyle w:val="65"/>
        <w:spacing w:before="120" w:after="120"/>
      </w:pPr>
      <w:r>
        <w:rPr>
          <w:rFonts w:hint="eastAsia"/>
        </w:rPr>
        <w:t>干式作业</w:t>
      </w:r>
    </w:p>
    <w:p>
      <w:pPr>
        <w:pStyle w:val="164"/>
      </w:pPr>
      <w:r>
        <w:rPr>
          <w:rFonts w:hint="eastAsia"/>
        </w:rPr>
        <w:t>干法喷涂宜采用高压无气喷涂、高流量低压力喷涂、自动喷涂、辊涂、静电喷涂等高效涂装技术，生产过程应保证作业空间密闭，相对其他区域形成负压效果。</w:t>
      </w:r>
    </w:p>
    <w:p>
      <w:pPr>
        <w:pStyle w:val="164"/>
      </w:pPr>
      <w:r>
        <w:rPr>
          <w:rFonts w:hint="eastAsia"/>
        </w:rPr>
        <w:t>喷粉工艺生产过程应配套高效在线粉末回收装置，保证作业空间形成负压效果，提升粉末涂料的综合利用率。鼓励配套工业扫地机器人、工业吸尘器等设备对车间环境进行清洁。</w:t>
      </w:r>
    </w:p>
    <w:p>
      <w:pPr>
        <w:pStyle w:val="164"/>
      </w:pPr>
      <w:r>
        <w:rPr>
          <w:rFonts w:hint="eastAsia"/>
        </w:rPr>
        <w:t>烘干工艺生产过程应采用天然气、液化石油气、电及其它可再生能源，鼓励配套余热回收循环利用装置。</w:t>
      </w:r>
    </w:p>
    <w:p>
      <w:pPr>
        <w:pStyle w:val="65"/>
        <w:spacing w:before="120" w:after="120"/>
      </w:pPr>
      <w:r>
        <w:t>辅助作业（脱挂、清洗）</w:t>
      </w:r>
    </w:p>
    <w:p>
      <w:pPr>
        <w:pStyle w:val="164"/>
      </w:pPr>
      <w:r>
        <w:rPr>
          <w:rFonts w:hint="eastAsia"/>
        </w:rPr>
        <w:t>应根据生产需要和工作流程，合理控制涂覆设备清洗剂的用量，宜设置自动清洗供料管路系统。</w:t>
      </w:r>
    </w:p>
    <w:p>
      <w:pPr>
        <w:pStyle w:val="164"/>
      </w:pPr>
      <w:r>
        <w:rPr>
          <w:rFonts w:hint="eastAsia"/>
        </w:rPr>
        <w:t>清洗后的废弃溶剂应及时进行收集并密闭保存，定期处理，并记录处理量和去向。</w:t>
      </w:r>
    </w:p>
    <w:p>
      <w:pPr>
        <w:pStyle w:val="65"/>
        <w:spacing w:before="120" w:after="120"/>
      </w:pPr>
      <w:r>
        <w:t>污染物预处理</w:t>
      </w:r>
    </w:p>
    <w:p>
      <w:pPr>
        <w:pStyle w:val="164"/>
      </w:pPr>
      <w:r>
        <w:rPr>
          <w:rFonts w:hint="eastAsia"/>
        </w:rPr>
        <w:t>废气预处理设施应与产生废气的生产设备同步运转。</w:t>
      </w:r>
    </w:p>
    <w:p>
      <w:pPr>
        <w:pStyle w:val="164"/>
      </w:pPr>
      <w:r>
        <w:rPr>
          <w:rFonts w:hint="eastAsia"/>
        </w:rPr>
        <w:t>当废气过滤装置压差超过过滤材料标准终始阻力要求时，应更换过滤材料。</w:t>
      </w:r>
    </w:p>
    <w:p>
      <w:pPr>
        <w:pStyle w:val="164"/>
      </w:pPr>
      <w:r>
        <w:rPr>
          <w:rFonts w:hint="eastAsia"/>
        </w:rPr>
        <w:t>预处理过程中产生的涂料废渣应按照相应固体废物管理规定进行妥善处理。</w:t>
      </w:r>
    </w:p>
    <w:p>
      <w:pPr>
        <w:pStyle w:val="164"/>
      </w:pPr>
      <w:r>
        <w:rPr>
          <w:rFonts w:hint="eastAsia"/>
        </w:rPr>
        <w:t>废溶剂、废吸附剂、沾有涂料或溶剂的棉纱、抹布等废弃物应放入密闭容器。涉挥发性有机物的废包装工具（废罐、废桶、废包装袋等）应密闭贮存</w:t>
      </w:r>
    </w:p>
    <w:p>
      <w:pPr>
        <w:pStyle w:val="104"/>
        <w:spacing w:before="240" w:after="240"/>
      </w:pPr>
      <w:bookmarkStart w:id="73" w:name="_Toc113635513"/>
      <w:bookmarkStart w:id="74" w:name="_Toc113635080"/>
      <w:bookmarkStart w:id="75" w:name="_Toc113634522"/>
      <w:r>
        <w:t>污染集中防治要求</w:t>
      </w:r>
      <w:bookmarkEnd w:id="73"/>
      <w:bookmarkEnd w:id="74"/>
      <w:bookmarkEnd w:id="75"/>
    </w:p>
    <w:p>
      <w:pPr>
        <w:pStyle w:val="105"/>
        <w:spacing w:before="120" w:after="120"/>
      </w:pPr>
      <w:bookmarkStart w:id="76" w:name="_Toc113635081"/>
      <w:bookmarkStart w:id="77" w:name="_Toc113634523"/>
      <w:r>
        <w:t>废气集中收集治理</w:t>
      </w:r>
      <w:bookmarkEnd w:id="76"/>
      <w:bookmarkEnd w:id="77"/>
    </w:p>
    <w:p>
      <w:pPr>
        <w:pStyle w:val="165"/>
      </w:pPr>
      <w:r>
        <w:rPr>
          <w:rFonts w:hint="eastAsia"/>
        </w:rPr>
        <w:t>各生产工序产生的废气应落实“应收尽收，分类收集”的要求，最大限度控制颗粒物、酸雾及挥发性有机物无组织排放量。</w:t>
      </w:r>
    </w:p>
    <w:p>
      <w:pPr>
        <w:pStyle w:val="164"/>
      </w:pPr>
      <w:r>
        <w:rPr>
          <w:rFonts w:hint="eastAsia"/>
        </w:rPr>
        <w:t>各产生废气的生产设施及其所在车间应保持密闭，换气风量根据车间大小确定，保证废气捕集率不低于95%。</w:t>
      </w:r>
    </w:p>
    <w:p>
      <w:pPr>
        <w:pStyle w:val="164"/>
      </w:pPr>
      <w:r>
        <w:rPr>
          <w:rFonts w:hint="eastAsia"/>
        </w:rPr>
        <w:t>喷漆室内换气次数不应少于60次/h，其他产生废气的生产设施换气次数不应少于25次/h。</w:t>
      </w:r>
    </w:p>
    <w:p>
      <w:pPr>
        <w:pStyle w:val="165"/>
      </w:pPr>
      <w:r>
        <w:rPr>
          <w:rFonts w:hint="eastAsia"/>
        </w:rPr>
        <w:t>颗粒物集中治理宜采用袋式除尘、滤筒除尘、旋风除尘、湿式除尘等除尘技术。除尘系统的吸尘罩、风管、除尘器等的设置，粉尘的控制、清理和除尘设备的检修应满足 GB 15577的粉尘防爆要求。</w:t>
      </w:r>
    </w:p>
    <w:p>
      <w:pPr>
        <w:pStyle w:val="164"/>
      </w:pPr>
      <w:r>
        <w:rPr>
          <w:rFonts w:hint="eastAsia"/>
        </w:rPr>
        <w:t>除尘设施不得设置旁路排风，运行期间对易耗材料进行备品备件。</w:t>
      </w:r>
    </w:p>
    <w:p>
      <w:pPr>
        <w:pStyle w:val="164"/>
      </w:pPr>
      <w:r>
        <w:rPr>
          <w:rFonts w:hint="eastAsia"/>
        </w:rPr>
        <w:t>除尘设施的运行和维护应有操作规程和管理制度。</w:t>
      </w:r>
    </w:p>
    <w:p>
      <w:pPr>
        <w:pStyle w:val="165"/>
      </w:pPr>
      <w:r>
        <w:rPr>
          <w:rFonts w:hint="eastAsia"/>
        </w:rPr>
        <w:t>酸雾废气集中治理宜采用喷淋塔中和法处理技术。</w:t>
      </w:r>
    </w:p>
    <w:p>
      <w:pPr>
        <w:pStyle w:val="164"/>
      </w:pPr>
      <w:r>
        <w:rPr>
          <w:rFonts w:hint="eastAsia"/>
        </w:rPr>
        <w:t>定期检查喷淋塔的塔体、液箱，喷雾系统、填料，气液分离器等完好性，及时更换填料。</w:t>
      </w:r>
    </w:p>
    <w:p>
      <w:pPr>
        <w:pStyle w:val="164"/>
      </w:pPr>
      <w:r>
        <w:rPr>
          <w:rFonts w:hint="eastAsia"/>
        </w:rPr>
        <w:t>对喷淋塔液箱安装自动pH值计量及联动加药装置，确保喷淋治理效果可达。</w:t>
      </w:r>
    </w:p>
    <w:p>
      <w:pPr>
        <w:pStyle w:val="165"/>
      </w:pPr>
      <w:r>
        <w:rPr>
          <w:rFonts w:hint="eastAsia"/>
        </w:rPr>
        <w:t>挥发性有机物集中治理应采用吸附、减风增浓等浓缩技术与燃烧法的组合工艺。</w:t>
      </w:r>
    </w:p>
    <w:p>
      <w:pPr>
        <w:pStyle w:val="164"/>
      </w:pPr>
      <w:r>
        <w:rPr>
          <w:rFonts w:hint="eastAsia"/>
        </w:rPr>
        <w:t>吸附环节的废气总净化效率应不低于90%且稳定达标，吸附治理技术的安装与运行需满足合HJ 2026的要求。</w:t>
      </w:r>
    </w:p>
    <w:p>
      <w:pPr>
        <w:pStyle w:val="164"/>
      </w:pPr>
      <w:r>
        <w:rPr>
          <w:rFonts w:hint="eastAsia"/>
        </w:rPr>
        <w:t>进入吸附装置的有机物浓度应低于其爆炸极限下限的25%。对于含有混合有机物的废气，其控制浓度P应低于最易爆组分或混合气体爆炸极限下限最低值的25%，即P＜min(Pe,Pm)×25%，Pe为最易爆组分爆炸极限下限（%），Pm为混合气体爆炸极限下限。</w:t>
      </w:r>
    </w:p>
    <w:p>
      <w:pPr>
        <w:pStyle w:val="164"/>
      </w:pPr>
      <w:r>
        <w:rPr>
          <w:rFonts w:hint="eastAsia"/>
        </w:rPr>
        <w:t>采用吸附技术的，进入吸附装置的废气温度宜低于40℃，有机废气相对湿度（RH）宜低于80%，脱附温度及颗粒物浓度应符合以下要求：</w:t>
      </w:r>
    </w:p>
    <w:p>
      <w:pPr>
        <w:pStyle w:val="112"/>
        <w:spacing w:before="120" w:after="120"/>
      </w:pPr>
      <w:r>
        <w:rPr>
          <w:rFonts w:hint="eastAsia"/>
        </w:rPr>
        <w:t>吸附技术脱附温度及颗粒物浓度要求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24"/>
        <w:gridCol w:w="3125"/>
        <w:gridCol w:w="31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24" w:type="dxa"/>
            <w:tcBorders>
              <w:top w:val="single" w:color="auto" w:sz="8" w:space="0"/>
              <w:bottom w:val="single" w:color="auto" w:sz="8" w:space="0"/>
            </w:tcBorders>
            <w:shd w:val="clear" w:color="auto" w:fill="auto"/>
          </w:tcPr>
          <w:p>
            <w:pPr>
              <w:jc w:val="center"/>
            </w:pPr>
            <w:r>
              <w:rPr>
                <w:rFonts w:hint="eastAsia"/>
              </w:rPr>
              <w:t>类型</w:t>
            </w:r>
          </w:p>
        </w:tc>
        <w:tc>
          <w:tcPr>
            <w:tcW w:w="3125" w:type="dxa"/>
            <w:tcBorders>
              <w:top w:val="single" w:color="auto" w:sz="8" w:space="0"/>
              <w:bottom w:val="single" w:color="auto" w:sz="8" w:space="0"/>
            </w:tcBorders>
            <w:shd w:val="clear" w:color="auto" w:fill="auto"/>
          </w:tcPr>
          <w:p>
            <w:pPr>
              <w:jc w:val="center"/>
            </w:pPr>
            <w:r>
              <w:rPr>
                <w:rFonts w:hint="eastAsia"/>
              </w:rPr>
              <w:t>脱附温度</w:t>
            </w:r>
          </w:p>
        </w:tc>
        <w:tc>
          <w:tcPr>
            <w:tcW w:w="3125" w:type="dxa"/>
            <w:tcBorders>
              <w:top w:val="single" w:color="auto" w:sz="8" w:space="0"/>
              <w:bottom w:val="single" w:color="auto" w:sz="8" w:space="0"/>
            </w:tcBorders>
            <w:shd w:val="clear" w:color="auto" w:fill="auto"/>
          </w:tcPr>
          <w:p>
            <w:pPr>
              <w:jc w:val="center"/>
            </w:pPr>
            <w:r>
              <w:rPr>
                <w:rFonts w:hint="eastAsia"/>
              </w:rPr>
              <w:t>颗粒物浓度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tcBorders>
              <w:top w:val="single" w:color="auto" w:sz="8" w:space="0"/>
            </w:tcBorders>
            <w:shd w:val="clear" w:color="auto" w:fill="auto"/>
          </w:tcPr>
          <w:p>
            <w:pPr>
              <w:jc w:val="center"/>
            </w:pPr>
            <w:r>
              <w:rPr>
                <w:rFonts w:hint="eastAsia"/>
              </w:rPr>
              <w:t>活性炭吸附技术</w:t>
            </w:r>
          </w:p>
        </w:tc>
        <w:tc>
          <w:tcPr>
            <w:tcW w:w="3125" w:type="dxa"/>
            <w:tcBorders>
              <w:top w:val="single" w:color="auto" w:sz="8" w:space="0"/>
            </w:tcBorders>
            <w:shd w:val="clear" w:color="auto" w:fill="auto"/>
          </w:tcPr>
          <w:p>
            <w:pPr>
              <w:jc w:val="center"/>
            </w:pPr>
            <w:r>
              <w:rPr>
                <w:rFonts w:hint="eastAsia"/>
              </w:rPr>
              <w:t>80℃至100℃</w:t>
            </w:r>
          </w:p>
        </w:tc>
        <w:tc>
          <w:tcPr>
            <w:tcW w:w="3125" w:type="dxa"/>
            <w:tcBorders>
              <w:top w:val="single" w:color="auto" w:sz="8" w:space="0"/>
            </w:tcBorders>
            <w:shd w:val="clear" w:color="auto" w:fill="auto"/>
          </w:tcPr>
          <w:p>
            <w:pPr>
              <w:jc w:val="center"/>
            </w:pPr>
            <w:r>
              <w:rPr>
                <w:rFonts w:hint="eastAsia"/>
              </w:rPr>
              <w:t>1 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pPr>
              <w:jc w:val="center"/>
            </w:pPr>
            <w:r>
              <w:rPr>
                <w:rFonts w:hint="eastAsia"/>
              </w:rPr>
              <w:t>沸石分子筛吸附技术</w:t>
            </w:r>
          </w:p>
        </w:tc>
        <w:tc>
          <w:tcPr>
            <w:tcW w:w="3125" w:type="dxa"/>
            <w:shd w:val="clear" w:color="auto" w:fill="auto"/>
          </w:tcPr>
          <w:p>
            <w:pPr>
              <w:jc w:val="center"/>
            </w:pPr>
            <w:r>
              <w:rPr>
                <w:rFonts w:hint="eastAsia"/>
              </w:rPr>
              <w:t>180℃至200℃</w:t>
            </w:r>
          </w:p>
        </w:tc>
        <w:tc>
          <w:tcPr>
            <w:tcW w:w="3125" w:type="dxa"/>
            <w:shd w:val="clear" w:color="auto" w:fill="auto"/>
          </w:tcPr>
          <w:p>
            <w:pPr>
              <w:jc w:val="center"/>
            </w:pPr>
            <w:r>
              <w:rPr>
                <w:rFonts w:hint="eastAsia"/>
              </w:rPr>
              <w:t>1 mg/m³</w:t>
            </w:r>
          </w:p>
        </w:tc>
      </w:tr>
    </w:tbl>
    <w:p>
      <w:pPr>
        <w:pStyle w:val="164"/>
      </w:pPr>
      <w:r>
        <w:rPr>
          <w:rFonts w:hint="eastAsia"/>
        </w:rPr>
        <w:t>当吸附剂选定后，吸附床层的吸附剂用量应根据废气处理量、污染物浓度和吸附剂的动态吸附量确定。</w:t>
      </w:r>
    </w:p>
    <w:p>
      <w:pPr>
        <w:pStyle w:val="164"/>
      </w:pPr>
      <w:r>
        <w:rPr>
          <w:rFonts w:hint="eastAsia"/>
        </w:rPr>
        <w:t>活性炭吸附装置吸附层的气流速度应根据吸附剂的形态确定。采用颗粒状吸附剂时，气体流速宜低于0.60m/s；采用纤维状吸附剂（活性炭纤维毡）时，气体流速宜低于0.15m/s;采用蜂窝状吸附剂时，气体流速宜低于1.20m/s。</w:t>
      </w:r>
    </w:p>
    <w:p>
      <w:pPr>
        <w:pStyle w:val="165"/>
      </w:pPr>
      <w:r>
        <w:rPr>
          <w:rFonts w:hint="eastAsia"/>
        </w:rPr>
        <w:t>燃烧技术一般采用催化燃烧技术（CO）、蓄热燃烧技术（RTO）、蓄热催化燃烧技术（RCO），燃烧技术不宜单独使用，应配合吸附浓缩技术使用。</w:t>
      </w:r>
    </w:p>
    <w:p>
      <w:pPr>
        <w:pStyle w:val="164"/>
      </w:pPr>
      <w:r>
        <w:rPr>
          <w:rFonts w:hint="eastAsia"/>
        </w:rPr>
        <w:t>催化燃烧（CO）装置应按照HJ 2027规定建设，催化燃烧净化效率不得低于97%；催化燃烧装置压力应低于2KPa，催化剂床层的设计空速宜低于40000h-1。</w:t>
      </w:r>
    </w:p>
    <w:p>
      <w:pPr>
        <w:pStyle w:val="164"/>
      </w:pPr>
      <w:r>
        <w:rPr>
          <w:rFonts w:hint="eastAsia"/>
        </w:rPr>
        <w:t>蓄热燃烧（RTO）装置应按照HJ 1093规定建设，两室蓄热燃烧装置的净化效率不宜低于95%，多室或旋转式蓄热燃烧装置的净化效率不宜低于98%；废气在燃烧室的停留时间一般不宜低于0.75s，燃烧室燃烧温度一般不高于760℃。</w:t>
      </w:r>
    </w:p>
    <w:p>
      <w:pPr>
        <w:pStyle w:val="164"/>
      </w:pPr>
      <w:r>
        <w:rPr>
          <w:rFonts w:hint="eastAsia"/>
        </w:rPr>
        <w:t>废气治理工程应先于产生废气的生产工艺设备开启、后于生产工艺设备停机，并实现连锁控制。企业应建立健全与治理工程相关的各项规章制度，制定运行、维护和操作规程，建立主要设备运行状况的台账制度。</w:t>
      </w:r>
    </w:p>
    <w:p>
      <w:pPr>
        <w:pStyle w:val="105"/>
        <w:spacing w:before="120" w:after="120"/>
      </w:pPr>
      <w:bookmarkStart w:id="78" w:name="_Toc113635082"/>
      <w:bookmarkStart w:id="79" w:name="_Toc113634524"/>
      <w:r>
        <w:t>废水集中收集处理</w:t>
      </w:r>
      <w:bookmarkEnd w:id="78"/>
      <w:bookmarkEnd w:id="79"/>
    </w:p>
    <w:p>
      <w:pPr>
        <w:pStyle w:val="165"/>
      </w:pPr>
      <w:r>
        <w:rPr>
          <w:rFonts w:hint="eastAsia"/>
        </w:rPr>
        <w:t>共性产业园核心区应配套集中式污水处理站；含一类污染物及有毒有害水污染物的工业废水应当分类收集和处理，不得稀释排放。</w:t>
      </w:r>
    </w:p>
    <w:p>
      <w:pPr>
        <w:pStyle w:val="165"/>
      </w:pPr>
      <w:r>
        <w:rPr>
          <w:rFonts w:hint="eastAsia"/>
        </w:rPr>
        <w:t>共性产业园核心区应当实行明管明渠、清污分流、雨污分流，雨水管道和污水管道不得相互混接，不得将污水排入雨水管网。</w:t>
      </w:r>
    </w:p>
    <w:p>
      <w:pPr>
        <w:pStyle w:val="165"/>
      </w:pPr>
      <w:r>
        <w:rPr>
          <w:rFonts w:hint="eastAsia"/>
        </w:rPr>
        <w:t>废水处理一般采用“预处理+生化处理+深度处理”组合工艺对生产废水进行综合治理，配套中水回用设施，回用率应满足相关标准要求。</w:t>
      </w:r>
    </w:p>
    <w:p>
      <w:pPr>
        <w:pStyle w:val="165"/>
      </w:pPr>
      <w:r>
        <w:rPr>
          <w:rFonts w:hint="eastAsia"/>
        </w:rPr>
        <w:t>挥发性有机物废水应采用密闭式明管输送至集水池，接入口和排出口采取与环境空气隔离的措施，集水池应加盖密闭。</w:t>
      </w:r>
    </w:p>
    <w:p>
      <w:pPr>
        <w:pStyle w:val="104"/>
        <w:spacing w:before="240" w:after="240"/>
      </w:pPr>
      <w:bookmarkStart w:id="80" w:name="_Toc113634525"/>
      <w:bookmarkStart w:id="81" w:name="_Toc113635083"/>
      <w:bookmarkStart w:id="82" w:name="_Toc113635514"/>
      <w:r>
        <w:t>环境监测</w:t>
      </w:r>
      <w:bookmarkEnd w:id="80"/>
      <w:bookmarkEnd w:id="81"/>
      <w:bookmarkEnd w:id="82"/>
    </w:p>
    <w:p>
      <w:pPr>
        <w:pStyle w:val="105"/>
        <w:spacing w:before="120" w:after="120"/>
      </w:pPr>
      <w:bookmarkStart w:id="83" w:name="_Toc113634526"/>
      <w:bookmarkStart w:id="84" w:name="_Toc113635084"/>
      <w:r>
        <w:t>污染排放监测</w:t>
      </w:r>
      <w:bookmarkEnd w:id="83"/>
      <w:bookmarkEnd w:id="84"/>
    </w:p>
    <w:p>
      <w:pPr>
        <w:pStyle w:val="65"/>
        <w:spacing w:before="120" w:after="120"/>
      </w:pPr>
      <w:r>
        <w:t>废气排放监测</w:t>
      </w:r>
    </w:p>
    <w:p>
      <w:pPr>
        <w:pStyle w:val="164"/>
      </w:pPr>
      <w:r>
        <w:rPr>
          <w:rFonts w:hint="eastAsia"/>
        </w:rPr>
        <w:t>集中式有机废气治理设施排放口应安装含苯、甲苯、二甲苯、挥发性有机物等监测指标的在线监测系统并按要求与生态环境部门联网。</w:t>
      </w:r>
    </w:p>
    <w:p>
      <w:pPr>
        <w:pStyle w:val="164"/>
      </w:pPr>
      <w:r>
        <w:rPr>
          <w:rFonts w:hint="eastAsia"/>
        </w:rPr>
        <w:t>核心区宜开展温室气体排放量核算统计，制定温室气体排放清单。</w:t>
      </w:r>
    </w:p>
    <w:p>
      <w:pPr>
        <w:pStyle w:val="65"/>
        <w:spacing w:before="120" w:after="120"/>
      </w:pPr>
      <w:r>
        <w:t>废水排放监测</w:t>
      </w:r>
    </w:p>
    <w:p>
      <w:pPr>
        <w:pStyle w:val="164"/>
      </w:pPr>
      <w:r>
        <w:rPr>
          <w:rFonts w:hint="eastAsia"/>
        </w:rPr>
        <w:t>集中式污水处理站废水排放口应安装含流量、化学需氧量、氨氮、一类污染物等监测指标的在线监测系统并按要求与生态环境部门联网。</w:t>
      </w:r>
    </w:p>
    <w:p>
      <w:pPr>
        <w:pStyle w:val="164"/>
      </w:pPr>
      <w:r>
        <w:rPr>
          <w:rFonts w:hint="eastAsia"/>
        </w:rPr>
        <w:t>生活污水单独直排外环境的，应在生活污水排放口设置监测点位，具体监测指标、监测频次应符合HJ 1086的要求。</w:t>
      </w:r>
    </w:p>
    <w:p>
      <w:pPr>
        <w:pStyle w:val="105"/>
        <w:spacing w:before="120" w:after="120"/>
      </w:pPr>
      <w:bookmarkStart w:id="85" w:name="_Toc113634527"/>
      <w:bookmarkStart w:id="86" w:name="_Toc113635085"/>
      <w:r>
        <w:t>周边环境质量监测</w:t>
      </w:r>
      <w:bookmarkEnd w:id="85"/>
      <w:bookmarkEnd w:id="86"/>
    </w:p>
    <w:p>
      <w:pPr>
        <w:pStyle w:val="165"/>
      </w:pPr>
      <w:r>
        <w:rPr>
          <w:rFonts w:hint="eastAsia"/>
        </w:rPr>
        <w:t>按照法律法规及环境影响评价文件等要求，应按要求开展周边环境质量监测。</w:t>
      </w:r>
    </w:p>
    <w:p>
      <w:pPr>
        <w:pStyle w:val="165"/>
      </w:pPr>
      <w:r>
        <w:rPr>
          <w:rFonts w:hint="eastAsia"/>
        </w:rPr>
        <w:t>核心区四周应布设不少于4个环境质量微观监测站，监测PM10、TVOC、酸雾等指标。</w:t>
      </w:r>
    </w:p>
    <w:p>
      <w:pPr>
        <w:pStyle w:val="56"/>
        <w:ind w:firstLine="420"/>
      </w:pPr>
    </w:p>
    <w:p>
      <w:pPr>
        <w:pStyle w:val="56"/>
        <w:ind w:firstLine="420"/>
        <w:sectPr>
          <w:pgSz w:w="11906" w:h="16838"/>
          <w:pgMar w:top="2410" w:right="1134" w:bottom="1134" w:left="1134" w:header="1418" w:footer="1134" w:gutter="284"/>
          <w:pgNumType w:start="1"/>
          <w:cols w:space="425" w:num="1"/>
          <w:formProt w:val="0"/>
          <w:docGrid w:linePitch="312" w:charSpace="0"/>
        </w:sectPr>
      </w:pPr>
    </w:p>
    <w:bookmarkEnd w:id="26"/>
    <w:p>
      <w:pPr>
        <w:pStyle w:val="198"/>
      </w:pPr>
      <w:bookmarkStart w:id="87" w:name="BookMark5"/>
    </w:p>
    <w:p>
      <w:pPr>
        <w:pStyle w:val="199"/>
      </w:pPr>
    </w:p>
    <w:p>
      <w:pPr>
        <w:pStyle w:val="76"/>
        <w:spacing w:before="60" w:after="120"/>
      </w:pPr>
      <w:r>
        <w:br w:type="textWrapping"/>
      </w:r>
      <w:bookmarkStart w:id="88" w:name="_Toc113635515"/>
      <w:bookmarkStart w:id="89" w:name="_Toc113634528"/>
      <w:bookmarkStart w:id="90" w:name="_Toc113635086"/>
      <w:r>
        <w:rPr>
          <w:rFonts w:hint="eastAsia"/>
        </w:rPr>
        <w:t>（资料性）</w:t>
      </w:r>
      <w:r>
        <w:br w:type="textWrapping"/>
      </w:r>
      <w:r>
        <w:rPr>
          <w:rFonts w:hint="eastAsia"/>
        </w:rPr>
        <w:t>金属表面处理类环保共性产业园核心区巡查要点</w:t>
      </w:r>
      <w:bookmarkEnd w:id="88"/>
      <w:bookmarkEnd w:id="89"/>
      <w:bookmarkEnd w:id="90"/>
    </w:p>
    <w:p>
      <w:pPr>
        <w:pStyle w:val="56"/>
        <w:ind w:firstLine="420"/>
      </w:pPr>
      <w:r>
        <w:rPr>
          <w:rFonts w:hint="eastAsia"/>
        </w:rPr>
        <w:t>金属表面处理类环保共性产业园核心区巡查要点见表A.1。</w:t>
      </w:r>
    </w:p>
    <w:p>
      <w:pPr>
        <w:pStyle w:val="77"/>
        <w:spacing w:before="120" w:after="120"/>
      </w:pPr>
      <w:r>
        <w:rPr>
          <w:rFonts w:hint="eastAsia"/>
        </w:rPr>
        <w:t>金属表面处理类环保共性产业园核心区巡查要点</w:t>
      </w:r>
    </w:p>
    <w:tbl>
      <w:tblPr>
        <w:tblStyle w:val="27"/>
        <w:tblW w:w="996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68"/>
        <w:gridCol w:w="982"/>
        <w:gridCol w:w="484"/>
        <w:gridCol w:w="4249"/>
        <w:gridCol w:w="1276"/>
        <w:gridCol w:w="1417"/>
        <w:gridCol w:w="9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8" w:space="0"/>
              <w:left w:val="single" w:color="auto" w:sz="8" w:space="0"/>
              <w:bottom w:val="single" w:color="auto" w:sz="8" w:space="0"/>
              <w:right w:val="single" w:color="auto" w:sz="4" w:space="0"/>
            </w:tcBorders>
            <w:vAlign w:val="center"/>
          </w:tcPr>
          <w:p>
            <w:pPr>
              <w:pStyle w:val="178"/>
              <w:widowControl w:val="0"/>
              <w:spacing w:line="252" w:lineRule="auto"/>
              <w:rPr>
                <w:rFonts w:hAnsi="宋体"/>
                <w:szCs w:val="18"/>
              </w:rPr>
            </w:pPr>
            <w:r>
              <w:rPr>
                <w:rFonts w:hint="eastAsia" w:hAnsi="宋体"/>
                <w:szCs w:val="18"/>
              </w:rPr>
              <w:t>序号</w:t>
            </w:r>
          </w:p>
        </w:tc>
        <w:tc>
          <w:tcPr>
            <w:tcW w:w="982" w:type="dxa"/>
            <w:tcBorders>
              <w:top w:val="single" w:color="auto" w:sz="8" w:space="0"/>
              <w:left w:val="single" w:color="auto" w:sz="4" w:space="0"/>
              <w:bottom w:val="single" w:color="auto" w:sz="8" w:space="0"/>
              <w:right w:val="single" w:color="auto" w:sz="4" w:space="0"/>
            </w:tcBorders>
            <w:vAlign w:val="center"/>
          </w:tcPr>
          <w:p>
            <w:pPr>
              <w:pStyle w:val="178"/>
              <w:widowControl w:val="0"/>
              <w:spacing w:line="252" w:lineRule="auto"/>
              <w:rPr>
                <w:rFonts w:hAnsi="宋体"/>
                <w:szCs w:val="18"/>
              </w:rPr>
            </w:pPr>
            <w:r>
              <w:rPr>
                <w:rFonts w:hint="eastAsia" w:hAnsi="宋体"/>
                <w:szCs w:val="18"/>
              </w:rPr>
              <w:t>巡检点位</w:t>
            </w:r>
          </w:p>
        </w:tc>
        <w:tc>
          <w:tcPr>
            <w:tcW w:w="4733" w:type="dxa"/>
            <w:gridSpan w:val="2"/>
            <w:tcBorders>
              <w:top w:val="single" w:color="auto" w:sz="8" w:space="0"/>
              <w:left w:val="single" w:color="auto" w:sz="4" w:space="0"/>
              <w:bottom w:val="single" w:color="auto" w:sz="8" w:space="0"/>
              <w:right w:val="single" w:color="auto" w:sz="4" w:space="0"/>
            </w:tcBorders>
            <w:vAlign w:val="center"/>
          </w:tcPr>
          <w:p>
            <w:pPr>
              <w:pStyle w:val="178"/>
              <w:widowControl w:val="0"/>
              <w:spacing w:line="252" w:lineRule="auto"/>
              <w:rPr>
                <w:rFonts w:hAnsi="宋体"/>
                <w:szCs w:val="18"/>
              </w:rPr>
            </w:pPr>
            <w:r>
              <w:rPr>
                <w:rFonts w:hint="eastAsia" w:hAnsi="宋体"/>
                <w:szCs w:val="18"/>
              </w:rPr>
              <w:t>巡检事项</w:t>
            </w:r>
          </w:p>
        </w:tc>
        <w:tc>
          <w:tcPr>
            <w:tcW w:w="1276" w:type="dxa"/>
            <w:tcBorders>
              <w:top w:val="single" w:color="auto" w:sz="8" w:space="0"/>
              <w:left w:val="single" w:color="auto" w:sz="4" w:space="0"/>
              <w:bottom w:val="single" w:color="auto" w:sz="8" w:space="0"/>
              <w:right w:val="single" w:color="auto" w:sz="4" w:space="0"/>
            </w:tcBorders>
            <w:vAlign w:val="center"/>
          </w:tcPr>
          <w:p>
            <w:pPr>
              <w:pStyle w:val="178"/>
              <w:widowControl w:val="0"/>
              <w:spacing w:line="252" w:lineRule="auto"/>
              <w:rPr>
                <w:rFonts w:hAnsi="宋体"/>
                <w:szCs w:val="18"/>
              </w:rPr>
            </w:pPr>
            <w:r>
              <w:rPr>
                <w:rFonts w:hint="eastAsia" w:hAnsi="宋体"/>
                <w:szCs w:val="18"/>
              </w:rPr>
              <w:t>推荐巡检方式</w:t>
            </w:r>
          </w:p>
        </w:tc>
        <w:tc>
          <w:tcPr>
            <w:tcW w:w="1417" w:type="dxa"/>
            <w:tcBorders>
              <w:top w:val="single" w:color="auto" w:sz="8" w:space="0"/>
              <w:left w:val="single" w:color="auto" w:sz="4" w:space="0"/>
              <w:bottom w:val="single" w:color="auto" w:sz="8" w:space="0"/>
              <w:right w:val="single" w:color="auto" w:sz="4" w:space="0"/>
            </w:tcBorders>
            <w:vAlign w:val="center"/>
          </w:tcPr>
          <w:p>
            <w:pPr>
              <w:pStyle w:val="178"/>
              <w:widowControl w:val="0"/>
              <w:spacing w:line="252" w:lineRule="auto"/>
              <w:rPr>
                <w:rFonts w:hAnsi="宋体"/>
                <w:szCs w:val="18"/>
              </w:rPr>
            </w:pPr>
            <w:r>
              <w:rPr>
                <w:rFonts w:hint="eastAsia" w:hAnsi="宋体"/>
                <w:szCs w:val="18"/>
              </w:rPr>
              <w:t>最低巡检频次</w:t>
            </w:r>
          </w:p>
          <w:p>
            <w:pPr>
              <w:pStyle w:val="178"/>
              <w:widowControl w:val="0"/>
              <w:spacing w:line="252" w:lineRule="auto"/>
              <w:rPr>
                <w:rFonts w:hAnsi="宋体"/>
                <w:szCs w:val="18"/>
              </w:rPr>
            </w:pPr>
            <w:r>
              <w:rPr>
                <w:rFonts w:hint="eastAsia" w:hAnsi="宋体"/>
                <w:szCs w:val="18"/>
              </w:rPr>
              <w:t>（针对人工巡查）</w:t>
            </w:r>
          </w:p>
        </w:tc>
        <w:tc>
          <w:tcPr>
            <w:tcW w:w="992" w:type="dxa"/>
            <w:tcBorders>
              <w:top w:val="single" w:color="auto" w:sz="8" w:space="0"/>
              <w:left w:val="single" w:color="auto" w:sz="4" w:space="0"/>
              <w:bottom w:val="single" w:color="auto" w:sz="8" w:space="0"/>
              <w:right w:val="single" w:color="auto" w:sz="8" w:space="0"/>
            </w:tcBorders>
            <w:vAlign w:val="center"/>
          </w:tcPr>
          <w:p>
            <w:pPr>
              <w:pStyle w:val="178"/>
              <w:widowControl w:val="0"/>
              <w:spacing w:line="252" w:lineRule="auto"/>
              <w:rPr>
                <w:rFonts w:hAnsi="宋体"/>
                <w:szCs w:val="18"/>
              </w:rPr>
            </w:pPr>
            <w:r>
              <w:rPr>
                <w:rFonts w:hint="eastAsia" w:hAnsi="宋体"/>
                <w:szCs w:val="18"/>
              </w:rPr>
              <w:t>巡检权属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8"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1-1</w:t>
            </w:r>
          </w:p>
        </w:tc>
        <w:tc>
          <w:tcPr>
            <w:tcW w:w="982" w:type="dxa"/>
            <w:vMerge w:val="restart"/>
            <w:tcBorders>
              <w:top w:val="nil"/>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生产区</w:t>
            </w:r>
          </w:p>
        </w:tc>
        <w:tc>
          <w:tcPr>
            <w:tcW w:w="4733" w:type="dxa"/>
            <w:gridSpan w:val="2"/>
            <w:tcBorders>
              <w:top w:val="single" w:color="auto" w:sz="8" w:space="0"/>
              <w:left w:val="single" w:color="auto" w:sz="4" w:space="0"/>
              <w:bottom w:val="single" w:color="auto" w:sz="4" w:space="0"/>
              <w:right w:val="single" w:color="auto" w:sz="4" w:space="0"/>
            </w:tcBorders>
            <w:vAlign w:val="center"/>
          </w:tcPr>
          <w:p>
            <w:pPr>
              <w:pStyle w:val="178"/>
              <w:widowControl w:val="0"/>
              <w:spacing w:line="252" w:lineRule="auto"/>
              <w:jc w:val="left"/>
              <w:rPr>
                <w:rFonts w:hAnsi="宋体"/>
                <w:szCs w:val="18"/>
              </w:rPr>
            </w:pPr>
            <w:r>
              <w:rPr>
                <w:rFonts w:hint="eastAsia" w:hAnsi="宋体"/>
                <w:szCs w:val="18"/>
              </w:rPr>
              <w:t>生产车间是否密闭管理</w:t>
            </w:r>
          </w:p>
        </w:tc>
        <w:tc>
          <w:tcPr>
            <w:tcW w:w="1276" w:type="dxa"/>
            <w:tcBorders>
              <w:top w:val="single" w:color="auto" w:sz="8"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视频监控</w:t>
            </w:r>
          </w:p>
        </w:tc>
        <w:tc>
          <w:tcPr>
            <w:tcW w:w="1417" w:type="dxa"/>
            <w:vMerge w:val="restart"/>
            <w:tcBorders>
              <w:top w:val="nil"/>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2次/生产日</w:t>
            </w:r>
          </w:p>
          <w:p>
            <w:pPr>
              <w:pStyle w:val="178"/>
              <w:widowControl w:val="0"/>
              <w:spacing w:line="252" w:lineRule="auto"/>
              <w:rPr>
                <w:rFonts w:hAnsi="宋体"/>
                <w:szCs w:val="18"/>
              </w:rPr>
            </w:pPr>
          </w:p>
          <w:p>
            <w:pPr>
              <w:pStyle w:val="178"/>
              <w:widowControl w:val="0"/>
              <w:spacing w:line="252" w:lineRule="auto"/>
              <w:rPr>
                <w:rFonts w:hAnsi="宋体"/>
                <w:szCs w:val="18"/>
              </w:rPr>
            </w:pPr>
            <w:r>
              <w:rPr>
                <w:rFonts w:hint="eastAsia" w:hAnsi="宋体"/>
                <w:szCs w:val="18"/>
              </w:rPr>
              <w:t>1次/周</w:t>
            </w:r>
          </w:p>
        </w:tc>
        <w:tc>
          <w:tcPr>
            <w:tcW w:w="992" w:type="dxa"/>
            <w:vMerge w:val="restart"/>
            <w:tcBorders>
              <w:top w:val="nil"/>
              <w:left w:val="single" w:color="auto" w:sz="4" w:space="0"/>
              <w:bottom w:val="single" w:color="auto" w:sz="4" w:space="0"/>
              <w:right w:val="single" w:color="auto" w:sz="8" w:space="0"/>
            </w:tcBorders>
            <w:vAlign w:val="center"/>
          </w:tcPr>
          <w:p>
            <w:pPr>
              <w:pStyle w:val="178"/>
              <w:widowControl w:val="0"/>
              <w:spacing w:line="252" w:lineRule="auto"/>
              <w:rPr>
                <w:rFonts w:hAnsi="宋体"/>
                <w:szCs w:val="18"/>
              </w:rPr>
            </w:pPr>
            <w:r>
              <w:rPr>
                <w:rFonts w:hint="eastAsia" w:hAnsi="宋体"/>
                <w:szCs w:val="18"/>
              </w:rPr>
              <w:t>入驻企业</w:t>
            </w:r>
          </w:p>
          <w:p>
            <w:pPr>
              <w:pStyle w:val="178"/>
              <w:widowControl w:val="0"/>
              <w:spacing w:line="252" w:lineRule="auto"/>
              <w:rPr>
                <w:rFonts w:hAnsi="宋体"/>
                <w:szCs w:val="18"/>
              </w:rPr>
            </w:pPr>
          </w:p>
          <w:p>
            <w:pPr>
              <w:pStyle w:val="178"/>
              <w:widowControl w:val="0"/>
              <w:spacing w:line="252" w:lineRule="auto"/>
              <w:rPr>
                <w:rFonts w:hAnsi="宋体"/>
                <w:szCs w:val="18"/>
              </w:rPr>
            </w:pPr>
            <w:r>
              <w:rPr>
                <w:rFonts w:hint="eastAsia" w:hAnsi="宋体"/>
                <w:szCs w:val="18"/>
              </w:rPr>
              <w:t>管理机构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1-2</w:t>
            </w:r>
          </w:p>
        </w:tc>
        <w:tc>
          <w:tcPr>
            <w:tcW w:w="98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jc w:val="left"/>
              <w:rPr>
                <w:rFonts w:hAnsi="宋体"/>
                <w:szCs w:val="18"/>
              </w:rPr>
            </w:pPr>
            <w:r>
              <w:rPr>
                <w:rFonts w:hint="eastAsia" w:hAnsi="宋体"/>
                <w:szCs w:val="18"/>
              </w:rPr>
              <w:t>双层（重）门是否同时开启</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视频监控</w:t>
            </w: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nil"/>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1-3</w:t>
            </w:r>
          </w:p>
        </w:tc>
        <w:tc>
          <w:tcPr>
            <w:tcW w:w="98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kern w:val="0"/>
                <w:sz w:val="18"/>
                <w:szCs w:val="18"/>
              </w:rPr>
            </w:pPr>
            <w:r>
              <w:rPr>
                <w:rFonts w:hint="eastAsia" w:ascii="宋体" w:hAnsi="宋体"/>
                <w:kern w:val="0"/>
                <w:sz w:val="18"/>
                <w:szCs w:val="18"/>
              </w:rPr>
              <w:t>涂料及辅料是否加盖密封或仅保留供给生产需要敞口</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nil"/>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vMerge w:val="restart"/>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1-4</w:t>
            </w:r>
          </w:p>
        </w:tc>
        <w:tc>
          <w:tcPr>
            <w:tcW w:w="98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84" w:type="dxa"/>
            <w:vMerge w:val="restart"/>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供料过程</w:t>
            </w:r>
          </w:p>
        </w:tc>
        <w:tc>
          <w:tcPr>
            <w:tcW w:w="4249" w:type="dxa"/>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集中：涂料输送管道是否存在泄露破损</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压差监控</w:t>
            </w: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nil"/>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8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4249" w:type="dxa"/>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非集中：是否将涂料送回调漆室或密闭保存</w:t>
            </w:r>
          </w:p>
        </w:tc>
        <w:tc>
          <w:tcPr>
            <w:tcW w:w="1276" w:type="dxa"/>
            <w:tcBorders>
              <w:top w:val="single" w:color="auto" w:sz="4" w:space="0"/>
              <w:left w:val="single" w:color="auto" w:sz="4" w:space="0"/>
              <w:bottom w:val="nil"/>
              <w:right w:val="single" w:color="auto" w:sz="4" w:space="0"/>
            </w:tcBorders>
            <w:vAlign w:val="center"/>
          </w:tcPr>
          <w:p>
            <w:pPr>
              <w:spacing w:line="252" w:lineRule="auto"/>
              <w:jc w:val="center"/>
              <w:rPr>
                <w:rFonts w:ascii="宋体" w:hAnsi="宋体"/>
                <w:sz w:val="18"/>
                <w:szCs w:val="18"/>
              </w:rPr>
            </w:pPr>
            <w:r>
              <w:rPr>
                <w:rFonts w:hint="eastAsia" w:ascii="宋体" w:hAnsi="宋体"/>
                <w:sz w:val="18"/>
                <w:szCs w:val="18"/>
              </w:rPr>
              <w:t>人工巡查</w:t>
            </w: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nil"/>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1-5</w:t>
            </w:r>
          </w:p>
        </w:tc>
        <w:tc>
          <w:tcPr>
            <w:tcW w:w="98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湿式作业空间地面是否存在跑冒滴漏</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视频监控</w:t>
            </w: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nil"/>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1-6</w:t>
            </w:r>
          </w:p>
        </w:tc>
        <w:tc>
          <w:tcPr>
            <w:tcW w:w="98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用排水管线是否存在泄露破损</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nil"/>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1-7</w:t>
            </w:r>
          </w:p>
        </w:tc>
        <w:tc>
          <w:tcPr>
            <w:tcW w:w="98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生产设备四周是否堆放危险废物</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nil"/>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1-8</w:t>
            </w:r>
          </w:p>
        </w:tc>
        <w:tc>
          <w:tcPr>
            <w:tcW w:w="98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环保、消防、安全等设施是否齐全</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nil"/>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2-1</w:t>
            </w:r>
          </w:p>
        </w:tc>
        <w:tc>
          <w:tcPr>
            <w:tcW w:w="982" w:type="dxa"/>
            <w:vMerge w:val="restart"/>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预治污</w:t>
            </w:r>
          </w:p>
          <w:p>
            <w:pPr>
              <w:pStyle w:val="178"/>
              <w:widowControl w:val="0"/>
              <w:spacing w:line="252" w:lineRule="auto"/>
              <w:rPr>
                <w:rFonts w:hAnsi="宋体"/>
                <w:szCs w:val="18"/>
              </w:rPr>
            </w:pPr>
            <w:r>
              <w:rPr>
                <w:rFonts w:hint="eastAsia" w:hAnsi="宋体"/>
                <w:szCs w:val="18"/>
              </w:rPr>
              <w:t>单元</w:t>
            </w: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废气预处理设施是否与生产设施同步运转</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工况监控</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1次/生产日</w:t>
            </w:r>
          </w:p>
          <w:p>
            <w:pPr>
              <w:pStyle w:val="178"/>
              <w:widowControl w:val="0"/>
              <w:spacing w:line="252" w:lineRule="auto"/>
              <w:rPr>
                <w:rFonts w:hAnsi="宋体"/>
                <w:szCs w:val="18"/>
              </w:rPr>
            </w:pPr>
          </w:p>
          <w:p>
            <w:pPr>
              <w:pStyle w:val="178"/>
              <w:widowControl w:val="0"/>
              <w:spacing w:line="252" w:lineRule="auto"/>
              <w:rPr>
                <w:rFonts w:hAnsi="宋体"/>
                <w:szCs w:val="18"/>
              </w:rPr>
            </w:pPr>
            <w:r>
              <w:rPr>
                <w:rFonts w:hint="eastAsia" w:hAnsi="宋体"/>
                <w:szCs w:val="18"/>
              </w:rPr>
              <w:t>1次/周</w:t>
            </w:r>
          </w:p>
        </w:tc>
        <w:tc>
          <w:tcPr>
            <w:tcW w:w="992" w:type="dxa"/>
            <w:vMerge w:val="restart"/>
            <w:tcBorders>
              <w:top w:val="single" w:color="auto" w:sz="4" w:space="0"/>
              <w:left w:val="single" w:color="auto" w:sz="4" w:space="0"/>
              <w:bottom w:val="single" w:color="auto" w:sz="4" w:space="0"/>
              <w:right w:val="single" w:color="auto" w:sz="8" w:space="0"/>
            </w:tcBorders>
            <w:vAlign w:val="center"/>
          </w:tcPr>
          <w:p>
            <w:pPr>
              <w:pStyle w:val="178"/>
              <w:widowControl w:val="0"/>
              <w:spacing w:line="252" w:lineRule="auto"/>
              <w:rPr>
                <w:rFonts w:hAnsi="宋体"/>
                <w:szCs w:val="18"/>
              </w:rPr>
            </w:pPr>
            <w:r>
              <w:rPr>
                <w:rFonts w:hint="eastAsia" w:hAnsi="宋体"/>
                <w:szCs w:val="18"/>
              </w:rPr>
              <w:t>入驻企业</w:t>
            </w:r>
          </w:p>
          <w:p>
            <w:pPr>
              <w:pStyle w:val="178"/>
              <w:widowControl w:val="0"/>
              <w:spacing w:line="252" w:lineRule="auto"/>
              <w:rPr>
                <w:rFonts w:hAnsi="宋体"/>
                <w:szCs w:val="18"/>
              </w:rPr>
            </w:pPr>
          </w:p>
          <w:p>
            <w:pPr>
              <w:pStyle w:val="178"/>
              <w:widowControl w:val="0"/>
              <w:spacing w:line="252" w:lineRule="auto"/>
              <w:rPr>
                <w:rFonts w:hAnsi="宋体"/>
                <w:szCs w:val="18"/>
              </w:rPr>
            </w:pPr>
            <w:r>
              <w:rPr>
                <w:rFonts w:hint="eastAsia" w:hAnsi="宋体"/>
                <w:szCs w:val="18"/>
              </w:rPr>
              <w:t>管理机构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2-2</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喷淋塔运转过程是否存在跑冒漏滴</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视频监控</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2-3</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ascii="宋体" w:hAnsi="宋体"/>
                <w:sz w:val="18"/>
                <w:szCs w:val="18"/>
              </w:rPr>
              <w:t>废气过滤装置压差</w:t>
            </w:r>
            <w:r>
              <w:rPr>
                <w:rFonts w:hint="eastAsia" w:ascii="宋体" w:hAnsi="宋体"/>
                <w:sz w:val="18"/>
                <w:szCs w:val="18"/>
              </w:rPr>
              <w:t>是否</w:t>
            </w:r>
            <w:r>
              <w:rPr>
                <w:rFonts w:ascii="宋体" w:hAnsi="宋体"/>
                <w:sz w:val="18"/>
                <w:szCs w:val="18"/>
              </w:rPr>
              <w:t>超过过滤材料标准终始阻力</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压差监控</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2-4</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配套除尘装置是否运转正常且无泄漏破损</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压差监控</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2-5</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废水收集池是否存在脏污、异味</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视频监控</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2-6</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废水收集池配套管线、泵组、阀门是否运转正常</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2-7</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废水收集池是否确保防渗防漏及分区隔断</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3-1</w:t>
            </w:r>
          </w:p>
        </w:tc>
        <w:tc>
          <w:tcPr>
            <w:tcW w:w="982" w:type="dxa"/>
            <w:vMerge w:val="restart"/>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大气污染集中治理设施</w:t>
            </w: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废气收集管线是否存在破损泄漏</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1次/生产日</w:t>
            </w:r>
          </w:p>
        </w:tc>
        <w:tc>
          <w:tcPr>
            <w:tcW w:w="992" w:type="dxa"/>
            <w:vMerge w:val="restart"/>
            <w:tcBorders>
              <w:top w:val="single" w:color="auto" w:sz="4" w:space="0"/>
              <w:left w:val="single" w:color="auto" w:sz="4" w:space="0"/>
              <w:bottom w:val="single" w:color="auto" w:sz="4" w:space="0"/>
              <w:right w:val="single" w:color="auto" w:sz="8" w:space="0"/>
            </w:tcBorders>
            <w:vAlign w:val="center"/>
          </w:tcPr>
          <w:p>
            <w:pPr>
              <w:pStyle w:val="178"/>
              <w:widowControl w:val="0"/>
              <w:spacing w:line="252" w:lineRule="auto"/>
              <w:rPr>
                <w:rFonts w:hAnsi="宋体"/>
                <w:szCs w:val="18"/>
              </w:rPr>
            </w:pPr>
            <w:r>
              <w:rPr>
                <w:rFonts w:hint="eastAsia" w:hAnsi="宋体"/>
                <w:szCs w:val="18"/>
              </w:rPr>
              <w:t>管理机构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3-2</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废气处理设施是否已张贴明晰标识</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3-3</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除尘装置是否运转正常且无泄漏破损</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压差监控</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3-4</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ascii="宋体" w:hAnsi="宋体"/>
                <w:sz w:val="18"/>
                <w:szCs w:val="18"/>
              </w:rPr>
              <w:t>废气过滤装置压差</w:t>
            </w:r>
            <w:r>
              <w:rPr>
                <w:rFonts w:hint="eastAsia" w:ascii="宋体" w:hAnsi="宋体"/>
                <w:sz w:val="18"/>
                <w:szCs w:val="18"/>
              </w:rPr>
              <w:t>是否</w:t>
            </w:r>
            <w:r>
              <w:rPr>
                <w:rFonts w:ascii="宋体" w:hAnsi="宋体"/>
                <w:sz w:val="18"/>
                <w:szCs w:val="18"/>
              </w:rPr>
              <w:t>超过过滤材料标准终始阻力</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压差监控</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3-5</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喷淋塔运转过程是否存在跑冒漏滴</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视频监控</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3-6</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吸附装置是否已定期更换装填物并进行记录</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3-7</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燃烧装置脱附温度是否满足工艺设计要求</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温感监控</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3-8</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污染物排放浓度是否稳定达标</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在线监测</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3-9</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废气采样口是否具备安全作业条件</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3-10</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废气处理前后采样孔是否在非采样状态下保持密闭</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3-11</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大气排放口标识牌是否已按规范设计悬挂</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4-1</w:t>
            </w:r>
          </w:p>
        </w:tc>
        <w:tc>
          <w:tcPr>
            <w:tcW w:w="982" w:type="dxa"/>
            <w:vMerge w:val="restart"/>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水污染</w:t>
            </w:r>
          </w:p>
          <w:p>
            <w:pPr>
              <w:pStyle w:val="178"/>
              <w:widowControl w:val="0"/>
              <w:spacing w:line="252" w:lineRule="auto"/>
              <w:rPr>
                <w:rFonts w:hAnsi="宋体"/>
                <w:szCs w:val="18"/>
              </w:rPr>
            </w:pPr>
            <w:r>
              <w:rPr>
                <w:rFonts w:hint="eastAsia" w:hAnsi="宋体"/>
                <w:szCs w:val="18"/>
              </w:rPr>
              <w:t>集中治理设施</w:t>
            </w: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废气收集管线是否存在破损泄漏</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1次/生产日</w:t>
            </w:r>
          </w:p>
        </w:tc>
        <w:tc>
          <w:tcPr>
            <w:tcW w:w="992" w:type="dxa"/>
            <w:vMerge w:val="restart"/>
            <w:tcBorders>
              <w:top w:val="single" w:color="auto" w:sz="4" w:space="0"/>
              <w:left w:val="single" w:color="auto" w:sz="4" w:space="0"/>
              <w:bottom w:val="single" w:color="auto" w:sz="4" w:space="0"/>
              <w:right w:val="single" w:color="auto" w:sz="8" w:space="0"/>
            </w:tcBorders>
            <w:vAlign w:val="center"/>
          </w:tcPr>
          <w:p>
            <w:pPr>
              <w:pStyle w:val="178"/>
              <w:widowControl w:val="0"/>
              <w:spacing w:line="252" w:lineRule="auto"/>
              <w:rPr>
                <w:rFonts w:hAnsi="宋体"/>
                <w:szCs w:val="18"/>
              </w:rPr>
            </w:pPr>
            <w:r>
              <w:rPr>
                <w:rFonts w:hint="eastAsia" w:hAnsi="宋体"/>
                <w:szCs w:val="18"/>
              </w:rPr>
              <w:t>管理机构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4-2</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水污染治理设施是否运转正常，是否存在故障或因生产调整需要出现停用等情况</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工况监控</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4-3</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水污染治理设施是否按关键参数实现自动加药</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工况监控</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4-4</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水污染处理区域是否存在跑冒滴漏</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视频监控</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4-5</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水污染治理设施液位是否处于正常范围内</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液位计量</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4-6</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污泥压滤区域是否存在跑冒滴漏</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视频监控</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4-7</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污染物排放浓度是否稳定达标</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在线监测</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4-8</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水污染治理设施各处理区域是否已张贴明晰标识</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4-9</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废水排放口标识牌是否已按规范设计悬挂</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5-1</w:t>
            </w:r>
          </w:p>
        </w:tc>
        <w:tc>
          <w:tcPr>
            <w:tcW w:w="982" w:type="dxa"/>
            <w:vMerge w:val="restart"/>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一般固体废物贮存场所</w:t>
            </w: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是否已对一般固体废物分类分区存放及堆存过多</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2次/周</w:t>
            </w:r>
          </w:p>
        </w:tc>
        <w:tc>
          <w:tcPr>
            <w:tcW w:w="992" w:type="dxa"/>
            <w:vMerge w:val="restart"/>
            <w:tcBorders>
              <w:top w:val="single" w:color="auto" w:sz="4" w:space="0"/>
              <w:left w:val="single" w:color="auto" w:sz="4" w:space="0"/>
              <w:bottom w:val="single" w:color="auto" w:sz="4" w:space="0"/>
              <w:right w:val="single" w:color="auto" w:sz="8" w:space="0"/>
            </w:tcBorders>
            <w:vAlign w:val="center"/>
          </w:tcPr>
          <w:p>
            <w:pPr>
              <w:pStyle w:val="178"/>
              <w:widowControl w:val="0"/>
              <w:spacing w:line="252" w:lineRule="auto"/>
              <w:rPr>
                <w:rFonts w:hAnsi="宋体"/>
                <w:szCs w:val="18"/>
              </w:rPr>
            </w:pPr>
            <w:r>
              <w:rPr>
                <w:rFonts w:hint="eastAsia" w:hAnsi="宋体"/>
                <w:szCs w:val="18"/>
              </w:rPr>
              <w:t>管理机构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5-2</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一般固体废物贮存场所内是否混入危险废物</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5-3</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一般固体废物贮存场所内是否存在积水、积尘</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视频监控</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5-4</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ascii="宋体" w:hAnsi="宋体"/>
                <w:sz w:val="18"/>
                <w:szCs w:val="18"/>
              </w:rPr>
              <w:t>是否按规定设置</w:t>
            </w:r>
            <w:r>
              <w:rPr>
                <w:rFonts w:hint="eastAsia" w:ascii="宋体" w:hAnsi="宋体"/>
                <w:sz w:val="18"/>
                <w:szCs w:val="18"/>
              </w:rPr>
              <w:t>并做好一般固体废物</w:t>
            </w:r>
            <w:r>
              <w:rPr>
                <w:rFonts w:ascii="宋体" w:hAnsi="宋体"/>
                <w:sz w:val="18"/>
                <w:szCs w:val="18"/>
              </w:rPr>
              <w:t>管理台账</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5-5</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是否已制作悬挂一般固体废物贮存场提示标志</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6-1</w:t>
            </w:r>
          </w:p>
        </w:tc>
        <w:tc>
          <w:tcPr>
            <w:tcW w:w="982" w:type="dxa"/>
            <w:vMerge w:val="restart"/>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危险废物</w:t>
            </w:r>
          </w:p>
          <w:p>
            <w:pPr>
              <w:pStyle w:val="178"/>
              <w:widowControl w:val="0"/>
              <w:spacing w:line="252" w:lineRule="auto"/>
              <w:rPr>
                <w:rFonts w:hAnsi="宋体"/>
                <w:szCs w:val="18"/>
              </w:rPr>
            </w:pPr>
            <w:r>
              <w:rPr>
                <w:rFonts w:hint="eastAsia" w:hAnsi="宋体"/>
                <w:szCs w:val="18"/>
              </w:rPr>
              <w:t>贮存场所</w:t>
            </w:r>
          </w:p>
        </w:tc>
        <w:tc>
          <w:tcPr>
            <w:tcW w:w="4733" w:type="dxa"/>
            <w:gridSpan w:val="2"/>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jc w:val="left"/>
              <w:rPr>
                <w:rFonts w:hAnsi="宋体"/>
                <w:szCs w:val="18"/>
              </w:rPr>
            </w:pPr>
            <w:r>
              <w:rPr>
                <w:rFonts w:hint="eastAsia" w:hAnsi="宋体"/>
                <w:szCs w:val="18"/>
              </w:rPr>
              <w:t>危险废物贮存场所内是否混入非危险废物及堆存过多</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2次/周</w:t>
            </w:r>
          </w:p>
        </w:tc>
        <w:tc>
          <w:tcPr>
            <w:tcW w:w="992" w:type="dxa"/>
            <w:vMerge w:val="restart"/>
            <w:tcBorders>
              <w:top w:val="single" w:color="auto" w:sz="4" w:space="0"/>
              <w:left w:val="single" w:color="auto" w:sz="4" w:space="0"/>
              <w:bottom w:val="single" w:color="auto" w:sz="4" w:space="0"/>
              <w:right w:val="single" w:color="auto" w:sz="8" w:space="0"/>
            </w:tcBorders>
            <w:vAlign w:val="center"/>
          </w:tcPr>
          <w:p>
            <w:pPr>
              <w:pStyle w:val="178"/>
              <w:widowControl w:val="0"/>
              <w:spacing w:line="252" w:lineRule="auto"/>
              <w:rPr>
                <w:rFonts w:hAnsi="宋体"/>
                <w:szCs w:val="18"/>
              </w:rPr>
            </w:pPr>
            <w:r>
              <w:rPr>
                <w:rFonts w:hint="eastAsia" w:hAnsi="宋体"/>
                <w:szCs w:val="18"/>
              </w:rPr>
              <w:t>管理机构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6-2</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jc w:val="left"/>
              <w:rPr>
                <w:rFonts w:hAnsi="宋体"/>
                <w:szCs w:val="18"/>
              </w:rPr>
            </w:pPr>
            <w:r>
              <w:rPr>
                <w:rFonts w:hint="eastAsia" w:hAnsi="宋体"/>
                <w:szCs w:val="18"/>
              </w:rPr>
              <w:t>危险废物贮存场所内是否存在积水、积尘</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视频监控</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6-3</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jc w:val="left"/>
              <w:rPr>
                <w:rFonts w:hAnsi="宋体"/>
                <w:szCs w:val="18"/>
              </w:rPr>
            </w:pPr>
            <w:r>
              <w:rPr>
                <w:rFonts w:hint="eastAsia" w:hAnsi="宋体"/>
                <w:szCs w:val="18"/>
              </w:rPr>
              <w:t>危险废物的容器和包装物是否设置危险废物标签</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6-4</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jc w:val="left"/>
              <w:rPr>
                <w:rFonts w:hAnsi="宋体"/>
                <w:szCs w:val="18"/>
              </w:rPr>
            </w:pPr>
            <w:r>
              <w:rPr>
                <w:rFonts w:hint="eastAsia" w:hAnsi="宋体"/>
                <w:szCs w:val="18"/>
              </w:rPr>
              <w:t>危险废物是否分类分区存放</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视频监控</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6-5</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jc w:val="left"/>
              <w:rPr>
                <w:rFonts w:hAnsi="宋体"/>
                <w:szCs w:val="18"/>
              </w:rPr>
            </w:pPr>
            <w:r>
              <w:rPr>
                <w:rFonts w:hint="eastAsia" w:hAnsi="宋体"/>
                <w:szCs w:val="18"/>
              </w:rPr>
              <w:t>涉挥发性有机物的废弃物是否密闭储存</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6-6</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jc w:val="left"/>
              <w:rPr>
                <w:rFonts w:hAnsi="宋体"/>
                <w:szCs w:val="18"/>
              </w:rPr>
            </w:pPr>
            <w:r>
              <w:rPr>
                <w:rFonts w:hint="eastAsia" w:hAnsi="宋体"/>
                <w:szCs w:val="18"/>
              </w:rPr>
              <w:t>液态类危险废物是否放入密闭容器并配套截流措施</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6-7</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jc w:val="left"/>
              <w:rPr>
                <w:rFonts w:hAnsi="宋体"/>
                <w:szCs w:val="18"/>
              </w:rPr>
            </w:pPr>
            <w:r>
              <w:rPr>
                <w:rFonts w:hint="eastAsia" w:hAnsi="宋体"/>
                <w:szCs w:val="18"/>
              </w:rPr>
              <w:t>是否按规定设置并做好危险废物管理台账</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6-8</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jc w:val="left"/>
              <w:rPr>
                <w:rFonts w:hAnsi="宋体"/>
                <w:szCs w:val="18"/>
              </w:rPr>
            </w:pPr>
            <w:r>
              <w:rPr>
                <w:rFonts w:hint="eastAsia" w:hAnsi="宋体"/>
                <w:szCs w:val="18"/>
              </w:rPr>
              <w:t>转移危险废物过程是否如实填写、运行转移联单</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6-9</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jc w:val="left"/>
              <w:rPr>
                <w:rFonts w:hAnsi="宋体"/>
                <w:szCs w:val="18"/>
              </w:rPr>
            </w:pPr>
            <w:r>
              <w:rPr>
                <w:rFonts w:hint="eastAsia" w:hAnsi="宋体"/>
                <w:szCs w:val="18"/>
              </w:rPr>
              <w:t>是否已制作悬挂危险废物贮存场警告标志</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7-1</w:t>
            </w:r>
          </w:p>
        </w:tc>
        <w:tc>
          <w:tcPr>
            <w:tcW w:w="982" w:type="dxa"/>
            <w:vMerge w:val="restart"/>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危险化学品仓库（储罐区）</w:t>
            </w: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是否对化学品（危险化学品）分类分区存放</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2次/周</w:t>
            </w:r>
          </w:p>
        </w:tc>
        <w:tc>
          <w:tcPr>
            <w:tcW w:w="992" w:type="dxa"/>
            <w:vMerge w:val="restart"/>
            <w:tcBorders>
              <w:top w:val="single" w:color="auto" w:sz="4" w:space="0"/>
              <w:left w:val="single" w:color="auto" w:sz="4" w:space="0"/>
              <w:bottom w:val="single" w:color="auto" w:sz="4" w:space="0"/>
              <w:right w:val="single" w:color="auto" w:sz="8" w:space="0"/>
            </w:tcBorders>
            <w:vAlign w:val="center"/>
          </w:tcPr>
          <w:p>
            <w:pPr>
              <w:pStyle w:val="178"/>
              <w:widowControl w:val="0"/>
              <w:spacing w:line="252" w:lineRule="auto"/>
              <w:rPr>
                <w:rFonts w:hAnsi="宋体"/>
                <w:szCs w:val="18"/>
              </w:rPr>
            </w:pPr>
            <w:r>
              <w:rPr>
                <w:rFonts w:hint="eastAsia" w:hAnsi="宋体"/>
                <w:szCs w:val="18"/>
              </w:rPr>
              <w:t>管理机构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7-2</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是否已对贮存化学品设置标识标签（安全周知卡）</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7-3</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化学品包装袋</w:t>
            </w:r>
            <w:r>
              <w:rPr>
                <w:rFonts w:hint="eastAsia" w:ascii="宋体" w:hAnsi="宋体" w:cs="Calibri"/>
                <w:sz w:val="18"/>
                <w:szCs w:val="18"/>
              </w:rPr>
              <w:t>/</w:t>
            </w:r>
            <w:r>
              <w:rPr>
                <w:rFonts w:hint="eastAsia" w:ascii="宋体" w:hAnsi="宋体"/>
                <w:sz w:val="18"/>
                <w:szCs w:val="18"/>
              </w:rPr>
              <w:t>桶是否存在破损泄漏</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视频监控</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7-4</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是否已配备充足应急物资</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7-5</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储罐管线</w:t>
            </w:r>
            <w:r>
              <w:rPr>
                <w:rFonts w:hint="eastAsia" w:ascii="宋体" w:hAnsi="宋体" w:cs="Calibri"/>
                <w:sz w:val="18"/>
                <w:szCs w:val="18"/>
              </w:rPr>
              <w:t>/</w:t>
            </w:r>
            <w:r>
              <w:rPr>
                <w:rFonts w:hint="eastAsia" w:ascii="宋体" w:hAnsi="宋体"/>
                <w:sz w:val="18"/>
                <w:szCs w:val="18"/>
              </w:rPr>
              <w:t>阀门是否存在破损泄漏</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压差监控</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8-1</w:t>
            </w:r>
          </w:p>
        </w:tc>
        <w:tc>
          <w:tcPr>
            <w:tcW w:w="982" w:type="dxa"/>
            <w:vMerge w:val="restart"/>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事故</w:t>
            </w:r>
          </w:p>
          <w:p>
            <w:pPr>
              <w:pStyle w:val="178"/>
              <w:widowControl w:val="0"/>
              <w:spacing w:line="252" w:lineRule="auto"/>
              <w:rPr>
                <w:rFonts w:hAnsi="宋体"/>
                <w:szCs w:val="18"/>
              </w:rPr>
            </w:pPr>
            <w:r>
              <w:rPr>
                <w:rFonts w:hint="eastAsia" w:hAnsi="宋体"/>
                <w:szCs w:val="18"/>
              </w:rPr>
              <w:t>应急池</w:t>
            </w: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水泵及阀门运转正常</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1次/周</w:t>
            </w:r>
          </w:p>
        </w:tc>
        <w:tc>
          <w:tcPr>
            <w:tcW w:w="992" w:type="dxa"/>
            <w:vMerge w:val="restart"/>
            <w:tcBorders>
              <w:top w:val="single" w:color="auto" w:sz="4" w:space="0"/>
              <w:left w:val="single" w:color="auto" w:sz="4" w:space="0"/>
              <w:bottom w:val="single" w:color="auto" w:sz="4" w:space="0"/>
              <w:right w:val="single" w:color="auto" w:sz="8" w:space="0"/>
            </w:tcBorders>
            <w:vAlign w:val="center"/>
          </w:tcPr>
          <w:p>
            <w:pPr>
              <w:pStyle w:val="178"/>
              <w:widowControl w:val="0"/>
              <w:spacing w:line="252" w:lineRule="auto"/>
              <w:rPr>
                <w:rFonts w:hAnsi="宋体"/>
                <w:szCs w:val="18"/>
              </w:rPr>
            </w:pPr>
            <w:r>
              <w:rPr>
                <w:rFonts w:hint="eastAsia" w:hAnsi="宋体"/>
                <w:szCs w:val="18"/>
              </w:rPr>
              <w:t>管理机构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8-3</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池内不存在积水未处理</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8-5</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事故废水导流管线</w:t>
            </w:r>
            <w:r>
              <w:rPr>
                <w:rFonts w:hint="eastAsia" w:ascii="宋体" w:hAnsi="宋体" w:cs="Calibri"/>
                <w:sz w:val="18"/>
                <w:szCs w:val="18"/>
              </w:rPr>
              <w:t>/</w:t>
            </w:r>
            <w:r>
              <w:rPr>
                <w:rFonts w:hint="eastAsia" w:ascii="宋体" w:hAnsi="宋体"/>
                <w:sz w:val="18"/>
                <w:szCs w:val="18"/>
              </w:rPr>
              <w:t>水泵是否配置充足且可正常使用</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9-1</w:t>
            </w:r>
          </w:p>
        </w:tc>
        <w:tc>
          <w:tcPr>
            <w:tcW w:w="982" w:type="dxa"/>
            <w:vMerge w:val="restart"/>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雨水</w:t>
            </w:r>
          </w:p>
          <w:p>
            <w:pPr>
              <w:pStyle w:val="178"/>
              <w:widowControl w:val="0"/>
              <w:spacing w:line="252" w:lineRule="auto"/>
              <w:rPr>
                <w:rFonts w:hAnsi="宋体"/>
                <w:szCs w:val="18"/>
              </w:rPr>
            </w:pPr>
            <w:r>
              <w:rPr>
                <w:rFonts w:hint="eastAsia" w:hAnsi="宋体"/>
                <w:szCs w:val="18"/>
              </w:rPr>
              <w:t>排放口</w:t>
            </w: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雨水排放口截留措施是否正常</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1次/周</w:t>
            </w:r>
          </w:p>
        </w:tc>
        <w:tc>
          <w:tcPr>
            <w:tcW w:w="992" w:type="dxa"/>
            <w:vMerge w:val="restart"/>
            <w:tcBorders>
              <w:top w:val="single" w:color="auto" w:sz="4" w:space="0"/>
              <w:left w:val="single" w:color="auto" w:sz="4" w:space="0"/>
              <w:bottom w:val="single" w:color="auto" w:sz="4" w:space="0"/>
              <w:right w:val="single" w:color="auto" w:sz="8" w:space="0"/>
            </w:tcBorders>
            <w:vAlign w:val="center"/>
          </w:tcPr>
          <w:p>
            <w:pPr>
              <w:pStyle w:val="178"/>
              <w:widowControl w:val="0"/>
              <w:spacing w:line="252" w:lineRule="auto"/>
              <w:rPr>
                <w:rFonts w:hAnsi="宋体"/>
                <w:szCs w:val="18"/>
              </w:rPr>
            </w:pPr>
            <w:r>
              <w:rPr>
                <w:rFonts w:hint="eastAsia" w:hAnsi="宋体"/>
                <w:szCs w:val="18"/>
              </w:rPr>
              <w:t>管理机构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9-2</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雨水排放口是否有生活污水、生产废水混入排放</w:t>
            </w:r>
          </w:p>
        </w:tc>
        <w:tc>
          <w:tcPr>
            <w:tcW w:w="1276" w:type="dxa"/>
            <w:tcBorders>
              <w:top w:val="single" w:color="auto" w:sz="4" w:space="0"/>
              <w:left w:val="single" w:color="auto" w:sz="4" w:space="0"/>
              <w:bottom w:val="single" w:color="auto" w:sz="4"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 w:type="dxa"/>
            <w:tcBorders>
              <w:top w:val="single" w:color="auto" w:sz="4" w:space="0"/>
              <w:left w:val="single" w:color="auto" w:sz="8" w:space="0"/>
              <w:bottom w:val="single" w:color="auto" w:sz="8" w:space="0"/>
              <w:right w:val="single" w:color="auto" w:sz="4" w:space="0"/>
            </w:tcBorders>
            <w:vAlign w:val="center"/>
          </w:tcPr>
          <w:p>
            <w:pPr>
              <w:pStyle w:val="178"/>
              <w:widowControl w:val="0"/>
              <w:spacing w:line="252" w:lineRule="auto"/>
              <w:rPr>
                <w:rFonts w:hAnsi="宋体"/>
                <w:szCs w:val="18"/>
              </w:rPr>
            </w:pPr>
            <w:r>
              <w:rPr>
                <w:rFonts w:hint="eastAsia" w:hAnsi="宋体"/>
                <w:szCs w:val="18"/>
              </w:rPr>
              <w:t>9-3</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4733" w:type="dxa"/>
            <w:gridSpan w:val="2"/>
            <w:tcBorders>
              <w:top w:val="single" w:color="auto" w:sz="4" w:space="0"/>
              <w:left w:val="single" w:color="auto" w:sz="4" w:space="0"/>
              <w:bottom w:val="single" w:color="auto" w:sz="8" w:space="0"/>
              <w:right w:val="single" w:color="auto" w:sz="4" w:space="0"/>
            </w:tcBorders>
            <w:vAlign w:val="center"/>
          </w:tcPr>
          <w:p>
            <w:pPr>
              <w:spacing w:line="252" w:lineRule="auto"/>
              <w:jc w:val="left"/>
              <w:rPr>
                <w:rFonts w:ascii="宋体" w:hAnsi="宋体"/>
                <w:sz w:val="18"/>
                <w:szCs w:val="18"/>
              </w:rPr>
            </w:pPr>
            <w:r>
              <w:rPr>
                <w:rFonts w:hint="eastAsia" w:ascii="宋体" w:hAnsi="宋体"/>
                <w:sz w:val="18"/>
                <w:szCs w:val="18"/>
              </w:rPr>
              <w:t>雨水排放口标识牌是否已按规范设计悬挂</w:t>
            </w:r>
          </w:p>
        </w:tc>
        <w:tc>
          <w:tcPr>
            <w:tcW w:w="1276" w:type="dxa"/>
            <w:tcBorders>
              <w:top w:val="single" w:color="auto" w:sz="4" w:space="0"/>
              <w:left w:val="single" w:color="auto" w:sz="4" w:space="0"/>
              <w:bottom w:val="single" w:color="auto" w:sz="8" w:space="0"/>
              <w:right w:val="single" w:color="auto" w:sz="4" w:space="0"/>
            </w:tcBorders>
            <w:vAlign w:val="center"/>
          </w:tcPr>
          <w:p>
            <w:pPr>
              <w:pStyle w:val="178"/>
              <w:widowControl w:val="0"/>
              <w:spacing w:line="252" w:lineRule="auto"/>
              <w:rPr>
                <w:rFonts w:hAnsi="宋体"/>
                <w:szCs w:val="18"/>
              </w:rPr>
            </w:pPr>
            <w:r>
              <w:rPr>
                <w:rFonts w:hint="eastAsia" w:hAnsi="宋体"/>
                <w:szCs w:val="18"/>
              </w:rPr>
              <w:t>人工巡查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992"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spacing w:line="240" w:lineRule="auto"/>
              <w:jc w:val="left"/>
              <w:rPr>
                <w:rFonts w:ascii="宋体" w:hAnsi="宋体"/>
                <w:kern w:val="0"/>
                <w:sz w:val="18"/>
                <w:szCs w:val="18"/>
              </w:rPr>
            </w:pPr>
          </w:p>
        </w:tc>
      </w:tr>
    </w:tbl>
    <w:p>
      <w:pPr>
        <w:pStyle w:val="56"/>
        <w:ind w:firstLine="420"/>
      </w:pPr>
    </w:p>
    <w:p>
      <w:pPr>
        <w:pStyle w:val="56"/>
        <w:ind w:firstLine="420"/>
      </w:pPr>
    </w:p>
    <w:p>
      <w:pPr>
        <w:pStyle w:val="56"/>
        <w:ind w:firstLine="420"/>
      </w:pPr>
    </w:p>
    <w:p>
      <w:pPr>
        <w:pStyle w:val="56"/>
        <w:ind w:firstLine="420"/>
      </w:pPr>
    </w:p>
    <w:p>
      <w:pPr>
        <w:pStyle w:val="56"/>
        <w:ind w:firstLine="420"/>
      </w:pPr>
    </w:p>
    <w:bookmarkEnd w:id="87"/>
    <w:p>
      <w:pPr>
        <w:pStyle w:val="56"/>
        <w:ind w:firstLine="420"/>
        <w:sectPr>
          <w:pgSz w:w="11906" w:h="16838"/>
          <w:pgMar w:top="2410" w:right="1134" w:bottom="1134" w:left="1134" w:header="1418" w:footer="1134" w:gutter="284"/>
          <w:cols w:space="425" w:num="1"/>
          <w:formProt w:val="0"/>
          <w:docGrid w:linePitch="312" w:charSpace="0"/>
        </w:sectPr>
      </w:pPr>
      <w:bookmarkStart w:id="91" w:name="BookMark6"/>
    </w:p>
    <w:p>
      <w:pPr>
        <w:pStyle w:val="63"/>
        <w:spacing w:before="96" w:after="120"/>
      </w:pPr>
      <w:bookmarkStart w:id="92" w:name="_Toc113635087"/>
      <w:bookmarkStart w:id="93" w:name="_Toc113634529"/>
      <w:bookmarkStart w:id="94" w:name="_Toc113635516"/>
      <w:r>
        <w:rPr>
          <w:rFonts w:hint="eastAsia"/>
          <w:spacing w:val="105"/>
        </w:rPr>
        <w:t>参考文</w:t>
      </w:r>
      <w:r>
        <w:rPr>
          <w:rFonts w:hint="eastAsia"/>
        </w:rPr>
        <w:t>献</w:t>
      </w:r>
      <w:bookmarkEnd w:id="92"/>
      <w:bookmarkEnd w:id="93"/>
      <w:bookmarkEnd w:id="94"/>
    </w:p>
    <w:p>
      <w:pPr>
        <w:pStyle w:val="56"/>
        <w:ind w:firstLine="420"/>
      </w:pPr>
      <w:r>
        <w:rPr>
          <w:rFonts w:hint="eastAsia"/>
        </w:rPr>
        <w:t>[1] 挥发性有机物治理实用手册 生态环境部 2020</w:t>
      </w:r>
    </w:p>
    <w:p>
      <w:pPr>
        <w:pStyle w:val="56"/>
        <w:ind w:firstLine="420"/>
      </w:pPr>
      <w:r>
        <w:rPr>
          <w:rFonts w:hint="eastAsia"/>
        </w:rPr>
        <w:t>[2] 挥发性有机物治理实用手册（第二版） 生态环境部 2021</w:t>
      </w:r>
    </w:p>
    <w:p>
      <w:pPr>
        <w:pStyle w:val="56"/>
        <w:ind w:firstLine="420"/>
      </w:pPr>
      <w:r>
        <w:rPr>
          <w:rFonts w:hint="eastAsia"/>
        </w:rPr>
        <w:t>[3] 广东省挥发性有机物治理设施运行管理技术规范（试行）</w:t>
      </w:r>
    </w:p>
    <w:p>
      <w:pPr>
        <w:pStyle w:val="56"/>
        <w:ind w:firstLine="420"/>
      </w:pPr>
      <w:r>
        <w:rPr>
          <w:rFonts w:hint="eastAsia"/>
        </w:rPr>
        <w:t>[4] 中山市VOCs共性工厂污染防治技术指引 中山市生态环境局 2021</w:t>
      </w:r>
    </w:p>
    <w:p>
      <w:pPr>
        <w:pStyle w:val="56"/>
        <w:ind w:firstLine="420"/>
      </w:pPr>
      <w:r>
        <w:rPr>
          <w:rFonts w:hint="eastAsia"/>
        </w:rPr>
        <w:t>[5] 中山市高标准厂房和工业大厦建设技术指引 中山市住房和城乡建设局 中建通[2022]87号</w:t>
      </w:r>
    </w:p>
    <w:bookmarkEnd w:id="91"/>
    <w:p>
      <w:pPr>
        <w:pStyle w:val="56"/>
        <w:ind w:firstLine="0" w:firstLineChars="0"/>
        <w:jc w:val="center"/>
      </w:pPr>
      <w:bookmarkStart w:id="95" w:name="BookMark8"/>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8"/>
                    <a:stretch>
                      <a:fillRect/>
                    </a:stretch>
                  </pic:blipFill>
                  <pic:spPr>
                    <a:xfrm>
                      <a:off x="0" y="0"/>
                      <a:ext cx="1485900" cy="317500"/>
                    </a:xfrm>
                    <a:prstGeom prst="rect">
                      <a:avLst/>
                    </a:prstGeom>
                  </pic:spPr>
                </pic:pic>
              </a:graphicData>
            </a:graphic>
          </wp:inline>
        </w:drawing>
      </w:r>
      <w:bookmarkEnd w:id="95"/>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1" w:cryptProviderType="rsaFull" w:cryptAlgorithmClass="hash" w:cryptAlgorithmType="typeAny" w:cryptAlgorithmSid="4" w:cryptSpinCount="100000" w:hash="bgcwtpT5Hi/eD2oUIht54z/z+/c=" w:salt="BCgA6bUvZKfcalFaAWXzg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MWY2ZjBkNGIxODM4NzhiOTc2ZmU2NTRjMmQ4YmIifQ=="/>
  </w:docVars>
  <w:rsids>
    <w:rsidRoot w:val="00D13AF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31"/>
    <w:rsid w:val="00043282"/>
    <w:rsid w:val="00044286"/>
    <w:rsid w:val="00047F28"/>
    <w:rsid w:val="000503AA"/>
    <w:rsid w:val="000506A1"/>
    <w:rsid w:val="000515DD"/>
    <w:rsid w:val="0005265A"/>
    <w:rsid w:val="000539DD"/>
    <w:rsid w:val="00053BD3"/>
    <w:rsid w:val="000556ED"/>
    <w:rsid w:val="00055FE2"/>
    <w:rsid w:val="0005616F"/>
    <w:rsid w:val="000567E6"/>
    <w:rsid w:val="00060C2E"/>
    <w:rsid w:val="00061033"/>
    <w:rsid w:val="000619E9"/>
    <w:rsid w:val="000622D4"/>
    <w:rsid w:val="0006313E"/>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5B98"/>
    <w:rsid w:val="000A7311"/>
    <w:rsid w:val="000B060F"/>
    <w:rsid w:val="000B1592"/>
    <w:rsid w:val="000B1FF2"/>
    <w:rsid w:val="000B3CDA"/>
    <w:rsid w:val="000B6A0B"/>
    <w:rsid w:val="000C0F6C"/>
    <w:rsid w:val="000C11DB"/>
    <w:rsid w:val="000C1492"/>
    <w:rsid w:val="000C2FBD"/>
    <w:rsid w:val="000C4B41"/>
    <w:rsid w:val="000C57D6"/>
    <w:rsid w:val="000C6362"/>
    <w:rsid w:val="000C760A"/>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4CCD"/>
    <w:rsid w:val="000F67E9"/>
    <w:rsid w:val="00101F86"/>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D3B"/>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64E"/>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4DB9"/>
    <w:rsid w:val="003654CB"/>
    <w:rsid w:val="00365AA9"/>
    <w:rsid w:val="00365F86"/>
    <w:rsid w:val="00365F87"/>
    <w:rsid w:val="00366E89"/>
    <w:rsid w:val="003705F4"/>
    <w:rsid w:val="00370D58"/>
    <w:rsid w:val="0037123F"/>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35C"/>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4C6C"/>
    <w:rsid w:val="00505767"/>
    <w:rsid w:val="005073F0"/>
    <w:rsid w:val="0051030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29F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4ED"/>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547D"/>
    <w:rsid w:val="006A6BF6"/>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C02"/>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364"/>
    <w:rsid w:val="00776599"/>
    <w:rsid w:val="00780629"/>
    <w:rsid w:val="0078114B"/>
    <w:rsid w:val="00781DD2"/>
    <w:rsid w:val="00783ECF"/>
    <w:rsid w:val="0078413A"/>
    <w:rsid w:val="007959E8"/>
    <w:rsid w:val="00795E9C"/>
    <w:rsid w:val="007A005F"/>
    <w:rsid w:val="007A0521"/>
    <w:rsid w:val="007A2E12"/>
    <w:rsid w:val="007A3475"/>
    <w:rsid w:val="007A41C8"/>
    <w:rsid w:val="007A46EE"/>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6FF9"/>
    <w:rsid w:val="007D76BD"/>
    <w:rsid w:val="007E0BF1"/>
    <w:rsid w:val="007F0ED8"/>
    <w:rsid w:val="007F0F63"/>
    <w:rsid w:val="007F75CE"/>
    <w:rsid w:val="00800412"/>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0C6A"/>
    <w:rsid w:val="0085173A"/>
    <w:rsid w:val="008603CE"/>
    <w:rsid w:val="008620FC"/>
    <w:rsid w:val="008627A5"/>
    <w:rsid w:val="00863E05"/>
    <w:rsid w:val="00865ACA"/>
    <w:rsid w:val="00865D28"/>
    <w:rsid w:val="00865F85"/>
    <w:rsid w:val="00867C10"/>
    <w:rsid w:val="00870439"/>
    <w:rsid w:val="00870DA1"/>
    <w:rsid w:val="008741D4"/>
    <w:rsid w:val="00883F93"/>
    <w:rsid w:val="00884DB3"/>
    <w:rsid w:val="00885A9D"/>
    <w:rsid w:val="008864F6"/>
    <w:rsid w:val="00887C59"/>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D0E"/>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36E1"/>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218E"/>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A3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06FA"/>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49D9"/>
    <w:rsid w:val="00AE070A"/>
    <w:rsid w:val="00AE101C"/>
    <w:rsid w:val="00AE1ADF"/>
    <w:rsid w:val="00AE2A69"/>
    <w:rsid w:val="00AE37E5"/>
    <w:rsid w:val="00AE5EB4"/>
    <w:rsid w:val="00AF0C18"/>
    <w:rsid w:val="00AF47C5"/>
    <w:rsid w:val="00AF5398"/>
    <w:rsid w:val="00B049AF"/>
    <w:rsid w:val="00B07242"/>
    <w:rsid w:val="00B10534"/>
    <w:rsid w:val="00B113DB"/>
    <w:rsid w:val="00B11D8A"/>
    <w:rsid w:val="00B12981"/>
    <w:rsid w:val="00B13D64"/>
    <w:rsid w:val="00B147DD"/>
    <w:rsid w:val="00B156FD"/>
    <w:rsid w:val="00B21F61"/>
    <w:rsid w:val="00B261F1"/>
    <w:rsid w:val="00B265BC"/>
    <w:rsid w:val="00B31FB1"/>
    <w:rsid w:val="00B33952"/>
    <w:rsid w:val="00B33C5E"/>
    <w:rsid w:val="00B342F4"/>
    <w:rsid w:val="00B34369"/>
    <w:rsid w:val="00B34DC2"/>
    <w:rsid w:val="00B35916"/>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97A4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18AC"/>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AFD"/>
    <w:rsid w:val="00D1489E"/>
    <w:rsid w:val="00D17C60"/>
    <w:rsid w:val="00D20737"/>
    <w:rsid w:val="00D21E81"/>
    <w:rsid w:val="00D223DE"/>
    <w:rsid w:val="00D253B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774D"/>
    <w:rsid w:val="00D66846"/>
    <w:rsid w:val="00D675FB"/>
    <w:rsid w:val="00D71F25"/>
    <w:rsid w:val="00D72A9C"/>
    <w:rsid w:val="00D77031"/>
    <w:rsid w:val="00D81738"/>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073E"/>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1AD"/>
    <w:rsid w:val="00F93A8A"/>
    <w:rsid w:val="00F94B33"/>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A6097F"/>
    <w:rsid w:val="1A71138C"/>
    <w:rsid w:val="215E4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2F6BA5D465547A5AE715CCD22A840C3"/>
        <w:style w:val=""/>
        <w:category>
          <w:name w:val="常规"/>
          <w:gallery w:val="placeholder"/>
        </w:category>
        <w:types>
          <w:type w:val="bbPlcHdr"/>
        </w:types>
        <w:behaviors>
          <w:behavior w:val="content"/>
        </w:behaviors>
        <w:description w:val=""/>
        <w:guid w:val="{DCC3017E-75C0-4898-BC26-F79FD5816DC8}"/>
      </w:docPartPr>
      <w:docPartBody>
        <w:p>
          <w:pPr>
            <w:pStyle w:val="5"/>
          </w:pPr>
          <w:r>
            <w:rPr>
              <w:rStyle w:val="4"/>
              <w:rFonts w:hint="eastAsia"/>
            </w:rPr>
            <w:t>单击或点击此处输入文字。</w:t>
          </w:r>
        </w:p>
      </w:docPartBody>
    </w:docPart>
    <w:docPart>
      <w:docPartPr>
        <w:name w:val="2147A671CE6544B8AD7CE4C75C07879C"/>
        <w:style w:val=""/>
        <w:category>
          <w:name w:val="常规"/>
          <w:gallery w:val="placeholder"/>
        </w:category>
        <w:types>
          <w:type w:val="bbPlcHdr"/>
        </w:types>
        <w:behaviors>
          <w:behavior w:val="content"/>
        </w:behaviors>
        <w:description w:val=""/>
        <w:guid w:val="{1ADEB2C0-7AD7-40F4-8D15-05F9F65CB338}"/>
      </w:docPartPr>
      <w:docPartBody>
        <w:p>
          <w:pPr>
            <w:pStyle w:val="6"/>
          </w:pPr>
          <w:r>
            <w:rPr>
              <w:rStyle w:val="4"/>
              <w:rFonts w:hint="eastAsia"/>
            </w:rPr>
            <w:t>选择一项。</w:t>
          </w:r>
        </w:p>
      </w:docPartBody>
    </w:docPart>
    <w:docPart>
      <w:docPartPr>
        <w:name w:val="193AACE90AE542C8A23C3D050E1BE64F"/>
        <w:style w:val=""/>
        <w:category>
          <w:name w:val="常规"/>
          <w:gallery w:val="placeholder"/>
        </w:category>
        <w:types>
          <w:type w:val="bbPlcHdr"/>
        </w:types>
        <w:behaviors>
          <w:behavior w:val="content"/>
        </w:behaviors>
        <w:description w:val=""/>
        <w:guid w:val="{E437172A-F902-408F-9E63-9103E4DB9D9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2F"/>
    <w:rsid w:val="002A3A2F"/>
    <w:rsid w:val="002B2564"/>
    <w:rsid w:val="00501532"/>
    <w:rsid w:val="00826A06"/>
    <w:rsid w:val="00A5450E"/>
    <w:rsid w:val="00D11F31"/>
    <w:rsid w:val="00F90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2F6BA5D465547A5AE715CCD22A840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147A671CE6544B8AD7CE4C75C07879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93AACE90AE542C8A23C3D050E1BE64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3FC6E9-9EFC-4BDB-A7A4-2C170FFCE8B8}">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14</Pages>
  <Words>9020</Words>
  <Characters>9979</Characters>
  <Lines>84</Lines>
  <Paragraphs>23</Paragraphs>
  <TotalTime>1</TotalTime>
  <ScaleCrop>false</ScaleCrop>
  <LinksUpToDate>false</LinksUpToDate>
  <CharactersWithSpaces>10168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2022-09-09T10:16:00Z</dcterms:created>
  <dc:creator>kk</dc:creator>
  <dc:description>&lt;config cover="true" show_menu="true" version="1.0.0" doctype="SDKXY"&gt;_x000d_
&lt;/config&gt;</dc:description>
  <cp:lastModifiedBy>lgr</cp:lastModifiedBy>
  <cp:lastPrinted>2022-09-09T00:51:00Z</cp:lastPrinted>
  <dcterms:modified xsi:type="dcterms:W3CDTF">2022-09-09T10:43:30Z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2052-11.1.0.12313</vt:lpwstr>
  </property>
  <property fmtid="{D5CDD505-2E9C-101B-9397-08002B2CF9AE}" pid="15" name="ICV">
    <vt:lpwstr>7FA1C2BA9FB54B85A9A07D094ABE2A50</vt:lpwstr>
  </property>
</Properties>
</file>