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rPr>
          <w:sz w:val="48"/>
        </w:rPr>
      </w:pPr>
      <w:r>
        <w:rPr>
          <w:sz w:val="48"/>
        </w:rPr>
        <w:fldChar w:fldCharType="begin">
          <w:ffData>
            <w:name w:val="CSTD_NAME"/>
            <w:enabled/>
            <w:calcOnExit w:val="0"/>
            <w:textInput>
              <w:default w:val="点击此处添加标准名称"/>
            </w:textInput>
          </w:ffData>
        </w:fldChar>
      </w:r>
      <w:bookmarkStart w:id="9" w:name="CSTD_NAME"/>
      <w:r>
        <w:rPr>
          <w:sz w:val="48"/>
        </w:rPr>
        <w:instrText xml:space="preserve"> FORMTEXT </w:instrText>
      </w:r>
      <w:r>
        <w:rPr>
          <w:sz w:val="48"/>
        </w:rPr>
        <w:fldChar w:fldCharType="separate"/>
      </w:r>
      <w:r>
        <w:rPr>
          <w:sz w:val="48"/>
        </w:rPr>
        <w:t>环保共性产业园核心区建设和管理技术规范</w:t>
      </w:r>
      <w:r>
        <w:rPr>
          <w:sz w:val="48"/>
        </w:rPr>
        <w:cr/>
      </w:r>
      <w:r>
        <w:rPr>
          <w:sz w:val="48"/>
        </w:rPr>
        <w:t>木制家具喷涂</w:t>
      </w:r>
      <w:r>
        <w:rPr>
          <w:sz w:val="48"/>
        </w:rP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specifications for the construction and management of the core area of the environmental </w:t>
      </w:r>
      <w:r>
        <w:rPr>
          <w:rFonts w:hint="eastAsia" w:eastAsia="黑体"/>
          <w:szCs w:val="28"/>
        </w:rPr>
        <w:t>p</w:t>
      </w:r>
      <w:r>
        <w:rPr>
          <w:rFonts w:eastAsia="黑体"/>
          <w:szCs w:val="28"/>
        </w:rPr>
        <w:t>rotection</w:t>
      </w:r>
      <w:r>
        <w:rPr>
          <w:rFonts w:hint="eastAsia" w:eastAsia="黑体"/>
          <w:szCs w:val="28"/>
        </w:rPr>
        <w:t xml:space="preserve"> c</w:t>
      </w:r>
      <w:r>
        <w:rPr>
          <w:rFonts w:eastAsia="黑体"/>
          <w:szCs w:val="28"/>
        </w:rPr>
        <w:t>ommon industrial park</w:t>
      </w:r>
    </w:p>
    <w:p>
      <w:pPr>
        <w:pStyle w:val="127"/>
        <w:framePr w:w="9639" w:h="6974" w:hRule="exact" w:wrap="around" w:vAnchor="page" w:hAnchor="page" w:x="1419" w:y="6408" w:anchorLock="1"/>
        <w:textAlignment w:val="bottom"/>
        <w:rPr>
          <w:rFonts w:eastAsia="黑体"/>
          <w:szCs w:val="28"/>
        </w:rPr>
      </w:pPr>
      <w:r>
        <w:rPr>
          <w:rFonts w:eastAsia="黑体"/>
          <w:szCs w:val="28"/>
        </w:rPr>
        <w:t>Wooden furniture spray painted</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t>（征求意见稿）</w:t>
      </w:r>
    </w:p>
    <w:p>
      <w:pPr>
        <w:pStyle w:val="127"/>
        <w:framePr w:w="9639" w:h="6974" w:hRule="exact" w:wrap="around" w:vAnchor="page" w:hAnchor="page" w:x="1419" w:y="6408" w:anchorLock="1"/>
        <w:spacing w:before="180" w:line="240" w:lineRule="atLeast"/>
        <w:textAlignment w:val="bottom"/>
        <w:rPr>
          <w:sz w:val="21"/>
          <w:szCs w:val="28"/>
        </w:rPr>
      </w:pPr>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5"/>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中山市环境科学学会</w:t>
      </w:r>
      <w:r>
        <w:rPr>
          <w:rFonts w:hAnsi="黑体"/>
          <w:w w:val="100"/>
          <w:sz w:val="28"/>
        </w:rPr>
        <w:fldChar w:fldCharType="end"/>
      </w:r>
      <w:bookmarkEnd w:id="18"/>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360"/>
      </w:pPr>
      <w:bookmarkStart w:id="19" w:name="BookMark1"/>
      <w:bookmarkStart w:id="20" w:name="_Toc109393231"/>
      <w:bookmarkStart w:id="21" w:name="_Toc109846123"/>
      <w:bookmarkStart w:id="22" w:name="_Toc112050531"/>
      <w:bookmarkStart w:id="23" w:name="_Toc111226132"/>
      <w:bookmarkStart w:id="24" w:name="_Toc111226099"/>
      <w:bookmarkStart w:id="25" w:name="_Toc109846094"/>
      <w:bookmarkStart w:id="26" w:name="_Toc113349291"/>
      <w:bookmarkStart w:id="27" w:name="_Toc112441245"/>
      <w:bookmarkStart w:id="28" w:name="_Toc112309330"/>
      <w:bookmarkStart w:id="29" w:name="_Toc113349530"/>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"_Toc113633541" </w:instrText>
      </w:r>
      <w:r>
        <w:fldChar w:fldCharType="separate"/>
      </w:r>
      <w:r>
        <w:rPr>
          <w:rStyle w:val="33"/>
          <w:rFonts w:hint="eastAsia"/>
        </w:rPr>
        <w:t>前言</w:t>
      </w:r>
      <w:r>
        <w:tab/>
      </w:r>
      <w:r>
        <w:fldChar w:fldCharType="begin"/>
      </w:r>
      <w:r>
        <w:instrText xml:space="preserve"> PAGEREF _Toc113633541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"_Toc113633542" </w:instrText>
      </w:r>
      <w:r>
        <w:fldChar w:fldCharType="separate"/>
      </w:r>
      <w:r>
        <w:rPr>
          <w:rStyle w:val="33"/>
        </w:rPr>
        <w:t xml:space="preserve">1 </w:t>
      </w:r>
      <w:r>
        <w:rPr>
          <w:rStyle w:val="33"/>
          <w:rFonts w:hint="eastAsia"/>
        </w:rPr>
        <w:t xml:space="preserve"> 范围</w:t>
      </w:r>
      <w:r>
        <w:tab/>
      </w:r>
      <w:r>
        <w:fldChar w:fldCharType="begin"/>
      </w:r>
      <w:r>
        <w:instrText xml:space="preserve"> PAGEREF _Toc113633542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"_Toc113633543"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_Toc113633543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"_Toc113633544"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_Toc113633544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"_Toc113633545" </w:instrText>
      </w:r>
      <w:r>
        <w:fldChar w:fldCharType="separate"/>
      </w:r>
      <w:r>
        <w:rPr>
          <w:rStyle w:val="33"/>
        </w:rPr>
        <w:t xml:space="preserve">4 </w:t>
      </w:r>
      <w:r>
        <w:rPr>
          <w:rStyle w:val="33"/>
          <w:rFonts w:hint="eastAsia"/>
        </w:rPr>
        <w:t xml:space="preserve"> 基本要求</w:t>
      </w:r>
      <w:r>
        <w:tab/>
      </w:r>
      <w:r>
        <w:fldChar w:fldCharType="begin"/>
      </w:r>
      <w:r>
        <w:instrText xml:space="preserve"> PAGEREF _Toc113633545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"_Toc113633546" </w:instrText>
      </w:r>
      <w:r>
        <w:fldChar w:fldCharType="separate"/>
      </w:r>
      <w:r>
        <w:rPr>
          <w:rStyle w:val="33"/>
        </w:rPr>
        <w:t xml:space="preserve">5 </w:t>
      </w:r>
      <w:r>
        <w:rPr>
          <w:rStyle w:val="33"/>
          <w:rFonts w:hint="eastAsia"/>
        </w:rPr>
        <w:t xml:space="preserve"> 场地建设要求</w:t>
      </w:r>
      <w:r>
        <w:tab/>
      </w:r>
      <w:r>
        <w:fldChar w:fldCharType="begin"/>
      </w:r>
      <w:r>
        <w:instrText xml:space="preserve"> PAGEREF _Toc113633546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"_Toc113633547" </w:instrText>
      </w:r>
      <w:r>
        <w:fldChar w:fldCharType="separate"/>
      </w:r>
      <w:r>
        <w:rPr>
          <w:rStyle w:val="33"/>
        </w:rPr>
        <w:t xml:space="preserve">6 </w:t>
      </w:r>
      <w:r>
        <w:rPr>
          <w:rStyle w:val="33"/>
          <w:rFonts w:hint="eastAsia"/>
        </w:rPr>
        <w:t xml:space="preserve"> 作业规范</w:t>
      </w:r>
      <w:r>
        <w:tab/>
      </w:r>
      <w:r>
        <w:fldChar w:fldCharType="begin"/>
      </w:r>
      <w:r>
        <w:instrText xml:space="preserve"> PAGEREF _Toc113633547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"_Toc113633548" </w:instrText>
      </w:r>
      <w:r>
        <w:fldChar w:fldCharType="separate"/>
      </w:r>
      <w:r>
        <w:rPr>
          <w:rStyle w:val="33"/>
        </w:rPr>
        <w:t xml:space="preserve">7 </w:t>
      </w:r>
      <w:r>
        <w:rPr>
          <w:rStyle w:val="33"/>
          <w:rFonts w:hint="eastAsia"/>
        </w:rPr>
        <w:t xml:space="preserve"> 预处理治污要求</w:t>
      </w:r>
      <w:r>
        <w:tab/>
      </w:r>
      <w:r>
        <w:fldChar w:fldCharType="begin"/>
      </w:r>
      <w:r>
        <w:instrText xml:space="preserve"> PAGEREF _Toc113633548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"_Toc113633549" </w:instrText>
      </w:r>
      <w:r>
        <w:fldChar w:fldCharType="separate"/>
      </w:r>
      <w:r>
        <w:rPr>
          <w:rStyle w:val="33"/>
        </w:rPr>
        <w:t xml:space="preserve">8 </w:t>
      </w:r>
      <w:r>
        <w:rPr>
          <w:rStyle w:val="33"/>
          <w:rFonts w:hint="eastAsia"/>
        </w:rPr>
        <w:t xml:space="preserve"> 污染集中治理要求</w:t>
      </w:r>
      <w:r>
        <w:tab/>
      </w:r>
      <w:r>
        <w:fldChar w:fldCharType="begin"/>
      </w:r>
      <w:r>
        <w:instrText xml:space="preserve"> PAGEREF _Toc113633549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"_Toc113633550" </w:instrText>
      </w:r>
      <w:r>
        <w:fldChar w:fldCharType="separate"/>
      </w:r>
      <w:r>
        <w:rPr>
          <w:rStyle w:val="33"/>
        </w:rPr>
        <w:t xml:space="preserve">9 </w:t>
      </w:r>
      <w:r>
        <w:rPr>
          <w:rStyle w:val="33"/>
          <w:rFonts w:hint="eastAsia"/>
        </w:rPr>
        <w:t xml:space="preserve"> 环境监测</w:t>
      </w:r>
      <w:r>
        <w:tab/>
      </w:r>
      <w:r>
        <w:fldChar w:fldCharType="begin"/>
      </w:r>
      <w:r>
        <w:instrText xml:space="preserve"> PAGEREF _Toc113633550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"_Toc113633551" </w:instrText>
      </w:r>
      <w:r>
        <w:fldChar w:fldCharType="separate"/>
      </w:r>
      <w:r>
        <w:rPr>
          <w:rStyle w:val="33"/>
          <w:rFonts w:hint="eastAsia"/>
        </w:rPr>
        <w:t>附录A（资料性）</w:t>
      </w:r>
      <w:r>
        <w:rPr>
          <w:rStyle w:val="33"/>
        </w:rPr>
        <w:t xml:space="preserve">  </w:t>
      </w:r>
      <w:r>
        <w:rPr>
          <w:rStyle w:val="33"/>
          <w:rFonts w:hint="eastAsia"/>
        </w:rPr>
        <w:t>木制家具喷涂类环保共性产业园核心区巡查要点</w:t>
      </w:r>
      <w:r>
        <w:tab/>
      </w:r>
      <w:r>
        <w:fldChar w:fldCharType="begin"/>
      </w:r>
      <w:r>
        <w:instrText xml:space="preserve"> PAGEREF _Toc113633551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"_Toc113633552" </w:instrText>
      </w:r>
      <w:r>
        <w:fldChar w:fldCharType="separate"/>
      </w:r>
      <w:r>
        <w:rPr>
          <w:rStyle w:val="33"/>
          <w:rFonts w:hint="eastAsia"/>
        </w:rPr>
        <w:t>参考文献</w:t>
      </w:r>
      <w:r>
        <w:tab/>
      </w:r>
      <w:r>
        <w:fldChar w:fldCharType="begin"/>
      </w:r>
      <w:r>
        <w:instrText xml:space="preserve"> PAGEREF _Toc113633552 \h </w:instrText>
      </w:r>
      <w:r>
        <w:fldChar w:fldCharType="separate"/>
      </w:r>
      <w:r>
        <w:t>10</w:t>
      </w:r>
      <w:r>
        <w:fldChar w:fldCharType="end"/>
      </w:r>
      <w:r>
        <w:fldChar w:fldCharType="end"/>
      </w:r>
    </w:p>
    <w:p>
      <w:pPr>
        <w:pStyle w:val="93"/>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9"/>
    <w:p>
      <w:pPr>
        <w:pStyle w:val="91"/>
        <w:spacing w:after="360"/>
      </w:pPr>
      <w:bookmarkStart w:id="30" w:name="_Toc113633541"/>
      <w:bookmarkStart w:id="31" w:name="BookMark2"/>
      <w:r>
        <w:rPr>
          <w:spacing w:val="320"/>
        </w:rPr>
        <w:t>前</w:t>
      </w:r>
      <w:r>
        <w:t>言</w:t>
      </w:r>
      <w:bookmarkEnd w:id="20"/>
      <w:bookmarkEnd w:id="21"/>
      <w:bookmarkEnd w:id="22"/>
      <w:bookmarkEnd w:id="23"/>
      <w:bookmarkEnd w:id="24"/>
      <w:bookmarkEnd w:id="25"/>
      <w:bookmarkEnd w:id="26"/>
      <w:bookmarkEnd w:id="27"/>
      <w:bookmarkEnd w:id="28"/>
      <w:bookmarkEnd w:id="29"/>
      <w:bookmarkEnd w:id="30"/>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w:t>
      </w:r>
      <w:r>
        <w:t>中山市环境保护技术中心、中山市家具商会</w:t>
      </w:r>
      <w:r>
        <w:rPr>
          <w:rFonts w:hint="eastAsia"/>
        </w:rPr>
        <w:t>提出。</w:t>
      </w:r>
    </w:p>
    <w:p>
      <w:pPr>
        <w:pStyle w:val="58"/>
        <w:ind w:firstLine="420"/>
      </w:pPr>
      <w:r>
        <w:rPr>
          <w:rFonts w:hint="eastAsia"/>
        </w:rPr>
        <w:t>本文件由</w:t>
      </w:r>
      <w:r>
        <w:t>中山市环境科学学会</w:t>
      </w:r>
      <w:r>
        <w:rPr>
          <w:rFonts w:hint="eastAsia"/>
        </w:rPr>
        <w:t>归口。</w:t>
      </w:r>
    </w:p>
    <w:p>
      <w:pPr>
        <w:pStyle w:val="58"/>
        <w:ind w:firstLine="420"/>
      </w:pPr>
      <w:r>
        <w:rPr>
          <w:rFonts w:hint="eastAsia"/>
        </w:rPr>
        <w:t>本文件起草单位：中山市环境保护技术中心、中山市家具商会、中山市聚诚达实业投资有限公司、中山市美盈家具有限公司、中山市大一涂料有限公司、中山四海家具制造有限公司、广东中泰家具集团有限公司。</w:t>
      </w:r>
    </w:p>
    <w:p>
      <w:pPr>
        <w:pStyle w:val="58"/>
        <w:ind w:firstLine="420"/>
      </w:pPr>
      <w:r>
        <w:rPr>
          <w:rFonts w:hint="eastAsia"/>
        </w:rPr>
        <w:t>本文件主要起草人：</w:t>
      </w:r>
      <w:r>
        <w:t xml:space="preserve"> </w:t>
      </w:r>
    </w:p>
    <w:p>
      <w:pPr>
        <w:pStyle w:val="58"/>
        <w:ind w:firstLine="420"/>
        <w:sectPr>
          <w:pgSz w:w="11906" w:h="16838"/>
          <w:pgMar w:top="2410" w:right="1134" w:bottom="1134" w:left="1134" w:header="1418" w:footer="1134" w:gutter="284"/>
          <w:pgNumType w:fmt="upperRoman"/>
          <w:cols w:space="425" w:num="1"/>
          <w:formProt w:val="0"/>
          <w:docGrid w:linePitch="312" w:charSpace="0"/>
        </w:sectPr>
      </w:pPr>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A7C86238755A4A23BA182A9A35362991"/>
        </w:placeholder>
      </w:sdtPr>
      <w:sdtContent>
        <w:p>
          <w:pPr>
            <w:pStyle w:val="179"/>
            <w:spacing w:before="2" w:beforeLines="1" w:after="2" w:afterLines="1"/>
          </w:pPr>
          <w:bookmarkStart w:id="33" w:name="NEW_STAND_NAME"/>
          <w:r>
            <w:t>环保</w:t>
          </w:r>
          <w:r>
            <w:rPr>
              <w:rFonts w:hint="eastAsia"/>
            </w:rPr>
            <w:t>共性产业园核心区建设和管理技术规范</w:t>
          </w:r>
        </w:p>
        <w:p>
          <w:pPr>
            <w:pStyle w:val="179"/>
            <w:spacing w:before="2" w:beforeLines="1" w:after="680"/>
          </w:pPr>
          <w:r>
            <w:rPr>
              <w:rFonts w:hint="eastAsia"/>
            </w:rPr>
            <w:t>木制家具喷涂</w:t>
          </w:r>
        </w:p>
      </w:sdtContent>
    </w:sdt>
    <w:bookmarkEnd w:id="33"/>
    <w:p>
      <w:pPr>
        <w:pStyle w:val="106"/>
        <w:spacing w:before="240" w:after="240"/>
      </w:pPr>
      <w:bookmarkStart w:id="34" w:name="_Toc26718930"/>
      <w:bookmarkStart w:id="35" w:name="_Toc113349292"/>
      <w:bookmarkStart w:id="36" w:name="_Toc109846124"/>
      <w:bookmarkStart w:id="37" w:name="_Toc113633542"/>
      <w:bookmarkStart w:id="38" w:name="_Toc111226100"/>
      <w:bookmarkStart w:id="39" w:name="_Toc24884218"/>
      <w:bookmarkStart w:id="40" w:name="_Toc17233333"/>
      <w:bookmarkStart w:id="41" w:name="_Toc24884211"/>
      <w:bookmarkStart w:id="42" w:name="_Toc113349531"/>
      <w:bookmarkStart w:id="43" w:name="_Toc109393232"/>
      <w:bookmarkStart w:id="44" w:name="_Toc107838984"/>
      <w:bookmarkStart w:id="45" w:name="_Toc26986530"/>
      <w:bookmarkStart w:id="46" w:name="_Toc26986771"/>
      <w:bookmarkStart w:id="47" w:name="_Toc112309331"/>
      <w:bookmarkStart w:id="48" w:name="_Toc111226133"/>
      <w:bookmarkStart w:id="49" w:name="_Toc112050532"/>
      <w:bookmarkStart w:id="50" w:name="_Toc112441246"/>
      <w:bookmarkStart w:id="51" w:name="_Toc26648465"/>
      <w:bookmarkStart w:id="52" w:name="_Toc107838407"/>
      <w:bookmarkStart w:id="53" w:name="_Toc109846095"/>
      <w:bookmarkStart w:id="54" w:name="_Toc107842977"/>
      <w:bookmarkStart w:id="55" w:name="_Toc17233325"/>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8"/>
        <w:ind w:firstLine="420"/>
      </w:pPr>
      <w:bookmarkStart w:id="56" w:name="_Toc17233334"/>
      <w:bookmarkStart w:id="57" w:name="_Toc24884212"/>
      <w:bookmarkStart w:id="58" w:name="_Toc17233326"/>
      <w:bookmarkStart w:id="59" w:name="_Toc26648466"/>
      <w:bookmarkStart w:id="60" w:name="_Toc24884219"/>
      <w:r>
        <w:rPr>
          <w:rFonts w:hint="eastAsia"/>
        </w:rPr>
        <w:t>本标准规定了木制家具喷涂类环保共性产业园核心区（以下简称“核心区”）建设与管理的术语和定义，提出对核心区建设和管理的基本要求、场地建设、作业规范、污染防治、环境监测和组织管理等要求。</w:t>
      </w:r>
    </w:p>
    <w:p>
      <w:pPr>
        <w:pStyle w:val="58"/>
        <w:ind w:firstLine="420"/>
      </w:pPr>
      <w:r>
        <w:rPr>
          <w:rFonts w:hint="eastAsia"/>
        </w:rPr>
        <w:t>本标准适用于木制家具产业新建、改建、扩建核心区的建设和管理。</w:t>
      </w:r>
    </w:p>
    <w:p>
      <w:pPr>
        <w:pStyle w:val="106"/>
        <w:spacing w:before="240" w:after="240"/>
      </w:pPr>
      <w:bookmarkStart w:id="61" w:name="_Toc113349532"/>
      <w:bookmarkStart w:id="62" w:name="_Toc112050533"/>
      <w:bookmarkStart w:id="63" w:name="_Toc26986531"/>
      <w:bookmarkStart w:id="64" w:name="_Toc107838408"/>
      <w:bookmarkStart w:id="65" w:name="_Toc109846125"/>
      <w:bookmarkStart w:id="66" w:name="_Toc26718931"/>
      <w:bookmarkStart w:id="67" w:name="_Toc111226101"/>
      <w:bookmarkStart w:id="68" w:name="_Toc111226134"/>
      <w:bookmarkStart w:id="69" w:name="_Toc112441247"/>
      <w:bookmarkStart w:id="70" w:name="_Toc109846096"/>
      <w:bookmarkStart w:id="71" w:name="_Toc113633543"/>
      <w:bookmarkStart w:id="72" w:name="_Toc109393233"/>
      <w:bookmarkStart w:id="73" w:name="_Toc26986772"/>
      <w:bookmarkStart w:id="74" w:name="_Toc107842978"/>
      <w:bookmarkStart w:id="75" w:name="_Toc107838985"/>
      <w:bookmarkStart w:id="76" w:name="_Toc113349293"/>
      <w:bookmarkStart w:id="77" w:name="_Toc112309332"/>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2A18B7F58BE84C6B84138B889FF908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pPr>
      <w:r>
        <w:rPr>
          <w:rFonts w:hint="eastAsia"/>
        </w:rPr>
        <w:t>GBZ 1</w:t>
      </w:r>
      <w:r>
        <w:rPr>
          <w:rFonts w:hint="eastAsia" w:ascii="宋体" w:hAnsi="宋体"/>
        </w:rPr>
        <w:t xml:space="preserve"> </w:t>
      </w:r>
      <w:r>
        <w:rPr>
          <w:rFonts w:hint="eastAsia"/>
        </w:rPr>
        <w:t>工业企业设计卫生标准</w:t>
      </w:r>
    </w:p>
    <w:p>
      <w:pPr>
        <w:pStyle w:val="232"/>
      </w:pPr>
      <w:r>
        <w:rPr>
          <w:rFonts w:hint="eastAsia"/>
        </w:rPr>
        <w:t>GBZ 2.1工作场所有害因素职业接触限值第1部分：化学有害因素</w:t>
      </w:r>
    </w:p>
    <w:p>
      <w:pPr>
        <w:pStyle w:val="232"/>
      </w:pPr>
      <w:r>
        <w:rPr>
          <w:rFonts w:hint="eastAsia"/>
        </w:rPr>
        <w:t xml:space="preserve">GB 14444 </w:t>
      </w:r>
      <w:r>
        <w:rPr>
          <w:rFonts w:hint="eastAsia" w:ascii="宋体" w:hAnsi="宋体"/>
        </w:rPr>
        <w:t>涂装作业安全规程 喷漆室安全技术规定</w:t>
      </w:r>
    </w:p>
    <w:p>
      <w:pPr>
        <w:pStyle w:val="232"/>
      </w:pPr>
      <w:r>
        <w:rPr>
          <w:rFonts w:hint="eastAsia"/>
        </w:rPr>
        <w:t xml:space="preserve">GB 15577 </w:t>
      </w:r>
      <w:r>
        <w:rPr>
          <w:rFonts w:hint="eastAsia" w:ascii="宋体" w:hAnsi="宋体"/>
        </w:rPr>
        <w:t>粉尘防爆安全规程</w:t>
      </w:r>
    </w:p>
    <w:p>
      <w:pPr>
        <w:pStyle w:val="232"/>
      </w:pPr>
      <w:r>
        <w:rPr>
          <w:rFonts w:hint="eastAsia"/>
        </w:rPr>
        <w:t>GB 15607 涂装作业安全规程 粉末静电喷涂工艺安全</w:t>
      </w:r>
    </w:p>
    <w:p>
      <w:pPr>
        <w:pStyle w:val="232"/>
      </w:pPr>
      <w:r>
        <w:rPr>
          <w:rFonts w:hint="eastAsia"/>
        </w:rPr>
        <w:t xml:space="preserve">GB 18581 </w:t>
      </w:r>
      <w:r>
        <w:rPr>
          <w:rFonts w:hint="eastAsia" w:ascii="宋体" w:hAnsi="宋体"/>
        </w:rPr>
        <w:t>木器涂料中有害物质限量</w:t>
      </w:r>
    </w:p>
    <w:p>
      <w:pPr>
        <w:pStyle w:val="232"/>
      </w:pPr>
      <w:r>
        <w:rPr>
          <w:rFonts w:hint="eastAsia"/>
        </w:rPr>
        <w:t>GB/T 23331</w:t>
      </w:r>
      <w:r>
        <w:rPr>
          <w:rFonts w:hint="eastAsia" w:ascii="宋体" w:hAnsi="宋体"/>
        </w:rPr>
        <w:t>能源管理体系 要求及使用指南</w:t>
      </w:r>
    </w:p>
    <w:p>
      <w:pPr>
        <w:pStyle w:val="232"/>
      </w:pPr>
      <w:r>
        <w:rPr>
          <w:rFonts w:hint="eastAsia"/>
        </w:rPr>
        <w:t>GB 30981</w:t>
      </w:r>
      <w:r>
        <w:rPr>
          <w:rFonts w:hint="eastAsia" w:ascii="宋体" w:hAnsi="宋体"/>
        </w:rPr>
        <w:t>工业防护涂料中有害物质限量</w:t>
      </w:r>
    </w:p>
    <w:p>
      <w:pPr>
        <w:pStyle w:val="232"/>
      </w:pPr>
      <w:r>
        <w:rPr>
          <w:rFonts w:hint="eastAsia"/>
        </w:rPr>
        <w:t>GB 33372胶粘剂挥发性有机化合物限量</w:t>
      </w:r>
    </w:p>
    <w:p>
      <w:pPr>
        <w:pStyle w:val="232"/>
      </w:pPr>
      <w:r>
        <w:rPr>
          <w:rFonts w:hint="eastAsia"/>
        </w:rPr>
        <w:t>GB 38508</w:t>
      </w:r>
      <w:r>
        <w:rPr>
          <w:rFonts w:hint="eastAsia" w:ascii="宋体" w:hAnsi="宋体"/>
        </w:rPr>
        <w:t xml:space="preserve"> 清洗剂挥发性有机化合物含量限值</w:t>
      </w:r>
    </w:p>
    <w:p>
      <w:pPr>
        <w:pStyle w:val="232"/>
      </w:pPr>
      <w:r>
        <w:rPr>
          <w:rFonts w:hint="eastAsia"/>
        </w:rPr>
        <w:t>GB 39800.1个体防护装备配备规范</w:t>
      </w:r>
    </w:p>
    <w:p>
      <w:pPr>
        <w:pStyle w:val="232"/>
      </w:pPr>
      <w:r>
        <w:rPr>
          <w:rFonts w:hint="eastAsia"/>
        </w:rPr>
        <w:t>GB 50016</w:t>
      </w:r>
      <w:r>
        <w:rPr>
          <w:rFonts w:hint="eastAsia" w:ascii="宋体" w:hAnsi="宋体"/>
        </w:rPr>
        <w:t>建筑设计防火规范</w:t>
      </w:r>
    </w:p>
    <w:p>
      <w:pPr>
        <w:pStyle w:val="232"/>
      </w:pPr>
      <w:r>
        <w:rPr>
          <w:rFonts w:hint="eastAsia"/>
        </w:rPr>
        <w:t>GB 50058爆炸危险环境电力装置设计规范</w:t>
      </w:r>
    </w:p>
    <w:p>
      <w:pPr>
        <w:pStyle w:val="232"/>
      </w:pPr>
      <w:r>
        <w:rPr>
          <w:rFonts w:hint="eastAsia"/>
        </w:rPr>
        <w:t>GB 50222建筑内部装修设计防火规范</w:t>
      </w:r>
    </w:p>
    <w:p>
      <w:pPr>
        <w:pStyle w:val="232"/>
      </w:pPr>
      <w:r>
        <w:rPr>
          <w:rFonts w:hint="eastAsia"/>
        </w:rPr>
        <w:t>GB 50325民用建筑工程室内环境污染控制标准</w:t>
      </w:r>
    </w:p>
    <w:p>
      <w:pPr>
        <w:pStyle w:val="232"/>
      </w:pPr>
      <w:r>
        <w:rPr>
          <w:rFonts w:hint="eastAsia"/>
        </w:rPr>
        <w:t>AQ 4228 木材加工系统粉尘防爆安全规范</w:t>
      </w:r>
    </w:p>
    <w:p>
      <w:pPr>
        <w:pStyle w:val="232"/>
      </w:pPr>
      <w:r>
        <w:rPr>
          <w:rFonts w:hint="eastAsia"/>
        </w:rPr>
        <w:t>AQ/T 4275 家具制造业手动喷漆房通风设施技术规程</w:t>
      </w:r>
    </w:p>
    <w:p>
      <w:pPr>
        <w:pStyle w:val="232"/>
      </w:pPr>
      <w:r>
        <w:rPr>
          <w:rFonts w:hint="eastAsia"/>
        </w:rPr>
        <w:t>HJ 819 排污单位自行监测技术指南 总则</w:t>
      </w:r>
    </w:p>
    <w:p>
      <w:pPr>
        <w:pStyle w:val="232"/>
      </w:pPr>
      <w:r>
        <w:rPr>
          <w:rFonts w:hint="eastAsia"/>
        </w:rPr>
        <w:t>HJ 1086排污单位自行监测技术指南 涂装</w:t>
      </w:r>
    </w:p>
    <w:p>
      <w:pPr>
        <w:pStyle w:val="232"/>
      </w:pPr>
      <w:r>
        <w:rPr>
          <w:rFonts w:hint="eastAsia"/>
        </w:rPr>
        <w:t>HJ 1093蓄热燃烧法工业有机废气治理工程技术规范</w:t>
      </w:r>
    </w:p>
    <w:p>
      <w:pPr>
        <w:pStyle w:val="232"/>
      </w:pPr>
      <w:r>
        <w:rPr>
          <w:rFonts w:hint="eastAsia"/>
        </w:rPr>
        <w:t>HJ 2026吸附法工业有机废气治理工程技术规范</w:t>
      </w:r>
    </w:p>
    <w:p>
      <w:pPr>
        <w:pStyle w:val="232"/>
      </w:pPr>
      <w:r>
        <w:rPr>
          <w:rFonts w:hint="eastAsia"/>
        </w:rPr>
        <w:t>HJ 2027催化燃烧法工业有机废气治理工程技术规范</w:t>
      </w:r>
    </w:p>
    <w:p>
      <w:pPr>
        <w:pStyle w:val="232"/>
      </w:pPr>
      <w:r>
        <w:rPr>
          <w:rFonts w:hint="eastAsia"/>
        </w:rPr>
        <w:t>DBJ/T 15-235广东省高标准厂房设计规范</w:t>
      </w:r>
    </w:p>
    <w:p>
      <w:pPr>
        <w:pStyle w:val="106"/>
        <w:spacing w:before="240" w:after="240"/>
      </w:pPr>
      <w:bookmarkStart w:id="78" w:name="_Toc111226102"/>
      <w:bookmarkStart w:id="79" w:name="_Toc109846126"/>
      <w:bookmarkStart w:id="80" w:name="_Toc107838986"/>
      <w:bookmarkStart w:id="81" w:name="_Toc107838409"/>
      <w:bookmarkStart w:id="82" w:name="_Toc109846097"/>
      <w:bookmarkStart w:id="83" w:name="_Toc111226135"/>
      <w:bookmarkStart w:id="84" w:name="_Toc112050534"/>
      <w:bookmarkStart w:id="85" w:name="_Toc112441248"/>
      <w:bookmarkStart w:id="86" w:name="_Toc112309333"/>
      <w:bookmarkStart w:id="87" w:name="_Toc113349533"/>
      <w:bookmarkStart w:id="88" w:name="_Toc109393234"/>
      <w:bookmarkStart w:id="89" w:name="_Toc113349294"/>
      <w:bookmarkStart w:id="90" w:name="_Toc113633544"/>
      <w:bookmarkStart w:id="91" w:name="_Toc107842979"/>
      <w:r>
        <w:rPr>
          <w:rFonts w:hint="eastAsia"/>
          <w:szCs w:val="21"/>
        </w:rPr>
        <w:t>术语和定义</w:t>
      </w:r>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id w:val="-1909835108"/>
        <w:placeholder>
          <w:docPart w:val="7CFD51B7C1194C4599ECD01C2957A6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92" w:name="_Toc26986532"/>
          <w:bookmarkEnd w:id="92"/>
          <w:r>
            <w:t>下列术语和定义适用于本文件。</w:t>
          </w:r>
        </w:p>
      </w:sdtContent>
    </w:sdt>
    <w:p>
      <w:pPr>
        <w:pStyle w:val="225"/>
        <w:ind w:left="420" w:hanging="420" w:hangingChars="200"/>
        <w:rPr>
          <w:rFonts w:ascii="黑体" w:hAnsi="黑体" w:eastAsia="黑体"/>
        </w:rPr>
      </w:pPr>
      <w:r>
        <w:rPr>
          <w:rFonts w:hint="eastAsia" w:ascii="黑体" w:hAnsi="黑体" w:eastAsia="黑体"/>
        </w:rPr>
        <w:t>木制家具喷涂 Wooden furniture spary painted</w:t>
      </w:r>
    </w:p>
    <w:p>
      <w:pPr>
        <w:pStyle w:val="58"/>
        <w:ind w:firstLine="420"/>
      </w:pPr>
      <w:r>
        <w:rPr>
          <w:rFonts w:hint="eastAsia"/>
        </w:rPr>
        <w:t>在木制家具制造过程中，将涂料涂覆于基材表面形成具有防护、装饰或特定功能涂层的工艺方法。</w:t>
      </w:r>
    </w:p>
    <w:p>
      <w:pPr>
        <w:pStyle w:val="225"/>
        <w:ind w:left="420" w:hanging="420" w:hangingChars="200"/>
        <w:rPr>
          <w:rFonts w:ascii="黑体" w:hAnsi="黑体" w:eastAsia="黑体"/>
        </w:rPr>
      </w:pPr>
      <w:r>
        <w:rPr>
          <w:rFonts w:ascii="黑体" w:hAnsi="黑体" w:eastAsia="黑体"/>
        </w:rPr>
        <w:t>木制家具喷涂类环保共性产业园核心区</w:t>
      </w:r>
      <w:r>
        <w:rPr>
          <w:rFonts w:hint="eastAsia" w:ascii="黑体" w:hAnsi="黑体" w:eastAsia="黑体"/>
        </w:rPr>
        <w:t xml:space="preserve"> Environmental protection common industrial park core area of wooden furniture painted</w:t>
      </w:r>
    </w:p>
    <w:p>
      <w:pPr>
        <w:pStyle w:val="58"/>
        <w:ind w:firstLine="420"/>
      </w:pPr>
      <w:r>
        <w:rPr>
          <w:rFonts w:hint="eastAsia"/>
        </w:rPr>
        <w:t>由单个或多个木制家具喷涂项目组成的、能为产业链上下游提供共享产污工段与环境污染治理设施配套服务的产业集聚区域。</w:t>
      </w:r>
    </w:p>
    <w:p>
      <w:pPr>
        <w:pStyle w:val="225"/>
        <w:ind w:left="420" w:hanging="420" w:hangingChars="200"/>
      </w:pPr>
      <w:r>
        <w:rPr>
          <w:rFonts w:ascii="黑体" w:hAnsi="黑体" w:eastAsia="黑体"/>
        </w:rPr>
        <w:t>厂房</w:t>
      </w:r>
      <w:r>
        <w:rPr>
          <w:rFonts w:hint="eastAsia" w:ascii="黑体" w:hAnsi="黑体" w:eastAsia="黑体"/>
        </w:rPr>
        <w:t xml:space="preserve"> Warehouse</w:t>
      </w:r>
      <w:r>
        <w:rPr>
          <w:rFonts w:ascii="黑体" w:hAnsi="黑体" w:eastAsia="黑体"/>
        </w:rPr>
        <w:br w:type="textWrapping"/>
      </w:r>
      <w:r>
        <w:rPr>
          <w:rFonts w:hint="eastAsia"/>
        </w:rPr>
        <w:t>直接用于生产或为生产配套的各种建筑物。</w:t>
      </w:r>
    </w:p>
    <w:p>
      <w:pPr>
        <w:pStyle w:val="58"/>
        <w:ind w:firstLine="420"/>
      </w:pPr>
      <w:r>
        <w:rPr>
          <w:rFonts w:hint="eastAsia"/>
        </w:rPr>
        <w:t>[来源：DBJ/T 15-235-2021，2.0.2]</w:t>
      </w:r>
    </w:p>
    <w:p>
      <w:pPr>
        <w:pStyle w:val="225"/>
        <w:ind w:left="420" w:hanging="420" w:hangingChars="200"/>
      </w:pPr>
      <w:r>
        <w:rPr>
          <w:rFonts w:ascii="黑体" w:hAnsi="黑体" w:eastAsia="黑体"/>
        </w:rPr>
        <w:t>车间</w:t>
      </w:r>
      <w:r>
        <w:rPr>
          <w:rFonts w:hint="eastAsia" w:ascii="黑体" w:hAnsi="黑体" w:eastAsia="黑体"/>
        </w:rPr>
        <w:t xml:space="preserve"> Workplace</w:t>
      </w:r>
      <w:r>
        <w:rPr>
          <w:rFonts w:ascii="黑体" w:hAnsi="黑体" w:eastAsia="黑体"/>
        </w:rPr>
        <w:br w:type="textWrapping"/>
      </w:r>
      <w:r>
        <w:rPr>
          <w:rFonts w:hint="eastAsia"/>
        </w:rPr>
        <w:t>又称基本生产单元，由固定围护结构分隔形成的用于工业生产等的独立作业空间。</w:t>
      </w:r>
    </w:p>
    <w:p>
      <w:pPr>
        <w:pStyle w:val="58"/>
        <w:ind w:firstLine="420"/>
      </w:pPr>
      <w:r>
        <w:rPr>
          <w:rFonts w:hint="eastAsia"/>
        </w:rPr>
        <w:t>[来源：DBJ/T 15-235-2021，2.0.5]</w:t>
      </w:r>
    </w:p>
    <w:p>
      <w:pPr>
        <w:pStyle w:val="225"/>
        <w:ind w:left="420" w:hanging="420" w:hangingChars="200"/>
      </w:pPr>
      <w:r>
        <w:rPr>
          <w:rFonts w:ascii="黑体" w:hAnsi="黑体" w:eastAsia="黑体"/>
        </w:rPr>
        <w:t>密闭</w:t>
      </w:r>
      <w:r>
        <w:rPr>
          <w:rFonts w:hint="eastAsia" w:ascii="黑体" w:hAnsi="黑体" w:eastAsia="黑体"/>
        </w:rPr>
        <w:t xml:space="preserve"> Closed</w:t>
      </w:r>
      <w:r>
        <w:rPr>
          <w:rFonts w:ascii="黑体" w:hAnsi="黑体" w:eastAsia="黑体"/>
        </w:rPr>
        <w:br w:type="textWrapping"/>
      </w:r>
      <w:r>
        <w:rPr>
          <w:rFonts w:hint="eastAsia"/>
        </w:rPr>
        <w:t>污染物质不与环境空气接触，或通过密封材料、密封设备与环境空气隔离的状态或作业方式。</w:t>
      </w:r>
    </w:p>
    <w:p>
      <w:pPr>
        <w:pStyle w:val="58"/>
        <w:ind w:firstLine="420"/>
      </w:pPr>
      <w:r>
        <w:t>[来源：</w:t>
      </w:r>
      <w:r>
        <w:rPr>
          <w:rFonts w:hint="eastAsia"/>
        </w:rPr>
        <w:t>DB44/2367,3.6</w:t>
      </w:r>
      <w:r>
        <w:t>]</w:t>
      </w:r>
    </w:p>
    <w:p>
      <w:pPr>
        <w:pStyle w:val="106"/>
        <w:spacing w:before="240" w:after="240"/>
      </w:pPr>
      <w:bookmarkStart w:id="93" w:name="_Toc112309334"/>
      <w:bookmarkStart w:id="94" w:name="_Toc111226136"/>
      <w:bookmarkStart w:id="95" w:name="_Toc109846098"/>
      <w:bookmarkStart w:id="96" w:name="_Toc112050535"/>
      <w:bookmarkStart w:id="97" w:name="_Toc109393235"/>
      <w:bookmarkStart w:id="98" w:name="_Toc107842980"/>
      <w:bookmarkStart w:id="99" w:name="_Toc109846127"/>
      <w:bookmarkStart w:id="100" w:name="_Toc111226103"/>
      <w:bookmarkStart w:id="101" w:name="_Toc107838987"/>
      <w:bookmarkStart w:id="102" w:name="_Toc113349534"/>
      <w:bookmarkStart w:id="103" w:name="_Toc112441249"/>
      <w:bookmarkStart w:id="104" w:name="_Toc113633545"/>
      <w:bookmarkStart w:id="105" w:name="_Toc107838410"/>
      <w:bookmarkStart w:id="106" w:name="_Toc113349295"/>
      <w:r>
        <w:t>基本要求</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164"/>
        <w:ind w:left="0"/>
      </w:pPr>
      <w:r>
        <w:rPr>
          <w:rFonts w:hint="eastAsia"/>
        </w:rPr>
        <w:t>核心区应贯彻绿色低碳的设计建造思路，符合能源梯级利用要求，体现清洁生产与绿色工厂理念，并在规划阶段预留分布式光伏系统的载荷能力和电网结构，鼓励使用清洁能源进行生产作业。</w:t>
      </w:r>
    </w:p>
    <w:p>
      <w:pPr>
        <w:pStyle w:val="164"/>
        <w:ind w:left="0"/>
      </w:pPr>
      <w:r>
        <w:rPr>
          <w:rFonts w:hint="eastAsia"/>
        </w:rPr>
        <w:t>核心区内共享污染防治设施应与所属厂房同时设计、同时施工、同时投产使用，不应擅自拆除或闲置。</w:t>
      </w:r>
    </w:p>
    <w:p>
      <w:pPr>
        <w:pStyle w:val="164"/>
        <w:ind w:left="0"/>
      </w:pPr>
      <w:r>
        <w:rPr>
          <w:rFonts w:hint="eastAsia"/>
        </w:rPr>
        <w:t>核心区规划建设宜符合布局精益化、生产自动化、车间透明化、物流智能化、管理数字化和生产效率优化的要求。</w:t>
      </w:r>
    </w:p>
    <w:p>
      <w:pPr>
        <w:pStyle w:val="106"/>
        <w:spacing w:before="240" w:after="240"/>
      </w:pPr>
      <w:bookmarkStart w:id="107" w:name="_Toc109846128"/>
      <w:bookmarkStart w:id="108" w:name="_Toc107842981"/>
      <w:bookmarkStart w:id="109" w:name="_Toc112309335"/>
      <w:bookmarkStart w:id="110" w:name="_Toc107838411"/>
      <w:bookmarkStart w:id="111" w:name="_Toc111226137"/>
      <w:bookmarkStart w:id="112" w:name="_Toc112050536"/>
      <w:bookmarkStart w:id="113" w:name="_Toc112441250"/>
      <w:bookmarkStart w:id="114" w:name="_Toc109393236"/>
      <w:bookmarkStart w:id="115" w:name="_Toc111226104"/>
      <w:bookmarkStart w:id="116" w:name="_Toc109846099"/>
      <w:bookmarkStart w:id="117" w:name="_Toc107838988"/>
      <w:bookmarkStart w:id="118" w:name="_Toc113349296"/>
      <w:bookmarkStart w:id="119" w:name="_Toc113633546"/>
      <w:bookmarkStart w:id="120" w:name="_Toc113349535"/>
      <w:r>
        <w:t>场地建设要求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164"/>
        <w:ind w:left="0"/>
      </w:pPr>
      <w:r>
        <w:rPr>
          <w:rFonts w:hint="eastAsia"/>
        </w:rPr>
        <w:t>场地建设应体现共享、平衡、集成的理念，坚持“先地下后地上”原则，统筹厂房建设、电力、给排水、通讯、供气、暖通空调、道路、消防、污染物输送、固体废物贮存场所、危险化学品仓库等基础设施和公共配套设施，并与城市基础设施相衔接。</w:t>
      </w:r>
    </w:p>
    <w:p>
      <w:pPr>
        <w:pStyle w:val="107"/>
        <w:spacing w:before="120" w:after="120"/>
        <w:ind w:left="0"/>
      </w:pPr>
      <w:bookmarkStart w:id="121" w:name="_Toc109393237"/>
      <w:bookmarkStart w:id="122" w:name="_Toc107842982"/>
      <w:bookmarkStart w:id="123" w:name="_Toc107838412"/>
      <w:bookmarkStart w:id="124" w:name="_Toc109846100"/>
      <w:bookmarkStart w:id="125" w:name="_Toc107838989"/>
      <w:r>
        <w:rPr>
          <w:rFonts w:hint="eastAsia"/>
        </w:rPr>
        <w:t>厂房建设要求</w:t>
      </w:r>
      <w:bookmarkEnd w:id="121"/>
      <w:bookmarkEnd w:id="122"/>
      <w:bookmarkEnd w:id="123"/>
      <w:bookmarkEnd w:id="124"/>
      <w:bookmarkEnd w:id="125"/>
    </w:p>
    <w:p>
      <w:pPr>
        <w:pStyle w:val="167"/>
        <w:ind w:left="0"/>
      </w:pPr>
      <w:r>
        <w:rPr>
          <w:rFonts w:hint="eastAsia"/>
        </w:rPr>
        <w:t>厂房建筑层数不应低于4层，建筑首层层高不应小于6m。整栋厂房建筑高度应符合当地规划限高。</w:t>
      </w:r>
    </w:p>
    <w:p>
      <w:pPr>
        <w:pStyle w:val="167"/>
        <w:ind w:left="0"/>
      </w:pPr>
      <w:r>
        <w:rPr>
          <w:rFonts w:hint="eastAsia"/>
        </w:rPr>
        <w:t>每层生产厂房建筑面积不应小于2000㎡。按层分割的厂房，每个基本生产车间建筑面积不应小于500㎡。</w:t>
      </w:r>
    </w:p>
    <w:p>
      <w:pPr>
        <w:pStyle w:val="167"/>
        <w:ind w:left="0"/>
      </w:pPr>
      <w:r>
        <w:rPr>
          <w:rFonts w:hint="eastAsia"/>
        </w:rPr>
        <w:t>新建厂房宜做一体化设计，电梯、楼梯、卫生间、设备房、检查井、污染预处理设施等交通和辅助用室应靠外墙集中分布。厂房的平面及立面应预留统一窗户、空调、管线等位置。</w:t>
      </w:r>
    </w:p>
    <w:p>
      <w:pPr>
        <w:pStyle w:val="167"/>
        <w:ind w:left="0"/>
      </w:pPr>
      <w:r>
        <w:rPr>
          <w:rFonts w:hint="eastAsia"/>
        </w:rPr>
        <w:t>每幢厂房宜于首层设置统一物流周转与装卸货平台，若将装卸货平台布置在半地下或地下一层，其结构柱网和层高应满足大型货车通行需求。每层生产厂房应设不少于1个设备吊装口，吊装口宽度不宜小于4m，高度不宜小于3.5m，吊装口应设置防雨、防坠落等措施。</w:t>
      </w:r>
    </w:p>
    <w:p>
      <w:pPr>
        <w:pStyle w:val="167"/>
        <w:ind w:left="0"/>
      </w:pPr>
      <w:r>
        <w:rPr>
          <w:rFonts w:hint="eastAsia"/>
        </w:rPr>
        <w:t>厂房建设应符合GB 50016要求，火灾危险性分类为乙、丙类的厂房宜按照高标准厂房要求设计和建设，符合DBJ/T 15-235条件。</w:t>
      </w:r>
    </w:p>
    <w:p>
      <w:pPr>
        <w:pStyle w:val="167"/>
        <w:ind w:left="0"/>
      </w:pPr>
      <w:r>
        <w:rPr>
          <w:rFonts w:hint="eastAsia"/>
        </w:rPr>
        <w:t>厂房室内建筑材料和装修材料燃烧性能等级应符合GB 50222要求，其所产生的污染物浓度限量应按照GB 50325执行。</w:t>
      </w:r>
    </w:p>
    <w:p>
      <w:pPr>
        <w:pStyle w:val="107"/>
        <w:spacing w:before="120" w:after="120"/>
        <w:ind w:left="0"/>
      </w:pPr>
      <w:bookmarkStart w:id="126" w:name="_Toc107838413"/>
      <w:bookmarkStart w:id="127" w:name="_Toc109393238"/>
      <w:bookmarkStart w:id="128" w:name="_Toc109846101"/>
      <w:bookmarkStart w:id="129" w:name="_Toc107838990"/>
      <w:bookmarkStart w:id="130" w:name="_Toc107842983"/>
      <w:r>
        <w:rPr>
          <w:rFonts w:hint="eastAsia"/>
        </w:rPr>
        <w:t>车间建设要求</w:t>
      </w:r>
      <w:bookmarkEnd w:id="126"/>
      <w:bookmarkEnd w:id="127"/>
      <w:bookmarkEnd w:id="128"/>
      <w:bookmarkEnd w:id="129"/>
      <w:bookmarkEnd w:id="130"/>
    </w:p>
    <w:p>
      <w:pPr>
        <w:pStyle w:val="67"/>
        <w:spacing w:before="120" w:after="120"/>
        <w:ind w:left="0"/>
      </w:pPr>
      <w:r>
        <w:rPr>
          <w:rFonts w:hint="eastAsia"/>
        </w:rPr>
        <w:t>基本原则</w:t>
      </w:r>
    </w:p>
    <w:p>
      <w:pPr>
        <w:pStyle w:val="58"/>
        <w:ind w:firstLine="420"/>
      </w:pPr>
      <w:r>
        <w:rPr>
          <w:rFonts w:hint="eastAsia"/>
        </w:rPr>
        <w:t>按照生产性能和使用功能，各车间应合理布局生产场地、化学品贮存场所、污染预处理设施、固体废弃物临时贮存点、物流周转区、生产辅助用室等单元，符合功能分区明确、人货分流高效、环境质量提升的原则。功能分区内各项设施的布置应紧凑、合理。</w:t>
      </w:r>
    </w:p>
    <w:p>
      <w:pPr>
        <w:pStyle w:val="67"/>
        <w:spacing w:before="120" w:after="120"/>
        <w:ind w:left="0"/>
      </w:pPr>
      <w:bookmarkStart w:id="131" w:name="_Toc107842984"/>
      <w:bookmarkStart w:id="132" w:name="_Toc107838991"/>
      <w:bookmarkStart w:id="133" w:name="_Toc109393239"/>
      <w:bookmarkStart w:id="134" w:name="_Toc107838414"/>
      <w:r>
        <w:rPr>
          <w:rFonts w:hint="eastAsia"/>
        </w:rPr>
        <w:t>生产单元建设要求</w:t>
      </w:r>
      <w:bookmarkEnd w:id="131"/>
      <w:bookmarkEnd w:id="132"/>
      <w:bookmarkEnd w:id="133"/>
      <w:bookmarkEnd w:id="134"/>
    </w:p>
    <w:p>
      <w:pPr>
        <w:pStyle w:val="166"/>
        <w:ind w:left="0"/>
      </w:pPr>
      <w:r>
        <w:rPr>
          <w:rFonts w:hint="eastAsia"/>
        </w:rPr>
        <w:t>各生产工艺单元应位于室内，环保、安全设施设备齐全，并应满足以下要求：</w:t>
      </w:r>
    </w:p>
    <w:p>
      <w:pPr>
        <w:pStyle w:val="176"/>
        <w:ind w:left="850" w:hanging="425"/>
      </w:pPr>
      <w:r>
        <w:rPr>
          <w:rFonts w:hint="eastAsia"/>
        </w:rPr>
        <w:t>具有防止水、油类等液体渗透的硬化地面，铺设匹配区域用途及地面承载力的地坪涂层。</w:t>
      </w:r>
    </w:p>
    <w:p>
      <w:pPr>
        <w:pStyle w:val="176"/>
        <w:ind w:left="850" w:hanging="425"/>
      </w:pPr>
      <w:r>
        <w:rPr>
          <w:rFonts w:hint="eastAsia"/>
        </w:rPr>
        <w:t>根据产污设备、仓储周转、人员办公等关键要素，设置生产区、物流区、办公区等分区，各分区间应有明显界限，喷漆、涂装、流平、干燥区域的室体、灯具、电气设施、配套部件等设施设备应符合GB 14444、GB 15607的要求。</w:t>
      </w:r>
    </w:p>
    <w:p>
      <w:pPr>
        <w:pStyle w:val="176"/>
        <w:ind w:left="850" w:hanging="425"/>
      </w:pPr>
      <w:r>
        <w:rPr>
          <w:rFonts w:hint="eastAsia"/>
        </w:rPr>
        <w:t>生产车间密闭管理，产污设备分区宜架设环保空调。生产区域和非生产区域出入口应设置双层（重）门，双层（重）门不应同时开启，鼓励设采用自动卷帘门。双层（重）门间应设置封闭缓冲区，缓冲区实行负压收集。</w:t>
      </w:r>
    </w:p>
    <w:p>
      <w:pPr>
        <w:pStyle w:val="166"/>
        <w:ind w:left="0"/>
      </w:pPr>
      <w:r>
        <w:rPr>
          <w:rFonts w:hint="eastAsia"/>
        </w:rPr>
        <w:t>手动喷漆室应采用上送下排或上送侧排的单向气流组织形式，并符合AQ/T 4275的要求。手动喷漆室排出的空气不宜进入喷漆室再循环利用，自动喷漆室和流平室允许部分排出的空气循环使用，但应符合GB 14444的要求。</w:t>
      </w:r>
    </w:p>
    <w:p>
      <w:pPr>
        <w:pStyle w:val="166"/>
        <w:ind w:left="0"/>
      </w:pPr>
      <w:r>
        <w:rPr>
          <w:rFonts w:hint="eastAsia"/>
        </w:rPr>
        <w:t>喷漆室的操作位置所占空间应保证作业人员有充分的活动余地，并应考虑作业人员的操作空间。</w:t>
      </w:r>
    </w:p>
    <w:p>
      <w:pPr>
        <w:pStyle w:val="166"/>
        <w:ind w:left="0"/>
      </w:pPr>
      <w:r>
        <w:rPr>
          <w:rFonts w:hint="eastAsia"/>
        </w:rPr>
        <w:t>产生粉尘的生产、加工、处理、转运或除尘等过程，应参照GB 50058、AQ 4228等要求进行爆炸性粉尘环境区和电力装置设计。存在粉尘爆炸危险的工艺设备，应参照GB 15577的要求采取泄爆、抑爆和隔爆、抗爆设计。</w:t>
      </w:r>
    </w:p>
    <w:p>
      <w:pPr>
        <w:pStyle w:val="67"/>
        <w:spacing w:before="120" w:after="120"/>
        <w:ind w:left="0"/>
      </w:pPr>
      <w:bookmarkStart w:id="135" w:name="_Toc107838415"/>
      <w:bookmarkStart w:id="136" w:name="_Toc109393240"/>
      <w:bookmarkStart w:id="137" w:name="_Toc107838992"/>
      <w:bookmarkStart w:id="138" w:name="_Toc107842985"/>
      <w:r>
        <w:rPr>
          <w:rFonts w:hint="eastAsia"/>
        </w:rPr>
        <w:t>治污单元建设要求</w:t>
      </w:r>
      <w:bookmarkEnd w:id="135"/>
      <w:bookmarkEnd w:id="136"/>
      <w:bookmarkEnd w:id="137"/>
      <w:bookmarkEnd w:id="138"/>
    </w:p>
    <w:p>
      <w:pPr>
        <w:pStyle w:val="166"/>
        <w:ind w:left="0"/>
      </w:pPr>
      <w:r>
        <w:rPr>
          <w:rFonts w:hint="eastAsia"/>
        </w:rPr>
        <w:t>大气污染物预处理设施应满足以下要求：</w:t>
      </w:r>
    </w:p>
    <w:p>
      <w:pPr>
        <w:pStyle w:val="176"/>
        <w:numPr>
          <w:ilvl w:val="0"/>
          <w:numId w:val="32"/>
        </w:numPr>
      </w:pPr>
      <w:r>
        <w:rPr>
          <w:rFonts w:hint="eastAsia"/>
        </w:rPr>
        <w:t>根据生产工艺与产污特性选择相适应的预处理工艺。</w:t>
      </w:r>
    </w:p>
    <w:p>
      <w:pPr>
        <w:pStyle w:val="176"/>
        <w:numPr>
          <w:ilvl w:val="0"/>
          <w:numId w:val="32"/>
        </w:numPr>
      </w:pPr>
      <w:r>
        <w:rPr>
          <w:rFonts w:hint="eastAsia"/>
        </w:rPr>
        <w:t>当喷涂废气中颗粒物含量超过1mg/m³时，应设置高效漆雾处理装置，宜采用文丘里、水旋或水幕湿法漆雾捕集+多级干式过滤除湿联合装置，并对过滤装置两端进行压差计量。</w:t>
      </w:r>
    </w:p>
    <w:p>
      <w:pPr>
        <w:pStyle w:val="176"/>
        <w:numPr>
          <w:ilvl w:val="0"/>
          <w:numId w:val="32"/>
        </w:numPr>
      </w:pPr>
      <w:r>
        <w:rPr>
          <w:rFonts w:hint="eastAsia"/>
        </w:rPr>
        <w:t>洗涤塔、喷淋塔等预处理设施应采取密闭设计，并建设清晰用排水管路并明确标识走向，针对污染源种类特性使用相应管线及阀门材料，确保预处理过程所产生的水污染物有效收集。</w:t>
      </w:r>
    </w:p>
    <w:p>
      <w:pPr>
        <w:pStyle w:val="166"/>
        <w:ind w:left="0"/>
      </w:pPr>
      <w:r>
        <w:rPr>
          <w:rFonts w:hint="eastAsia"/>
        </w:rPr>
        <w:t>水污染物车间收集池应满足以下要求：</w:t>
      </w:r>
    </w:p>
    <w:p>
      <w:pPr>
        <w:pStyle w:val="176"/>
        <w:numPr>
          <w:ilvl w:val="0"/>
          <w:numId w:val="33"/>
        </w:numPr>
      </w:pPr>
      <w:r>
        <w:rPr>
          <w:rFonts w:hint="eastAsia"/>
        </w:rPr>
        <w:t>根据生产工艺与产污特性建设相应的车间污水收集池，按照分类分质、独立隔断、液位计量的原则设计建设，确保车间内所有类型的生产废水明管到池。</w:t>
      </w:r>
    </w:p>
    <w:p>
      <w:pPr>
        <w:pStyle w:val="176"/>
        <w:numPr>
          <w:ilvl w:val="0"/>
          <w:numId w:val="33"/>
        </w:numPr>
      </w:pPr>
      <w:r>
        <w:rPr>
          <w:rFonts w:hint="eastAsia"/>
        </w:rPr>
        <w:t>污水收集池应尽量密封或加盖处理，池体采用性能良好的防腐防渗防漏材料。</w:t>
      </w:r>
    </w:p>
    <w:p>
      <w:pPr>
        <w:pStyle w:val="176"/>
        <w:numPr>
          <w:ilvl w:val="0"/>
          <w:numId w:val="33"/>
        </w:numPr>
      </w:pPr>
      <w:r>
        <w:rPr>
          <w:rFonts w:hint="eastAsia"/>
        </w:rPr>
        <w:t>经过预处理的废水可循环利用，提高废水循环利用率。</w:t>
      </w:r>
    </w:p>
    <w:p>
      <w:pPr>
        <w:pStyle w:val="166"/>
        <w:ind w:left="0"/>
      </w:pPr>
      <w:r>
        <w:rPr>
          <w:rFonts w:hint="eastAsia"/>
        </w:rPr>
        <w:t>固体废弃物贮存点应满足以下要求：</w:t>
      </w:r>
    </w:p>
    <w:p>
      <w:pPr>
        <w:pStyle w:val="176"/>
        <w:numPr>
          <w:ilvl w:val="0"/>
          <w:numId w:val="34"/>
        </w:numPr>
      </w:pPr>
      <w:r>
        <w:rPr>
          <w:rFonts w:hint="eastAsia"/>
        </w:rPr>
        <w:t>根据生产工艺与产污特性配套一般工业固体废物临时贮存点和危险废物贮存点。</w:t>
      </w:r>
    </w:p>
    <w:p>
      <w:pPr>
        <w:pStyle w:val="176"/>
      </w:pPr>
      <w:r>
        <w:rPr>
          <w:rFonts w:hint="eastAsia"/>
        </w:rPr>
        <w:t>应根据废污特性对贮存设施进行分区，不同分区应有明显的间隔，禁止将不相容（相互反应）的危险废物混合贮存。</w:t>
      </w:r>
    </w:p>
    <w:p>
      <w:pPr>
        <w:pStyle w:val="176"/>
      </w:pPr>
      <w:r>
        <w:rPr>
          <w:rFonts w:hint="eastAsia"/>
        </w:rPr>
        <w:t>贮存设施设计容量不小于1天产生的废物所占空间，并预留充足装卸周转空间，方便转运至核心区集中贮存场所。</w:t>
      </w:r>
    </w:p>
    <w:p>
      <w:pPr>
        <w:pStyle w:val="176"/>
      </w:pPr>
      <w:r>
        <w:rPr>
          <w:rFonts w:hint="eastAsia"/>
        </w:rPr>
        <w:t>贮存易挥发的危险废物，贮存设施应设置废气收集净化装置。</w:t>
      </w:r>
    </w:p>
    <w:p>
      <w:pPr>
        <w:pStyle w:val="176"/>
      </w:pPr>
      <w:r>
        <w:rPr>
          <w:rFonts w:hint="eastAsia"/>
        </w:rPr>
        <w:t>危险废物贮存设施地面应明显高于室外，地面与裙脚采用坚固、防渗的材料建造。存放装载液体、半固体危险废物容器的地方，应有耐腐蚀的硬化地面，无裂缝，配套导流沟及收集槽。</w:t>
      </w:r>
    </w:p>
    <w:p>
      <w:pPr>
        <w:pStyle w:val="67"/>
        <w:spacing w:before="120" w:after="120"/>
        <w:ind w:left="0"/>
      </w:pPr>
      <w:bookmarkStart w:id="139" w:name="_Toc107838993"/>
      <w:bookmarkStart w:id="140" w:name="_Toc107842986"/>
      <w:bookmarkStart w:id="141" w:name="_Toc109393241"/>
      <w:bookmarkStart w:id="142" w:name="_Toc107838416"/>
      <w:r>
        <w:rPr>
          <w:rFonts w:hint="eastAsia"/>
        </w:rPr>
        <w:t>物流及辅助单元建设要求</w:t>
      </w:r>
      <w:bookmarkEnd w:id="139"/>
      <w:bookmarkEnd w:id="140"/>
      <w:bookmarkEnd w:id="141"/>
      <w:bookmarkEnd w:id="142"/>
    </w:p>
    <w:p>
      <w:pPr>
        <w:pStyle w:val="166"/>
        <w:ind w:left="0"/>
      </w:pPr>
      <w:r>
        <w:rPr>
          <w:rFonts w:hint="eastAsia"/>
        </w:rPr>
        <w:t>车间的门应向逃生疏散通道方向开，其内部通道宽度应不小于1.2m，并应满足物流运输、设备搬运、人员疏散及木制家具生产工艺的要求。</w:t>
      </w:r>
    </w:p>
    <w:p>
      <w:pPr>
        <w:pStyle w:val="166"/>
        <w:ind w:left="0"/>
      </w:pPr>
      <w:r>
        <w:rPr>
          <w:rFonts w:hint="eastAsia"/>
        </w:rPr>
        <w:t>单栋建筑面积大于5000㎡时，每个标准层应设置至少2台3t的载重电梯；当单栋建筑面积大于30000㎡时，超过部分需按每9000㎡设置至少1台5t以上载重货梯。</w:t>
      </w:r>
    </w:p>
    <w:p>
      <w:pPr>
        <w:pStyle w:val="166"/>
        <w:ind w:left="0"/>
      </w:pPr>
      <w:r>
        <w:rPr>
          <w:rFonts w:hint="eastAsia"/>
        </w:rPr>
        <w:t>车间应分别设置载人电梯及载货电梯，载货电梯门洞净宽度应满足行业要求，不宜小于1.5m，净高度不宜小于2.1m。</w:t>
      </w:r>
    </w:p>
    <w:p>
      <w:pPr>
        <w:pStyle w:val="166"/>
        <w:ind w:left="0"/>
      </w:pPr>
      <w:r>
        <w:rPr>
          <w:rFonts w:hint="eastAsia"/>
        </w:rPr>
        <w:t>车间内宜靠近载货电梯设置独立货物运输送周转路线，若所在厂房首层设有统一物流周转与装卸货平台，车间内可仅留叉车作业空间。若厂房具备货车上楼卸货的条件，车间内应预留至少1台5t货车作业空间。</w:t>
      </w:r>
    </w:p>
    <w:p>
      <w:pPr>
        <w:pStyle w:val="166"/>
        <w:ind w:left="0"/>
      </w:pPr>
      <w:r>
        <w:rPr>
          <w:rFonts w:hint="eastAsia"/>
        </w:rPr>
        <w:t>生产辅助用室应避开有害物质、高温等有害因素的影响，建筑物内部构造应易于清扫，卫生设备应便于使用，并符合相关卫生标准要求。</w:t>
      </w:r>
    </w:p>
    <w:p>
      <w:pPr>
        <w:pStyle w:val="106"/>
        <w:spacing w:before="240" w:after="240"/>
      </w:pPr>
      <w:bookmarkStart w:id="143" w:name="_Toc112050537"/>
      <w:bookmarkStart w:id="144" w:name="_Toc107842987"/>
      <w:bookmarkStart w:id="145" w:name="_Toc109393242"/>
      <w:bookmarkStart w:id="146" w:name="_Toc107838417"/>
      <w:bookmarkStart w:id="147" w:name="_Toc111226105"/>
      <w:bookmarkStart w:id="148" w:name="_Toc112309336"/>
      <w:bookmarkStart w:id="149" w:name="_Toc109846129"/>
      <w:bookmarkStart w:id="150" w:name="_Toc112441251"/>
      <w:bookmarkStart w:id="151" w:name="_Toc113633547"/>
      <w:bookmarkStart w:id="152" w:name="_Toc113349297"/>
      <w:bookmarkStart w:id="153" w:name="_Toc107838994"/>
      <w:bookmarkStart w:id="154" w:name="_Toc109846102"/>
      <w:bookmarkStart w:id="155" w:name="_Toc113349536"/>
      <w:bookmarkStart w:id="156" w:name="_Toc111226138"/>
      <w:r>
        <w:t>作业规范</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107"/>
        <w:spacing w:before="120" w:after="120"/>
        <w:ind w:left="0"/>
      </w:pPr>
      <w:bookmarkStart w:id="157" w:name="_Toc109393244"/>
      <w:bookmarkStart w:id="158" w:name="_Toc107838419"/>
      <w:bookmarkStart w:id="159" w:name="_Toc107842989"/>
      <w:bookmarkStart w:id="160" w:name="_Toc107838996"/>
      <w:bookmarkStart w:id="161" w:name="_Toc109846104"/>
      <w:r>
        <w:rPr>
          <w:rFonts w:hint="eastAsia"/>
        </w:rPr>
        <w:t>一般要求</w:t>
      </w:r>
    </w:p>
    <w:p>
      <w:pPr>
        <w:pStyle w:val="167"/>
        <w:ind w:left="0"/>
      </w:pPr>
      <w:r>
        <w:rPr>
          <w:rFonts w:hint="eastAsia"/>
        </w:rPr>
        <w:t>入驻企业（项目）的生产工艺或设备应满足国家产业政策要求，并按照GB/T 23331的要求以及相关法律法规、政策、标准和其他适用要求，结合自身规模、能力、需求等建立、实施、保持和改进能源管理体系。</w:t>
      </w:r>
    </w:p>
    <w:p>
      <w:pPr>
        <w:pStyle w:val="167"/>
        <w:ind w:left="0"/>
      </w:pPr>
      <w:r>
        <w:rPr>
          <w:rFonts w:hint="eastAsia"/>
        </w:rPr>
        <w:t>入驻企业（项目）应做好安全生产和职业卫生管理工作，安全第一、预防为主、防治结合的原则，严格按照安全生产法、职业防治法及相关法律法规、标准及规范要求，落实企业主体责任，并根据GB Z1、GBZ 2.1等要求定期检测危害职工卫生的有毒有害因素，并按照GB 39800.1的要求给涂装作业人员配备劳动防护用品。</w:t>
      </w:r>
    </w:p>
    <w:p>
      <w:pPr>
        <w:pStyle w:val="167"/>
        <w:ind w:left="0"/>
      </w:pPr>
      <w:r>
        <w:rPr>
          <w:rFonts w:hint="eastAsia"/>
        </w:rPr>
        <w:t>作业前，作业人员应检查作业现场的环境、生产设备和治污设施、安全防护装置的完好状态。作业过程中，作业行为应符合岗位安全操作规程，不应在机械设备设施运行时擅离岗位，或从事与该岗位无关的活动。工作结束后，应检查设备设施技术状态及现场，确认无误后方可离开。</w:t>
      </w:r>
    </w:p>
    <w:p>
      <w:pPr>
        <w:pStyle w:val="107"/>
        <w:spacing w:before="120" w:after="120"/>
        <w:ind w:left="0"/>
      </w:pPr>
      <w:r>
        <w:rPr>
          <w:rFonts w:hint="eastAsia"/>
        </w:rPr>
        <w:t>涂料及辅料</w:t>
      </w:r>
      <w:bookmarkEnd w:id="157"/>
      <w:bookmarkEnd w:id="158"/>
      <w:bookmarkEnd w:id="159"/>
      <w:bookmarkEnd w:id="160"/>
      <w:bookmarkEnd w:id="161"/>
    </w:p>
    <w:p>
      <w:pPr>
        <w:pStyle w:val="167"/>
        <w:ind w:left="0"/>
      </w:pPr>
      <w:r>
        <w:rPr>
          <w:rFonts w:hint="eastAsia"/>
        </w:rPr>
        <w:t>生产涂装过程中使用的涉挥发性有机物原辅料应符合GB 33372、GB 18581、GB 30981、GB 38508等有害物质限量规定的涂料产品。</w:t>
      </w:r>
    </w:p>
    <w:p>
      <w:pPr>
        <w:pStyle w:val="167"/>
        <w:ind w:left="0"/>
      </w:pPr>
      <w:r>
        <w:rPr>
          <w:rFonts w:hint="eastAsia"/>
        </w:rPr>
        <w:t>各类原辅料入库时应有完整、准确、清晰的产品包装标志、检验合格证和说明书，做好进出库台账记录，贮存过程应保持容器密闭。</w:t>
      </w:r>
    </w:p>
    <w:p>
      <w:pPr>
        <w:pStyle w:val="167"/>
        <w:ind w:left="0"/>
      </w:pPr>
      <w:r>
        <w:rPr>
          <w:rFonts w:hint="eastAsia"/>
        </w:rPr>
        <w:t>喷涂场所可按生产需求存放一定量的涂料及辅料，并加盖密封或仅保留供给生产需要的敞口。</w:t>
      </w:r>
    </w:p>
    <w:p>
      <w:pPr>
        <w:pStyle w:val="107"/>
        <w:spacing w:before="120" w:after="120"/>
        <w:ind w:left="0"/>
      </w:pPr>
      <w:bookmarkStart w:id="162" w:name="_Toc107842990"/>
      <w:bookmarkStart w:id="163" w:name="_Toc109393245"/>
      <w:bookmarkStart w:id="164" w:name="_Toc109846105"/>
      <w:bookmarkStart w:id="165" w:name="_Toc107838420"/>
      <w:bookmarkStart w:id="166" w:name="_Toc107838997"/>
      <w:r>
        <w:rPr>
          <w:rFonts w:hint="eastAsia"/>
        </w:rPr>
        <w:t>涂装作业</w:t>
      </w:r>
      <w:bookmarkEnd w:id="162"/>
      <w:bookmarkEnd w:id="163"/>
      <w:bookmarkEnd w:id="164"/>
      <w:bookmarkEnd w:id="165"/>
      <w:bookmarkEnd w:id="166"/>
    </w:p>
    <w:p>
      <w:pPr>
        <w:pStyle w:val="167"/>
        <w:ind w:left="0"/>
      </w:pPr>
      <w:r>
        <w:rPr>
          <w:rFonts w:hint="eastAsia"/>
        </w:rPr>
        <w:t>调配</w:t>
      </w:r>
    </w:p>
    <w:p>
      <w:pPr>
        <w:pStyle w:val="166"/>
        <w:ind w:left="0"/>
      </w:pPr>
      <w:r>
        <w:rPr>
          <w:rFonts w:hint="eastAsia"/>
        </w:rPr>
        <w:t>涉挥发性有机物原辅料调配及输送应符合以下要求：</w:t>
      </w:r>
    </w:p>
    <w:p>
      <w:pPr>
        <w:pStyle w:val="176"/>
        <w:numPr>
          <w:ilvl w:val="0"/>
          <w:numId w:val="35"/>
        </w:numPr>
      </w:pPr>
      <w:r>
        <w:rPr>
          <w:rFonts w:hint="eastAsia"/>
        </w:rPr>
        <w:t>涂料调配应在密闭负压的调漆室内进行，存在相互反应的原料及辅料应分别设区调配。调漆室一般不设置电气设备，如必需设置时，应符合GB 50058的要求。单班使用溶剂型涂料少于20kg时，可以在喷涂区现场调配，但调配人员应严格遵守安全操作规程。</w:t>
      </w:r>
    </w:p>
    <w:p>
      <w:pPr>
        <w:pStyle w:val="176"/>
      </w:pPr>
      <w:r>
        <w:rPr>
          <w:rFonts w:hint="eastAsia"/>
        </w:rPr>
        <w:t>调漆室应安装可燃性气体报警仪，根据涂料及辅料种类合理设置室内最高允许报警浓度值。调漆室内换气次数不应少于20次/h，引进车间新风的气流循环速度不应低于0.5m/s，粉尘颗粒物含量应低于1mg/m³。</w:t>
      </w:r>
    </w:p>
    <w:p>
      <w:pPr>
        <w:pStyle w:val="176"/>
      </w:pPr>
      <w:r>
        <w:rPr>
          <w:rFonts w:hint="eastAsia"/>
        </w:rPr>
        <w:t>有集中供料系统的，涂料输送管道应保持完好，严禁滴漏；无集中供料系统的，工作结束后应将剩余涂料及辅料送回调漆室或倒入密闭容器中，严禁将液体涂料和辅料倒入下水道。</w:t>
      </w:r>
    </w:p>
    <w:p>
      <w:pPr>
        <w:pStyle w:val="67"/>
        <w:spacing w:before="120" w:after="120"/>
        <w:ind w:left="0"/>
      </w:pPr>
      <w:bookmarkStart w:id="167" w:name="_Toc107842991"/>
      <w:bookmarkStart w:id="168" w:name="_Toc107838998"/>
      <w:bookmarkStart w:id="169" w:name="_Toc109393246"/>
      <w:bookmarkStart w:id="170" w:name="_Toc107838421"/>
      <w:r>
        <w:rPr>
          <w:rFonts w:hint="eastAsia"/>
        </w:rPr>
        <w:t>喷涂</w:t>
      </w:r>
      <w:bookmarkEnd w:id="167"/>
      <w:bookmarkEnd w:id="168"/>
      <w:bookmarkEnd w:id="169"/>
      <w:bookmarkEnd w:id="170"/>
    </w:p>
    <w:p>
      <w:pPr>
        <w:pStyle w:val="166"/>
        <w:ind w:left="0"/>
      </w:pPr>
      <w:r>
        <w:rPr>
          <w:rFonts w:hint="eastAsia"/>
        </w:rPr>
        <w:t>喷涂作业宜采用高压无气喷涂、高流量低压力喷涂、自动喷涂、辊涂、静电喷涂等高效涂装技术。</w:t>
      </w:r>
    </w:p>
    <w:p>
      <w:pPr>
        <w:pStyle w:val="166"/>
        <w:ind w:left="0"/>
      </w:pPr>
      <w:r>
        <w:rPr>
          <w:rFonts w:hint="eastAsia"/>
        </w:rPr>
        <w:t>规范喷涂时空气流量、压力、涂装时间等操作条件，加强对生产工人的技能培训，尽可能提高涂料的利用率，对有条件的喷涂工艺增设原辅料回收系统。</w:t>
      </w:r>
    </w:p>
    <w:p>
      <w:pPr>
        <w:pStyle w:val="166"/>
        <w:ind w:left="0"/>
      </w:pPr>
      <w:r>
        <w:rPr>
          <w:rFonts w:hint="eastAsia"/>
        </w:rPr>
        <w:t>喷漆室应安装可燃性气体报警仪，根据污染源种类合理设置室内最高允许报警浓度值。喷漆室内换气次数不应少于60次/h，引进车间新风的气流循环速度不应低于0.5m/s，粉尘颗粒物含量应低于1mg/m³。</w:t>
      </w:r>
    </w:p>
    <w:p>
      <w:pPr>
        <w:pStyle w:val="67"/>
        <w:spacing w:before="120" w:after="120"/>
        <w:ind w:left="0"/>
      </w:pPr>
      <w:bookmarkStart w:id="171" w:name="_Toc107838999"/>
      <w:bookmarkStart w:id="172" w:name="_Toc109393247"/>
      <w:bookmarkStart w:id="173" w:name="_Toc107838422"/>
      <w:bookmarkStart w:id="174" w:name="_Toc107842992"/>
      <w:r>
        <w:rPr>
          <w:rFonts w:hint="eastAsia"/>
        </w:rPr>
        <w:t>流平、干燥</w:t>
      </w:r>
      <w:bookmarkEnd w:id="171"/>
      <w:bookmarkEnd w:id="172"/>
      <w:bookmarkEnd w:id="173"/>
      <w:bookmarkEnd w:id="174"/>
    </w:p>
    <w:p>
      <w:pPr>
        <w:pStyle w:val="166"/>
        <w:ind w:left="0"/>
      </w:pPr>
      <w:r>
        <w:rPr>
          <w:rFonts w:hint="eastAsia"/>
        </w:rPr>
        <w:t>流平过程应在密闭空间内操作，禁止在流平过程中通过安装大量风扇或其他通风措施故意稀释排放。</w:t>
      </w:r>
    </w:p>
    <w:p>
      <w:pPr>
        <w:pStyle w:val="166"/>
        <w:ind w:left="0"/>
      </w:pPr>
      <w:r>
        <w:rPr>
          <w:rFonts w:hint="eastAsia"/>
        </w:rPr>
        <w:t>干燥可采取烘干、自然晾干等措施，干燥过程均应在密闭空间内操作。进入烘干室的工件不应有余漆滴落。</w:t>
      </w:r>
    </w:p>
    <w:p>
      <w:pPr>
        <w:pStyle w:val="166"/>
        <w:ind w:left="0"/>
      </w:pPr>
      <w:r>
        <w:rPr>
          <w:rFonts w:hint="eastAsia"/>
        </w:rPr>
        <w:t>温度较高的烘干废气不宜与喷涂、流平、自然干燥的废气混合收集，鼓励配套余热回收装置。</w:t>
      </w:r>
    </w:p>
    <w:p>
      <w:pPr>
        <w:pStyle w:val="166"/>
        <w:ind w:left="0"/>
      </w:pPr>
      <w:r>
        <w:rPr>
          <w:rFonts w:hint="eastAsia"/>
        </w:rPr>
        <w:t>流平室、干燥室内换气次数不应少于20次/h。</w:t>
      </w:r>
    </w:p>
    <w:p>
      <w:pPr>
        <w:pStyle w:val="67"/>
        <w:spacing w:before="120" w:after="120"/>
        <w:ind w:left="0"/>
      </w:pPr>
      <w:bookmarkStart w:id="175" w:name="_Toc109393248"/>
      <w:r>
        <w:t>打磨</w:t>
      </w:r>
      <w:bookmarkEnd w:id="175"/>
      <w:r>
        <w:rPr>
          <w:rFonts w:hint="eastAsia"/>
        </w:rPr>
        <w:t>、抛光</w:t>
      </w:r>
    </w:p>
    <w:p>
      <w:pPr>
        <w:pStyle w:val="166"/>
        <w:ind w:left="0"/>
      </w:pPr>
      <w:r>
        <w:t>打磨</w:t>
      </w:r>
      <w:r>
        <w:rPr>
          <w:rFonts w:hint="eastAsia"/>
        </w:rPr>
        <w:t>、抛光</w:t>
      </w:r>
      <w:r>
        <w:t>宜采用</w:t>
      </w:r>
      <w:r>
        <w:rPr>
          <w:rFonts w:hint="eastAsia"/>
        </w:rPr>
        <w:t>自动化</w:t>
      </w:r>
      <w:r>
        <w:t>设备，在密闭专用场所进行，避免对其它区域产生交叉污染</w:t>
      </w:r>
      <w:r>
        <w:rPr>
          <w:rFonts w:hint="eastAsia"/>
        </w:rPr>
        <w:t>。专用场所内宜保证空气定向流动，避免粉尘无序逸散，空间颗粒物含量应低于1mg/m³</w:t>
      </w:r>
      <w:r>
        <w:t>。</w:t>
      </w:r>
    </w:p>
    <w:p>
      <w:pPr>
        <w:pStyle w:val="166"/>
        <w:ind w:left="0"/>
      </w:pPr>
      <w:r>
        <w:t>打磨</w:t>
      </w:r>
      <w:r>
        <w:rPr>
          <w:rFonts w:hint="eastAsia"/>
        </w:rPr>
        <w:t>、抛光</w:t>
      </w:r>
      <w:r>
        <w:t>产生</w:t>
      </w:r>
      <w:r>
        <w:rPr>
          <w:rFonts w:hint="eastAsia"/>
        </w:rPr>
        <w:t>的粉尘、废弃物等应采用专用设备进行收集、分类妥善处理</w:t>
      </w:r>
      <w:r>
        <w:t>。</w:t>
      </w:r>
    </w:p>
    <w:p>
      <w:pPr>
        <w:pStyle w:val="67"/>
        <w:spacing w:before="120" w:after="120"/>
        <w:ind w:left="0"/>
      </w:pPr>
      <w:bookmarkStart w:id="176" w:name="_Toc109393249"/>
      <w:bookmarkStart w:id="177" w:name="_Toc107842993"/>
      <w:bookmarkStart w:id="178" w:name="_Toc107839000"/>
      <w:bookmarkStart w:id="179" w:name="_Toc107838423"/>
      <w:r>
        <w:rPr>
          <w:rFonts w:hint="eastAsia"/>
        </w:rPr>
        <w:t>设备清洗</w:t>
      </w:r>
      <w:bookmarkEnd w:id="176"/>
      <w:bookmarkEnd w:id="177"/>
      <w:bookmarkEnd w:id="178"/>
      <w:bookmarkEnd w:id="179"/>
    </w:p>
    <w:p>
      <w:pPr>
        <w:pStyle w:val="166"/>
        <w:ind w:left="0"/>
      </w:pPr>
      <w:r>
        <w:rPr>
          <w:rFonts w:hint="eastAsia"/>
        </w:rPr>
        <w:t>应根据生产需要和工作流程，合理控制喷涂设备清洗剂的用量，宜设置自动清洗供漆管路系统。</w:t>
      </w:r>
    </w:p>
    <w:p>
      <w:pPr>
        <w:pStyle w:val="166"/>
        <w:ind w:left="0"/>
      </w:pPr>
      <w:r>
        <w:rPr>
          <w:rFonts w:hint="eastAsia"/>
        </w:rPr>
        <w:t>清洗后的废弃溶剂应及时进行收集并密闭保存，定期处理，并记录处理量和去向。</w:t>
      </w:r>
    </w:p>
    <w:p>
      <w:pPr>
        <w:pStyle w:val="106"/>
        <w:spacing w:before="240" w:after="240"/>
      </w:pPr>
      <w:bookmarkStart w:id="180" w:name="_Toc112309337"/>
      <w:bookmarkStart w:id="181" w:name="_Toc112441252"/>
      <w:bookmarkStart w:id="182" w:name="_Toc113633548"/>
      <w:bookmarkStart w:id="183" w:name="_Toc113349537"/>
      <w:bookmarkStart w:id="184" w:name="_Toc113349298"/>
      <w:bookmarkStart w:id="185" w:name="_Toc107842994"/>
      <w:bookmarkStart w:id="186" w:name="_Toc109846106"/>
      <w:bookmarkStart w:id="187" w:name="_Toc109393250"/>
      <w:bookmarkStart w:id="188" w:name="_Toc107838424"/>
      <w:bookmarkStart w:id="189" w:name="_Toc107839001"/>
      <w:r>
        <w:rPr>
          <w:rFonts w:hint="eastAsia"/>
        </w:rPr>
        <w:t>预处理治污</w:t>
      </w:r>
      <w:bookmarkEnd w:id="180"/>
      <w:r>
        <w:rPr>
          <w:rFonts w:hint="eastAsia"/>
        </w:rPr>
        <w:t>要求</w:t>
      </w:r>
      <w:bookmarkEnd w:id="181"/>
      <w:bookmarkEnd w:id="182"/>
      <w:bookmarkEnd w:id="183"/>
      <w:bookmarkEnd w:id="184"/>
    </w:p>
    <w:p>
      <w:pPr>
        <w:pStyle w:val="167"/>
        <w:ind w:left="0"/>
      </w:pPr>
      <w:r>
        <w:rPr>
          <w:rFonts w:hint="eastAsia"/>
        </w:rPr>
        <w:t>废气预处理设施应与产生废气的生产设备同步运转。</w:t>
      </w:r>
    </w:p>
    <w:p>
      <w:pPr>
        <w:pStyle w:val="167"/>
        <w:ind w:left="0"/>
      </w:pPr>
      <w:r>
        <w:rPr>
          <w:rFonts w:hint="eastAsia"/>
        </w:rPr>
        <w:t>当废气过滤装置压差超过过滤材料标准终始阻力要求时，应更换过滤材料。</w:t>
      </w:r>
    </w:p>
    <w:p>
      <w:pPr>
        <w:pStyle w:val="167"/>
        <w:ind w:left="0"/>
      </w:pPr>
      <w:r>
        <w:rPr>
          <w:rFonts w:hint="eastAsia"/>
        </w:rPr>
        <w:t>预处理过程中产生的涂料废渣等固体废物应按照相应固体废物管理规定进行妥善处理。废溶剂、废吸附剂、沾有涂料或溶剂的棉纱、抹布等废弃物应放入密闭容器。涉挥发性有机物的废包装工具（废罐、废桶、废包装袋等）应密闭贮存。</w:t>
      </w:r>
    </w:p>
    <w:bookmarkEnd w:id="185"/>
    <w:bookmarkEnd w:id="186"/>
    <w:bookmarkEnd w:id="187"/>
    <w:bookmarkEnd w:id="188"/>
    <w:bookmarkEnd w:id="189"/>
    <w:p>
      <w:pPr>
        <w:pStyle w:val="106"/>
        <w:spacing w:before="240" w:after="240"/>
      </w:pPr>
      <w:bookmarkStart w:id="190" w:name="_Toc111226106"/>
      <w:bookmarkStart w:id="191" w:name="_Toc112309338"/>
      <w:bookmarkStart w:id="192" w:name="_Toc109846109"/>
      <w:bookmarkStart w:id="193" w:name="_Toc112050538"/>
      <w:bookmarkStart w:id="194" w:name="_Toc111226139"/>
      <w:bookmarkStart w:id="195" w:name="_Toc113349538"/>
      <w:bookmarkStart w:id="196" w:name="_Toc107839004"/>
      <w:bookmarkStart w:id="197" w:name="_Toc107842997"/>
      <w:bookmarkStart w:id="198" w:name="_Toc107838427"/>
      <w:bookmarkStart w:id="199" w:name="_Toc112441253"/>
      <w:bookmarkStart w:id="200" w:name="_Toc113349299"/>
      <w:bookmarkStart w:id="201" w:name="_Toc113633549"/>
      <w:bookmarkStart w:id="202" w:name="_Toc109846130"/>
      <w:bookmarkStart w:id="203" w:name="_Toc109393253"/>
      <w:r>
        <w:t>污染集中治理要求</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107"/>
        <w:spacing w:before="120" w:after="120"/>
        <w:ind w:left="0"/>
      </w:pPr>
      <w:bookmarkStart w:id="204" w:name="_Toc107838428"/>
      <w:bookmarkStart w:id="205" w:name="_Toc109393254"/>
      <w:bookmarkStart w:id="206" w:name="_Toc109846110"/>
      <w:bookmarkStart w:id="207" w:name="_Toc107839005"/>
      <w:bookmarkStart w:id="208" w:name="_Toc107842998"/>
      <w:r>
        <w:rPr>
          <w:rFonts w:hint="eastAsia"/>
        </w:rPr>
        <w:t>废气收集治理</w:t>
      </w:r>
      <w:bookmarkEnd w:id="204"/>
      <w:bookmarkEnd w:id="205"/>
      <w:bookmarkEnd w:id="206"/>
      <w:bookmarkEnd w:id="207"/>
      <w:bookmarkEnd w:id="208"/>
    </w:p>
    <w:p>
      <w:pPr>
        <w:pStyle w:val="167"/>
        <w:ind w:left="0"/>
      </w:pPr>
      <w:r>
        <w:rPr>
          <w:rFonts w:hint="eastAsia"/>
        </w:rPr>
        <w:t>生产废气的产生主要集中在涂料调配、喷漆、涂装、干燥、打磨、设备清洗等生产工序，在上述工序产生的废气应落实“应收尽收，分类收集”的要求，最大限度控制颗粒物、有机废气排放量。</w:t>
      </w:r>
    </w:p>
    <w:p>
      <w:pPr>
        <w:pStyle w:val="167"/>
        <w:ind w:left="0"/>
      </w:pPr>
      <w:r>
        <w:rPr>
          <w:rFonts w:hint="eastAsia"/>
        </w:rPr>
        <w:t>集中废气治理设施</w:t>
      </w:r>
      <w:r>
        <w:t>应先于产生废气的生产工艺设备开启、晚于生产工艺设备停机，宜采用智能控制系统实现废气净化装置与生产设备连锁控制，确保有效收集区域所产生的大气污染物。</w:t>
      </w:r>
    </w:p>
    <w:p>
      <w:pPr>
        <w:pStyle w:val="167"/>
        <w:ind w:left="0"/>
      </w:pPr>
      <w:r>
        <w:rPr>
          <w:rFonts w:hint="eastAsia"/>
        </w:rPr>
        <w:t>集中废气治理设施发生故障或检修时，对应的生产工业设备应停止运行，生产工艺设备不能停止运行或不能及时停止运行的，应设置废气应急处理设施或采取其他替代措施，未经处理的废气不能直接排放。</w:t>
      </w:r>
    </w:p>
    <w:p>
      <w:pPr>
        <w:pStyle w:val="167"/>
        <w:ind w:left="0"/>
      </w:pPr>
      <w:r>
        <w:rPr>
          <w:rFonts w:hint="eastAsia"/>
        </w:rPr>
        <w:t>颗粒物治理宜采用袋式除尘、滤筒除尘、旋风除尘、湿式除尘等除尘技术。除尘系统的吸尘罩、风管、除尘器等的设置，粉尘的控制、清理和除尘设备的检修应满足GB 15577的粉尘防爆要求。</w:t>
      </w:r>
    </w:p>
    <w:p>
      <w:pPr>
        <w:pStyle w:val="166"/>
        <w:ind w:left="0"/>
      </w:pPr>
      <w:r>
        <w:rPr>
          <w:rFonts w:hint="eastAsia"/>
        </w:rPr>
        <w:t>除尘设施不得设置旁路排风，运行期间对易耗材料进行备品备件。</w:t>
      </w:r>
    </w:p>
    <w:p>
      <w:pPr>
        <w:pStyle w:val="166"/>
        <w:ind w:left="0"/>
      </w:pPr>
      <w:r>
        <w:rPr>
          <w:rFonts w:hint="eastAsia"/>
        </w:rPr>
        <w:t>除尘设施的运行和维护应有操作规程和管理制度。</w:t>
      </w:r>
    </w:p>
    <w:p>
      <w:pPr>
        <w:pStyle w:val="167"/>
        <w:ind w:left="0"/>
      </w:pPr>
      <w:r>
        <w:rPr>
          <w:rFonts w:hint="eastAsia"/>
        </w:rPr>
        <w:t>有机废气集中治理应采用吸附、减风增浓等浓缩技术与燃烧法的组合工艺。</w:t>
      </w:r>
    </w:p>
    <w:p>
      <w:pPr>
        <w:pStyle w:val="166"/>
        <w:ind w:left="0"/>
      </w:pPr>
      <w:r>
        <w:rPr>
          <w:rFonts w:hint="eastAsia"/>
        </w:rPr>
        <w:t>吸附环节的废气总净化效率应不低于90%且稳定达标，吸附治理技术的安装与运行需满足合HJ 2026的要求。</w:t>
      </w:r>
    </w:p>
    <w:p>
      <w:pPr>
        <w:pStyle w:val="166"/>
        <w:ind w:left="0"/>
      </w:pPr>
      <w:r>
        <w:rPr>
          <w:rFonts w:hint="eastAsia"/>
        </w:rPr>
        <w:t>进入吸附装置的有机物浓度应低于其爆炸极限下限的25%。对于含有混合有机物的废气，其控制浓度P应低于最易爆组分或混合气体爆炸极限下限最低值的25%，即P＜min(Pe,Pm)×25%，Pe为最易爆组分爆炸极限下限（%），Pm为混合气体爆炸极限下限。</w:t>
      </w:r>
    </w:p>
    <w:p>
      <w:pPr>
        <w:pStyle w:val="166"/>
        <w:ind w:left="0"/>
      </w:pPr>
      <w:r>
        <w:rPr>
          <w:rFonts w:hint="eastAsia"/>
        </w:rPr>
        <w:t>采用吸附技术的，进入吸附装置的废气温度宜低于40℃，有机废气相对湿度（RH）宜低于80%，脱附温度及颗粒物浓度应符合以下要求：</w:t>
      </w:r>
    </w:p>
    <w:p>
      <w:pPr>
        <w:pStyle w:val="114"/>
        <w:spacing w:before="120" w:after="120"/>
      </w:pPr>
      <w:r>
        <w:t>吸附技术脱附温度及颗粒物浓度要求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8"/>
        <w:gridCol w:w="3123"/>
        <w:gridCol w:w="31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8" w:type="dxa"/>
            <w:tcBorders>
              <w:top w:val="single" w:color="auto" w:sz="8" w:space="0"/>
              <w:bottom w:val="single" w:color="auto" w:sz="8" w:space="0"/>
            </w:tcBorders>
            <w:shd w:val="clear" w:color="auto" w:fill="auto"/>
          </w:tcPr>
          <w:p>
            <w:pPr>
              <w:jc w:val="center"/>
            </w:pPr>
            <w:r>
              <w:rPr>
                <w:rFonts w:hint="eastAsia"/>
              </w:rPr>
              <w:t>类型</w:t>
            </w:r>
          </w:p>
        </w:tc>
        <w:tc>
          <w:tcPr>
            <w:tcW w:w="3123" w:type="dxa"/>
            <w:tcBorders>
              <w:top w:val="single" w:color="auto" w:sz="8" w:space="0"/>
              <w:bottom w:val="single" w:color="auto" w:sz="8" w:space="0"/>
            </w:tcBorders>
            <w:shd w:val="clear" w:color="auto" w:fill="auto"/>
          </w:tcPr>
          <w:p>
            <w:pPr>
              <w:jc w:val="center"/>
            </w:pPr>
            <w:r>
              <w:rPr>
                <w:rFonts w:hint="eastAsia"/>
              </w:rPr>
              <w:t>脱附温度</w:t>
            </w:r>
          </w:p>
        </w:tc>
        <w:tc>
          <w:tcPr>
            <w:tcW w:w="3123" w:type="dxa"/>
            <w:tcBorders>
              <w:top w:val="single" w:color="auto" w:sz="8" w:space="0"/>
              <w:bottom w:val="single" w:color="auto" w:sz="8" w:space="0"/>
            </w:tcBorders>
            <w:shd w:val="clear" w:color="auto" w:fill="auto"/>
          </w:tcPr>
          <w:p>
            <w:pPr>
              <w:jc w:val="center"/>
            </w:pPr>
            <w:r>
              <w:rPr>
                <w:rFonts w:hint="eastAsia"/>
              </w:rPr>
              <w:t>颗粒物浓度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Borders>
              <w:top w:val="single" w:color="auto" w:sz="8" w:space="0"/>
            </w:tcBorders>
            <w:shd w:val="clear" w:color="auto" w:fill="auto"/>
          </w:tcPr>
          <w:p>
            <w:pPr>
              <w:jc w:val="center"/>
            </w:pPr>
            <w:r>
              <w:rPr>
                <w:rFonts w:hint="eastAsia"/>
              </w:rPr>
              <w:t>活性炭吸附技术</w:t>
            </w:r>
          </w:p>
        </w:tc>
        <w:tc>
          <w:tcPr>
            <w:tcW w:w="3123" w:type="dxa"/>
            <w:tcBorders>
              <w:top w:val="single" w:color="auto" w:sz="8" w:space="0"/>
            </w:tcBorders>
            <w:shd w:val="clear" w:color="auto" w:fill="auto"/>
          </w:tcPr>
          <w:p>
            <w:pPr>
              <w:jc w:val="center"/>
            </w:pPr>
            <w:r>
              <w:rPr>
                <w:rFonts w:hint="eastAsia"/>
              </w:rPr>
              <w:t>80℃至100℃</w:t>
            </w:r>
          </w:p>
        </w:tc>
        <w:tc>
          <w:tcPr>
            <w:tcW w:w="3123" w:type="dxa"/>
            <w:tcBorders>
              <w:top w:val="single" w:color="auto" w:sz="8" w:space="0"/>
            </w:tcBorders>
            <w:shd w:val="clear" w:color="auto" w:fill="auto"/>
          </w:tcPr>
          <w:p>
            <w:pPr>
              <w:jc w:val="center"/>
            </w:pPr>
            <w:r>
              <w:rPr>
                <w:rFonts w:hint="eastAsia"/>
              </w:rPr>
              <w:t>1mg/m³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shd w:val="clear" w:color="auto" w:fill="auto"/>
          </w:tcPr>
          <w:p>
            <w:pPr>
              <w:jc w:val="center"/>
            </w:pPr>
            <w:r>
              <w:rPr>
                <w:rFonts w:hint="eastAsia"/>
              </w:rPr>
              <w:t>沸石分子筛吸附技术</w:t>
            </w:r>
          </w:p>
        </w:tc>
        <w:tc>
          <w:tcPr>
            <w:tcW w:w="3123" w:type="dxa"/>
            <w:shd w:val="clear" w:color="auto" w:fill="auto"/>
          </w:tcPr>
          <w:p>
            <w:pPr>
              <w:jc w:val="center"/>
            </w:pPr>
            <w:r>
              <w:rPr>
                <w:rFonts w:hint="eastAsia"/>
              </w:rPr>
              <w:t>180℃至200℃</w:t>
            </w:r>
          </w:p>
        </w:tc>
        <w:tc>
          <w:tcPr>
            <w:tcW w:w="3123" w:type="dxa"/>
            <w:shd w:val="clear" w:color="auto" w:fill="auto"/>
          </w:tcPr>
          <w:p>
            <w:pPr>
              <w:jc w:val="center"/>
            </w:pPr>
            <w:r>
              <w:rPr>
                <w:rFonts w:hint="eastAsia"/>
              </w:rPr>
              <w:t>1mg/m³</w:t>
            </w:r>
          </w:p>
        </w:tc>
      </w:tr>
    </w:tbl>
    <w:p>
      <w:pPr>
        <w:pStyle w:val="166"/>
        <w:ind w:left="0"/>
      </w:pPr>
      <w:r>
        <w:rPr>
          <w:rFonts w:hint="eastAsia"/>
        </w:rPr>
        <w:t>当吸附剂选定后，吸附床层的吸附剂用量应根据废气处理量、污染物浓度和吸附剂的动态吸附量确定，并设计预留相应的余量。</w:t>
      </w:r>
    </w:p>
    <w:p>
      <w:pPr>
        <w:pStyle w:val="166"/>
        <w:ind w:left="0"/>
      </w:pPr>
      <w:r>
        <w:rPr>
          <w:rFonts w:hint="eastAsia"/>
        </w:rPr>
        <w:t>固定床吸附装置吸附层的气流速度应根据吸附剂的形态确定。采用颗粒状吸附剂时，气体流速宜低于0.6m/s；采用纤维状吸附剂（活性炭纤维毡）时，气体流速宜低于0.15m/s;采用蜂窝状吸附剂时，气体流速宜低于1.2m/s。</w:t>
      </w:r>
    </w:p>
    <w:p>
      <w:pPr>
        <w:pStyle w:val="167"/>
        <w:ind w:left="0"/>
      </w:pPr>
      <w:r>
        <w:rPr>
          <w:rFonts w:hint="eastAsia"/>
        </w:rPr>
        <w:t>燃烧技术一般采用催化燃烧技术（CO）、蓄热燃烧技术（RTO）、蓄热催化燃烧技术（RCO），燃烧技术不宜单独使用，应配合吸附浓缩技术使用。</w:t>
      </w:r>
    </w:p>
    <w:p>
      <w:pPr>
        <w:pStyle w:val="166"/>
        <w:ind w:left="0"/>
      </w:pPr>
      <w:r>
        <w:rPr>
          <w:rFonts w:hint="eastAsia"/>
        </w:rPr>
        <w:t>催化燃烧（CO）装置应按照HJ 2027规定建设，催化燃烧净化效率不得低于97%；催化燃烧装置压力应低于2000Pa，催化剂床层的设计空速宜低于40000h-1。</w:t>
      </w:r>
    </w:p>
    <w:p>
      <w:pPr>
        <w:pStyle w:val="166"/>
        <w:ind w:left="0"/>
      </w:pPr>
      <w:r>
        <w:rPr>
          <w:rFonts w:hint="eastAsia"/>
        </w:rPr>
        <w:t>蓄热燃烧（RTO）装置应按照HJ 1093规定建设，两室蓄热燃烧装置的净化效率不宜低于95%，多室或旋转式蓄热燃烧装置的净化效率不宜低于98%；废气在燃烧室的停留时间一般不宜低于0.75s，燃烧室燃烧温度应高于760℃。</w:t>
      </w:r>
    </w:p>
    <w:p>
      <w:pPr>
        <w:pStyle w:val="107"/>
        <w:spacing w:before="120" w:after="120"/>
        <w:ind w:left="0"/>
      </w:pPr>
      <w:bookmarkStart w:id="209" w:name="_Toc107838429"/>
      <w:bookmarkStart w:id="210" w:name="_Toc109393255"/>
      <w:bookmarkStart w:id="211" w:name="_Toc107842999"/>
      <w:bookmarkStart w:id="212" w:name="_Toc109846111"/>
      <w:bookmarkStart w:id="213" w:name="_Toc107839006"/>
      <w:r>
        <w:rPr>
          <w:rFonts w:hint="eastAsia"/>
        </w:rPr>
        <w:t>废水集中收集处理</w:t>
      </w:r>
      <w:bookmarkEnd w:id="209"/>
      <w:bookmarkEnd w:id="210"/>
      <w:bookmarkEnd w:id="211"/>
      <w:bookmarkEnd w:id="212"/>
      <w:bookmarkEnd w:id="213"/>
    </w:p>
    <w:p>
      <w:pPr>
        <w:pStyle w:val="167"/>
        <w:ind w:left="0"/>
      </w:pPr>
      <w:r>
        <w:rPr>
          <w:rFonts w:hint="eastAsia"/>
        </w:rPr>
        <w:t>核心区应当实行雨污分流、清污分流，在雨水、污水分流区域，任何排水单位和个人不得将污水排入雨水管网，雨水管道和污水管道不得相互混接。</w:t>
      </w:r>
    </w:p>
    <w:p>
      <w:pPr>
        <w:pStyle w:val="167"/>
        <w:ind w:left="0"/>
      </w:pPr>
      <w:r>
        <w:rPr>
          <w:rFonts w:hint="eastAsia"/>
        </w:rPr>
        <w:t>核心区废水量合计≥200t/d，应配套集中式污水处理站，对各类工业废水进行分类分质收集和处理，不得稀释排放。</w:t>
      </w:r>
    </w:p>
    <w:p>
      <w:pPr>
        <w:pStyle w:val="166"/>
        <w:ind w:left="0"/>
      </w:pPr>
      <w:r>
        <w:rPr>
          <w:rFonts w:hint="eastAsia"/>
        </w:rPr>
        <w:t>含挥发性有机物废水应采用密闭明管输送至集水池，接入口和排出口采取与环境空气隔离的措施，集水池应加盖密闭。</w:t>
      </w:r>
    </w:p>
    <w:p>
      <w:pPr>
        <w:pStyle w:val="166"/>
        <w:ind w:left="0"/>
      </w:pPr>
      <w:r>
        <w:t>鼓励集中式污水处理站处理后的废水循环使用。</w:t>
      </w:r>
    </w:p>
    <w:p>
      <w:pPr>
        <w:pStyle w:val="167"/>
        <w:ind w:left="0"/>
      </w:pPr>
      <w:r>
        <w:rPr>
          <w:rFonts w:hint="eastAsia"/>
        </w:rPr>
        <w:t>核心区废水采取转移处理方式的，应统一设置废水储存区域，废水储存区域应铺设防渗地坪层，因地制宜建设围堰或防泄漏收集池。围堰或防泄漏收集池的有效容积不应小于罐（池）内一个最大储罐（池）的容积。</w:t>
      </w:r>
    </w:p>
    <w:p>
      <w:pPr>
        <w:pStyle w:val="166"/>
        <w:ind w:left="0"/>
      </w:pPr>
      <w:r>
        <w:rPr>
          <w:rFonts w:hint="eastAsia"/>
        </w:rPr>
        <w:t>废水收集管道应明管铺设，并与废水储存设施直接连通，输送和储存过程应符合密闭性要求，不应存在滴、漏、渗等现象。</w:t>
      </w:r>
    </w:p>
    <w:p>
      <w:pPr>
        <w:pStyle w:val="166"/>
        <w:ind w:left="0"/>
      </w:pPr>
      <w:r>
        <w:rPr>
          <w:rFonts w:hint="eastAsia"/>
        </w:rPr>
        <w:t>废水储存设施不应预设暗口或安装旁通阀门，并按要求安装监控和废水存储量计量设施。</w:t>
      </w:r>
    </w:p>
    <w:p>
      <w:pPr>
        <w:pStyle w:val="166"/>
        <w:ind w:left="0"/>
      </w:pPr>
      <w:r>
        <w:rPr>
          <w:rFonts w:hint="eastAsia"/>
        </w:rPr>
        <w:t>废水产生单位应与有相应废水处理能力的废水处理单位签订废水转移处理协议，明确废水种类、物质成分及浓度、收水频次、收水时间、转移数量等方面内容。</w:t>
      </w:r>
    </w:p>
    <w:p>
      <w:pPr>
        <w:pStyle w:val="106"/>
        <w:spacing w:before="240" w:after="240"/>
      </w:pPr>
      <w:bookmarkStart w:id="214" w:name="_Toc109846114"/>
      <w:bookmarkStart w:id="215" w:name="_Toc111226140"/>
      <w:bookmarkStart w:id="216" w:name="_Toc107839009"/>
      <w:bookmarkStart w:id="217" w:name="_Toc113633550"/>
      <w:bookmarkStart w:id="218" w:name="_Toc112050539"/>
      <w:bookmarkStart w:id="219" w:name="_Toc111226107"/>
      <w:bookmarkStart w:id="220" w:name="_Toc109846131"/>
      <w:bookmarkStart w:id="221" w:name="_Toc113349539"/>
      <w:bookmarkStart w:id="222" w:name="_Toc107838432"/>
      <w:bookmarkStart w:id="223" w:name="_Toc109393258"/>
      <w:bookmarkStart w:id="224" w:name="_Toc113349300"/>
      <w:bookmarkStart w:id="225" w:name="_Toc107843002"/>
      <w:bookmarkStart w:id="226" w:name="_Toc112441254"/>
      <w:bookmarkStart w:id="227" w:name="_Toc112309339"/>
      <w:r>
        <w:t>环境监测</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107"/>
        <w:spacing w:before="120" w:after="120"/>
        <w:ind w:left="0"/>
      </w:pPr>
      <w:bookmarkStart w:id="228" w:name="_Toc109846116"/>
      <w:bookmarkStart w:id="229" w:name="_Toc109393260"/>
      <w:bookmarkStart w:id="230" w:name="_Toc107838434"/>
      <w:bookmarkStart w:id="231" w:name="_Toc107843004"/>
      <w:bookmarkStart w:id="232" w:name="_Toc107839011"/>
      <w:r>
        <w:t>污染源</w:t>
      </w:r>
      <w:r>
        <w:rPr>
          <w:rFonts w:hint="eastAsia"/>
        </w:rPr>
        <w:t>排放监测</w:t>
      </w:r>
      <w:bookmarkEnd w:id="228"/>
      <w:bookmarkEnd w:id="229"/>
      <w:bookmarkEnd w:id="230"/>
      <w:bookmarkEnd w:id="231"/>
      <w:bookmarkEnd w:id="232"/>
    </w:p>
    <w:p>
      <w:pPr>
        <w:pStyle w:val="67"/>
        <w:spacing w:before="120" w:after="120"/>
        <w:ind w:left="0"/>
      </w:pPr>
      <w:bookmarkStart w:id="233" w:name="_Toc107839012"/>
      <w:bookmarkStart w:id="234" w:name="_Toc107843005"/>
      <w:bookmarkStart w:id="235" w:name="_Toc107838435"/>
      <w:bookmarkStart w:id="236" w:name="_Toc109393261"/>
      <w:r>
        <w:rPr>
          <w:rFonts w:hint="eastAsia"/>
        </w:rPr>
        <w:t>废气排放监测</w:t>
      </w:r>
      <w:bookmarkEnd w:id="233"/>
      <w:bookmarkEnd w:id="234"/>
      <w:bookmarkEnd w:id="235"/>
      <w:bookmarkEnd w:id="236"/>
    </w:p>
    <w:p>
      <w:pPr>
        <w:pStyle w:val="166"/>
        <w:ind w:left="0"/>
      </w:pPr>
      <w:r>
        <w:rPr>
          <w:rFonts w:hint="eastAsia"/>
        </w:rPr>
        <w:t>集中式有机废气治理设施排放口应安装含苯、甲苯、二甲苯、挥发性有机物等监测指标的在线监测系统并按要求与生态环境部门联网。</w:t>
      </w:r>
    </w:p>
    <w:p>
      <w:pPr>
        <w:pStyle w:val="166"/>
        <w:ind w:left="0"/>
      </w:pPr>
      <w:r>
        <w:rPr>
          <w:rFonts w:hint="eastAsia"/>
        </w:rPr>
        <w:t>鼓励核心区开展温室气体排放量核算统计，制定温室气体排放清单。</w:t>
      </w:r>
    </w:p>
    <w:p>
      <w:pPr>
        <w:pStyle w:val="67"/>
        <w:spacing w:before="120" w:after="120"/>
        <w:ind w:left="0"/>
      </w:pPr>
      <w:r>
        <w:rPr>
          <w:rFonts w:hint="eastAsia"/>
        </w:rPr>
        <w:t>废水排放监测</w:t>
      </w:r>
    </w:p>
    <w:p>
      <w:pPr>
        <w:pStyle w:val="166"/>
        <w:ind w:left="0"/>
      </w:pPr>
      <w:r>
        <w:rPr>
          <w:rFonts w:hint="eastAsia"/>
        </w:rPr>
        <w:t>若配套集中式污水处理站，废水排放口应安装含流量、化学需氧量、氨氮等监测指标的在线监测系统并按要求与生态环境部门联网。</w:t>
      </w:r>
    </w:p>
    <w:p>
      <w:pPr>
        <w:pStyle w:val="166"/>
        <w:ind w:left="0"/>
      </w:pPr>
      <w:r>
        <w:rPr>
          <w:rFonts w:hint="eastAsia"/>
        </w:rPr>
        <w:t>生活污水单独直排外环境的，应在生活污水排放口设置监测点位，具体监测指标、监测频次应符合HJ 1086的要求。</w:t>
      </w:r>
    </w:p>
    <w:p>
      <w:pPr>
        <w:pStyle w:val="107"/>
        <w:spacing w:before="120" w:after="120"/>
        <w:ind w:left="0"/>
      </w:pPr>
      <w:bookmarkStart w:id="237" w:name="_Toc109393263"/>
      <w:bookmarkStart w:id="238" w:name="_Toc107843007"/>
      <w:bookmarkStart w:id="239" w:name="_Toc107839014"/>
      <w:bookmarkStart w:id="240" w:name="_Toc107838437"/>
      <w:r>
        <w:rPr>
          <w:rFonts w:hint="eastAsia"/>
        </w:rPr>
        <w:t>周边环境质量监测</w:t>
      </w:r>
      <w:bookmarkEnd w:id="237"/>
      <w:bookmarkEnd w:id="238"/>
      <w:bookmarkEnd w:id="239"/>
      <w:bookmarkEnd w:id="240"/>
    </w:p>
    <w:p>
      <w:pPr>
        <w:pStyle w:val="167"/>
        <w:ind w:left="0"/>
      </w:pPr>
      <w:r>
        <w:rPr>
          <w:rFonts w:hint="eastAsia"/>
        </w:rPr>
        <w:t>按照法律法规及环境影响评价文件等要求，应按要求开展周边环境质量监测。</w:t>
      </w:r>
    </w:p>
    <w:p>
      <w:pPr>
        <w:pStyle w:val="167"/>
        <w:ind w:left="0"/>
      </w:pPr>
      <w:r>
        <w:rPr>
          <w:rFonts w:hint="eastAsia"/>
        </w:rPr>
        <w:t>核心区四周应布设不少于4个环境质量微观监测站，监测PM</w:t>
      </w:r>
      <w:r>
        <w:rPr>
          <w:rFonts w:hint="eastAsia"/>
          <w:vertAlign w:val="subscript"/>
        </w:rPr>
        <w:t>10</w:t>
      </w:r>
      <w:r>
        <w:rPr>
          <w:rFonts w:hint="eastAsia"/>
        </w:rPr>
        <w:t>、PM</w:t>
      </w:r>
      <w:r>
        <w:rPr>
          <w:rFonts w:hint="eastAsia"/>
          <w:vertAlign w:val="subscript"/>
        </w:rPr>
        <w:t>2.5</w:t>
      </w:r>
      <w:r>
        <w:rPr>
          <w:rFonts w:hint="eastAsia"/>
        </w:rPr>
        <w:t>、TVOC等指标。</w:t>
      </w:r>
    </w:p>
    <w:p>
      <w:pPr>
        <w:pStyle w:val="107"/>
        <w:spacing w:before="120" w:after="120"/>
        <w:ind w:left="0"/>
      </w:pPr>
      <w:r>
        <w:rPr>
          <w:rFonts w:hint="eastAsia"/>
        </w:rPr>
        <w:t>监测信息记录</w:t>
      </w:r>
    </w:p>
    <w:p>
      <w:pPr>
        <w:pStyle w:val="167"/>
        <w:ind w:left="0"/>
      </w:pPr>
      <w:r>
        <w:rPr>
          <w:rFonts w:hint="eastAsia"/>
        </w:rPr>
        <w:t>按照有关法律法规要求，建立监测制度，对污染物排放状况及</w:t>
      </w:r>
      <w:bookmarkStart w:id="263" w:name="_GoBack"/>
      <w:bookmarkEnd w:id="263"/>
      <w:r>
        <w:rPr>
          <w:rFonts w:hint="eastAsia"/>
        </w:rPr>
        <w:t>其对环境的影响开展自行监测，做好质量保证和质量控制，记录和保存监测数据和信息，依法向社会公开监测结果。监测数据保存时间应不少于五年。</w:t>
      </w:r>
    </w:p>
    <w:p>
      <w:pPr>
        <w:pStyle w:val="167"/>
        <w:ind w:left="0"/>
      </w:pPr>
      <w:r>
        <w:rPr>
          <w:rFonts w:hint="eastAsia"/>
        </w:rPr>
        <w:t>手工监测记录和自动监测运维记录应严格按照HJ819执行，并详细记录生产情况及污染治治理运行状况，日常生产中应按照HJ1086要求，记录生产运行情况、废水处理设施运行状况、固体废弃物和危险废物等信息。</w:t>
      </w:r>
    </w:p>
    <w:p>
      <w:pPr>
        <w:pStyle w:val="167"/>
        <w:ind w:left="0"/>
      </w:pPr>
      <w:r>
        <w:rPr>
          <w:rFonts w:hint="eastAsia"/>
        </w:rPr>
        <w:t>监测信息报告、应急报告和监测信息公开等要求按照HJ819执行。</w:t>
      </w:r>
    </w:p>
    <w:p>
      <w:pPr>
        <w:pStyle w:val="167"/>
        <w:numPr>
          <w:ilvl w:val="0"/>
          <w:numId w:val="0"/>
        </w:numPr>
      </w:pPr>
    </w:p>
    <w:p>
      <w:pPr>
        <w:pStyle w:val="167"/>
        <w:numPr>
          <w:ilvl w:val="0"/>
          <w:numId w:val="0"/>
        </w:numPr>
        <w:sectPr>
          <w:pgSz w:w="11906" w:h="16838"/>
          <w:pgMar w:top="2410" w:right="1134" w:bottom="1134" w:left="1134" w:header="1418" w:footer="1134" w:gutter="284"/>
          <w:pgNumType w:start="1"/>
          <w:cols w:space="425" w:num="1"/>
          <w:formProt w:val="0"/>
          <w:docGrid w:linePitch="312" w:charSpace="0"/>
        </w:sectPr>
      </w:pPr>
    </w:p>
    <w:bookmarkEnd w:id="32"/>
    <w:p>
      <w:pPr>
        <w:pStyle w:val="200"/>
      </w:pPr>
      <w:bookmarkStart w:id="241" w:name="BookMark5"/>
    </w:p>
    <w:p>
      <w:pPr>
        <w:pStyle w:val="201"/>
      </w:pPr>
    </w:p>
    <w:p>
      <w:pPr>
        <w:pStyle w:val="78"/>
        <w:spacing w:before="60" w:after="120"/>
      </w:pPr>
      <w:r>
        <w:br w:type="textWrapping"/>
      </w:r>
      <w:bookmarkStart w:id="242" w:name="_Toc112309340"/>
      <w:bookmarkStart w:id="243" w:name="_Toc113349301"/>
      <w:bookmarkStart w:id="244" w:name="_Toc113349540"/>
      <w:bookmarkStart w:id="245" w:name="_Toc113633551"/>
      <w:bookmarkStart w:id="246" w:name="_Toc112441255"/>
      <w:r>
        <w:rPr>
          <w:rFonts w:hint="eastAsia"/>
        </w:rPr>
        <w:t>（资料性）</w:t>
      </w:r>
      <w:r>
        <w:br w:type="textWrapping"/>
      </w:r>
      <w:r>
        <w:rPr>
          <w:rFonts w:hint="eastAsia"/>
        </w:rPr>
        <w:t>木制家具喷涂类环保共性产业园核心区巡查要点</w:t>
      </w:r>
      <w:bookmarkEnd w:id="242"/>
      <w:bookmarkEnd w:id="243"/>
      <w:bookmarkEnd w:id="244"/>
      <w:bookmarkEnd w:id="245"/>
      <w:bookmarkEnd w:id="246"/>
    </w:p>
    <w:p>
      <w:pPr>
        <w:pStyle w:val="58"/>
        <w:ind w:firstLine="420"/>
      </w:pPr>
    </w:p>
    <w:p>
      <w:pPr>
        <w:pStyle w:val="58"/>
        <w:ind w:firstLine="420"/>
      </w:pPr>
      <w:r>
        <w:rPr>
          <w:rFonts w:hint="eastAsia"/>
        </w:rPr>
        <w:t>木制家具喷涂类环保共性产业园核心区巡查要点见表A.1。</w:t>
      </w:r>
    </w:p>
    <w:p>
      <w:pPr>
        <w:pStyle w:val="79"/>
        <w:spacing w:before="120" w:after="120"/>
      </w:pPr>
      <w:r>
        <w:t>木制家具喷涂类环保共性产业园核心区巡查要点</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851"/>
        <w:gridCol w:w="425"/>
        <w:gridCol w:w="4111"/>
        <w:gridCol w:w="1134"/>
        <w:gridCol w:w="1417"/>
        <w:gridCol w:w="8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7" w:type="dxa"/>
            <w:tcBorders>
              <w:top w:val="single" w:color="auto" w:sz="8" w:space="0"/>
              <w:bottom w:val="single" w:color="auto" w:sz="8" w:space="0"/>
            </w:tcBorders>
            <w:shd w:val="clear" w:color="auto" w:fill="auto"/>
            <w:vAlign w:val="center"/>
          </w:tcPr>
          <w:p>
            <w:pPr>
              <w:pStyle w:val="180"/>
            </w:pPr>
            <w:r>
              <w:t>序号</w:t>
            </w:r>
          </w:p>
        </w:tc>
        <w:tc>
          <w:tcPr>
            <w:tcW w:w="851" w:type="dxa"/>
            <w:tcBorders>
              <w:top w:val="single" w:color="auto" w:sz="8" w:space="0"/>
              <w:bottom w:val="single" w:color="auto" w:sz="8" w:space="0"/>
            </w:tcBorders>
            <w:shd w:val="clear" w:color="auto" w:fill="auto"/>
            <w:vAlign w:val="center"/>
          </w:tcPr>
          <w:p>
            <w:pPr>
              <w:pStyle w:val="180"/>
              <w:jc w:val="both"/>
            </w:pPr>
            <w:r>
              <w:rPr>
                <w:rFonts w:hint="eastAsia"/>
              </w:rPr>
              <w:t>巡检点位</w:t>
            </w:r>
          </w:p>
        </w:tc>
        <w:tc>
          <w:tcPr>
            <w:tcW w:w="4536" w:type="dxa"/>
            <w:gridSpan w:val="2"/>
            <w:tcBorders>
              <w:top w:val="single" w:color="auto" w:sz="8" w:space="0"/>
              <w:bottom w:val="single" w:color="auto" w:sz="8" w:space="0"/>
            </w:tcBorders>
            <w:shd w:val="clear" w:color="auto" w:fill="auto"/>
            <w:vAlign w:val="center"/>
          </w:tcPr>
          <w:p>
            <w:pPr>
              <w:pStyle w:val="180"/>
            </w:pPr>
            <w:r>
              <w:t>巡检事项</w:t>
            </w:r>
          </w:p>
        </w:tc>
        <w:tc>
          <w:tcPr>
            <w:tcW w:w="1134" w:type="dxa"/>
            <w:tcBorders>
              <w:top w:val="single" w:color="auto" w:sz="8" w:space="0"/>
              <w:bottom w:val="single" w:color="auto" w:sz="8" w:space="0"/>
            </w:tcBorders>
            <w:shd w:val="clear" w:color="auto" w:fill="auto"/>
            <w:vAlign w:val="center"/>
          </w:tcPr>
          <w:p>
            <w:pPr>
              <w:pStyle w:val="180"/>
            </w:pPr>
            <w:r>
              <w:t>推荐巡检方式</w:t>
            </w:r>
          </w:p>
        </w:tc>
        <w:tc>
          <w:tcPr>
            <w:tcW w:w="1417" w:type="dxa"/>
            <w:tcBorders>
              <w:top w:val="single" w:color="auto" w:sz="8" w:space="0"/>
              <w:bottom w:val="single" w:color="auto" w:sz="8" w:space="0"/>
            </w:tcBorders>
            <w:shd w:val="clear" w:color="auto" w:fill="auto"/>
            <w:vAlign w:val="center"/>
          </w:tcPr>
          <w:p>
            <w:pPr>
              <w:pStyle w:val="180"/>
            </w:pPr>
            <w:r>
              <w:rPr>
                <w:rFonts w:hint="eastAsia"/>
              </w:rPr>
              <w:t>最低巡检频次</w:t>
            </w:r>
          </w:p>
          <w:p>
            <w:pPr>
              <w:pStyle w:val="180"/>
            </w:pPr>
            <w:r>
              <w:rPr>
                <w:rFonts w:hint="eastAsia"/>
              </w:rPr>
              <w:t>（针对人工巡检）</w:t>
            </w:r>
          </w:p>
        </w:tc>
        <w:tc>
          <w:tcPr>
            <w:tcW w:w="859" w:type="dxa"/>
            <w:tcBorders>
              <w:top w:val="single" w:color="auto" w:sz="8" w:space="0"/>
              <w:bottom w:val="single" w:color="auto" w:sz="8" w:space="0"/>
            </w:tcBorders>
            <w:shd w:val="clear" w:color="auto" w:fill="auto"/>
            <w:vAlign w:val="center"/>
          </w:tcPr>
          <w:p>
            <w:pPr>
              <w:pStyle w:val="180"/>
            </w:pPr>
            <w:r>
              <w:t>巡检权属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8" w:space="0"/>
            </w:tcBorders>
            <w:shd w:val="clear" w:color="auto" w:fill="auto"/>
            <w:vAlign w:val="center"/>
          </w:tcPr>
          <w:p>
            <w:pPr>
              <w:pStyle w:val="180"/>
            </w:pPr>
            <w:r>
              <w:rPr>
                <w:rFonts w:hint="eastAsia"/>
              </w:rPr>
              <w:t>1-1</w:t>
            </w:r>
          </w:p>
        </w:tc>
        <w:tc>
          <w:tcPr>
            <w:tcW w:w="851" w:type="dxa"/>
            <w:vMerge w:val="restart"/>
            <w:tcBorders>
              <w:top w:val="single" w:color="auto" w:sz="8" w:space="0"/>
            </w:tcBorders>
            <w:shd w:val="clear" w:color="auto" w:fill="auto"/>
            <w:vAlign w:val="center"/>
          </w:tcPr>
          <w:p>
            <w:pPr>
              <w:pStyle w:val="180"/>
            </w:pPr>
            <w:r>
              <w:rPr>
                <w:rFonts w:hint="eastAsia"/>
              </w:rPr>
              <w:t>生产区</w:t>
            </w:r>
          </w:p>
        </w:tc>
        <w:tc>
          <w:tcPr>
            <w:tcW w:w="4536" w:type="dxa"/>
            <w:gridSpan w:val="2"/>
            <w:tcBorders>
              <w:top w:val="single" w:color="auto" w:sz="8" w:space="0"/>
            </w:tcBorders>
            <w:shd w:val="clear" w:color="auto" w:fill="auto"/>
            <w:vAlign w:val="center"/>
          </w:tcPr>
          <w:p>
            <w:pPr>
              <w:pStyle w:val="180"/>
              <w:jc w:val="left"/>
            </w:pPr>
            <w:r>
              <w:rPr>
                <w:rFonts w:hint="eastAsia"/>
              </w:rPr>
              <w:t>生产车间是否密闭管理</w:t>
            </w:r>
          </w:p>
        </w:tc>
        <w:tc>
          <w:tcPr>
            <w:tcW w:w="1134" w:type="dxa"/>
            <w:tcBorders>
              <w:top w:val="single" w:color="auto" w:sz="8" w:space="0"/>
            </w:tcBorders>
            <w:shd w:val="clear" w:color="auto" w:fill="auto"/>
          </w:tcPr>
          <w:p>
            <w:pPr>
              <w:jc w:val="center"/>
              <w:rPr>
                <w:rFonts w:ascii="宋体" w:hAnsi="Times New Roman"/>
                <w:kern w:val="0"/>
                <w:sz w:val="18"/>
                <w:szCs w:val="20"/>
              </w:rPr>
            </w:pPr>
            <w:r>
              <w:rPr>
                <w:rFonts w:hint="eastAsia" w:ascii="宋体" w:hAnsi="Times New Roman"/>
                <w:kern w:val="0"/>
                <w:sz w:val="18"/>
                <w:szCs w:val="20"/>
              </w:rPr>
              <w:t>视频监控</w:t>
            </w:r>
          </w:p>
        </w:tc>
        <w:tc>
          <w:tcPr>
            <w:tcW w:w="1417" w:type="dxa"/>
            <w:vMerge w:val="restart"/>
            <w:tcBorders>
              <w:top w:val="single" w:color="auto" w:sz="8" w:space="0"/>
            </w:tcBorders>
            <w:shd w:val="clear" w:color="auto" w:fill="auto"/>
            <w:vAlign w:val="center"/>
          </w:tcPr>
          <w:p>
            <w:pPr>
              <w:pStyle w:val="180"/>
            </w:pPr>
            <w:r>
              <w:rPr>
                <w:rFonts w:hint="eastAsia"/>
              </w:rPr>
              <w:t>入驻企业：</w:t>
            </w:r>
          </w:p>
          <w:p>
            <w:pPr>
              <w:pStyle w:val="180"/>
            </w:pPr>
            <w:r>
              <w:rPr>
                <w:rFonts w:hint="eastAsia"/>
              </w:rPr>
              <w:t>2次/生产日</w:t>
            </w:r>
          </w:p>
          <w:p>
            <w:pPr>
              <w:pStyle w:val="180"/>
            </w:pPr>
          </w:p>
          <w:p>
            <w:pPr>
              <w:pStyle w:val="180"/>
            </w:pPr>
            <w:r>
              <w:rPr>
                <w:rFonts w:hint="eastAsia"/>
              </w:rPr>
              <w:t>管理机构：</w:t>
            </w:r>
          </w:p>
          <w:p>
            <w:pPr>
              <w:pStyle w:val="180"/>
            </w:pPr>
            <w:r>
              <w:rPr>
                <w:rFonts w:hint="eastAsia"/>
              </w:rPr>
              <w:t>1次/周</w:t>
            </w:r>
          </w:p>
        </w:tc>
        <w:tc>
          <w:tcPr>
            <w:tcW w:w="859" w:type="dxa"/>
            <w:vMerge w:val="restart"/>
            <w:tcBorders>
              <w:top w:val="single" w:color="auto" w:sz="8" w:space="0"/>
            </w:tcBorders>
            <w:shd w:val="clear" w:color="auto" w:fill="auto"/>
            <w:vAlign w:val="center"/>
          </w:tcPr>
          <w:p>
            <w:pPr>
              <w:pStyle w:val="180"/>
              <w:widowControl w:val="0"/>
              <w:spacing w:line="252" w:lineRule="auto"/>
            </w:pPr>
            <w:r>
              <w:rPr>
                <w:rFonts w:hint="eastAsia"/>
              </w:rPr>
              <w:t>入驻企业</w:t>
            </w:r>
          </w:p>
          <w:p>
            <w:pPr>
              <w:pStyle w:val="180"/>
              <w:widowControl w:val="0"/>
              <w:spacing w:line="252" w:lineRule="auto"/>
            </w:pPr>
          </w:p>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1-2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双层（重）门是否同时开启</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1-3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涂料及辅料是否加盖密封或仅保留供给生产需要敞口</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restart"/>
            <w:shd w:val="clear" w:color="auto" w:fill="auto"/>
            <w:vAlign w:val="center"/>
          </w:tcPr>
          <w:p>
            <w:pPr>
              <w:pStyle w:val="180"/>
            </w:pPr>
            <w:r>
              <w:rPr>
                <w:rFonts w:hint="eastAsia"/>
              </w:rPr>
              <w:t>1-4</w:t>
            </w:r>
          </w:p>
        </w:tc>
        <w:tc>
          <w:tcPr>
            <w:tcW w:w="851" w:type="dxa"/>
            <w:vMerge w:val="continue"/>
            <w:shd w:val="clear" w:color="auto" w:fill="auto"/>
            <w:vAlign w:val="center"/>
          </w:tcPr>
          <w:p>
            <w:pPr>
              <w:pStyle w:val="180"/>
            </w:pPr>
          </w:p>
        </w:tc>
        <w:tc>
          <w:tcPr>
            <w:tcW w:w="425" w:type="dxa"/>
            <w:vMerge w:val="restart"/>
            <w:shd w:val="clear" w:color="auto" w:fill="auto"/>
            <w:vAlign w:val="center"/>
          </w:tcPr>
          <w:p>
            <w:pPr>
              <w:pStyle w:val="180"/>
            </w:pPr>
            <w:r>
              <w:rPr>
                <w:rFonts w:hint="eastAsia"/>
              </w:rPr>
              <w:t>供料过程</w:t>
            </w:r>
          </w:p>
        </w:tc>
        <w:tc>
          <w:tcPr>
            <w:tcW w:w="4111" w:type="dxa"/>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集中：涂料输送管道是否存在泄露破损</w:t>
            </w:r>
          </w:p>
        </w:tc>
        <w:tc>
          <w:tcPr>
            <w:tcW w:w="1134" w:type="dxa"/>
            <w:shd w:val="clear" w:color="auto" w:fill="auto"/>
            <w:vAlign w:val="center"/>
          </w:tcPr>
          <w:p>
            <w:pPr>
              <w:pStyle w:val="180"/>
              <w:widowControl w:val="0"/>
              <w:spacing w:line="252" w:lineRule="auto"/>
            </w:pPr>
            <w:r>
              <w:rPr>
                <w:rFonts w:hint="eastAsia"/>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shd w:val="clear" w:color="auto" w:fill="auto"/>
            <w:vAlign w:val="center"/>
          </w:tcPr>
          <w:p>
            <w:pPr>
              <w:pStyle w:val="180"/>
            </w:pPr>
          </w:p>
        </w:tc>
        <w:tc>
          <w:tcPr>
            <w:tcW w:w="851" w:type="dxa"/>
            <w:vMerge w:val="continue"/>
            <w:shd w:val="clear" w:color="auto" w:fill="auto"/>
            <w:vAlign w:val="center"/>
          </w:tcPr>
          <w:p>
            <w:pPr>
              <w:pStyle w:val="180"/>
            </w:pPr>
          </w:p>
        </w:tc>
        <w:tc>
          <w:tcPr>
            <w:tcW w:w="425" w:type="dxa"/>
            <w:vMerge w:val="continue"/>
            <w:shd w:val="clear" w:color="auto" w:fill="auto"/>
            <w:vAlign w:val="center"/>
          </w:tcPr>
          <w:p>
            <w:pPr>
              <w:pStyle w:val="180"/>
            </w:pPr>
          </w:p>
        </w:tc>
        <w:tc>
          <w:tcPr>
            <w:tcW w:w="4111" w:type="dxa"/>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非集中：是否将涂料送回调漆室或密闭保存</w:t>
            </w:r>
          </w:p>
        </w:tc>
        <w:tc>
          <w:tcPr>
            <w:tcW w:w="1134" w:type="dxa"/>
            <w:shd w:val="clear" w:color="auto" w:fill="auto"/>
            <w:vAlign w:val="center"/>
          </w:tcPr>
          <w:p>
            <w:pPr>
              <w:spacing w:line="252" w:lineRule="auto"/>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1-5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用排水管线是否存在泄露破损</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1-6</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生产设备四周是否堆放危险废物</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1-7</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环保、消防、安全等设施是否齐全</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2-1</w:t>
            </w:r>
          </w:p>
        </w:tc>
        <w:tc>
          <w:tcPr>
            <w:tcW w:w="851" w:type="dxa"/>
            <w:vMerge w:val="restart"/>
            <w:shd w:val="clear" w:color="auto" w:fill="auto"/>
            <w:vAlign w:val="center"/>
          </w:tcPr>
          <w:p>
            <w:pPr>
              <w:pStyle w:val="180"/>
            </w:pPr>
            <w:r>
              <w:rPr>
                <w:rFonts w:hint="eastAsia"/>
              </w:rPr>
              <w:t>预治污</w:t>
            </w:r>
          </w:p>
          <w:p>
            <w:pPr>
              <w:pStyle w:val="180"/>
            </w:pPr>
            <w:r>
              <w:rPr>
                <w:rFonts w:hint="eastAsia"/>
              </w:rPr>
              <w:t>单元</w:t>
            </w: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废气预处理设施是否与生产设施同步运转</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工况监控</w:t>
            </w:r>
          </w:p>
        </w:tc>
        <w:tc>
          <w:tcPr>
            <w:tcW w:w="1417" w:type="dxa"/>
            <w:vMerge w:val="restart"/>
            <w:shd w:val="clear" w:color="auto" w:fill="auto"/>
            <w:vAlign w:val="center"/>
          </w:tcPr>
          <w:p>
            <w:pPr>
              <w:pStyle w:val="180"/>
            </w:pPr>
            <w:r>
              <w:rPr>
                <w:rFonts w:hint="eastAsia"/>
              </w:rPr>
              <w:t>入驻企业：</w:t>
            </w:r>
          </w:p>
          <w:p>
            <w:pPr>
              <w:pStyle w:val="180"/>
            </w:pPr>
            <w:r>
              <w:rPr>
                <w:rFonts w:hint="eastAsia"/>
              </w:rPr>
              <w:t>1次/生产日</w:t>
            </w:r>
          </w:p>
          <w:p>
            <w:pPr>
              <w:pStyle w:val="180"/>
            </w:pPr>
          </w:p>
          <w:p>
            <w:pPr>
              <w:pStyle w:val="180"/>
            </w:pPr>
            <w:r>
              <w:rPr>
                <w:rFonts w:hint="eastAsia"/>
              </w:rPr>
              <w:t>管理机构：</w:t>
            </w:r>
          </w:p>
          <w:p>
            <w:pPr>
              <w:pStyle w:val="180"/>
            </w:pPr>
            <w:r>
              <w:rPr>
                <w:rFonts w:hint="eastAsia"/>
              </w:rPr>
              <w:t>1次/周</w:t>
            </w:r>
          </w:p>
        </w:tc>
        <w:tc>
          <w:tcPr>
            <w:tcW w:w="859" w:type="dxa"/>
            <w:vMerge w:val="restart"/>
            <w:shd w:val="clear" w:color="auto" w:fill="auto"/>
            <w:vAlign w:val="center"/>
          </w:tcPr>
          <w:p>
            <w:pPr>
              <w:pStyle w:val="180"/>
              <w:widowControl w:val="0"/>
              <w:spacing w:line="252" w:lineRule="auto"/>
            </w:pPr>
            <w:r>
              <w:rPr>
                <w:rFonts w:hint="eastAsia"/>
              </w:rPr>
              <w:t>入驻企业</w:t>
            </w:r>
          </w:p>
          <w:p>
            <w:pPr>
              <w:pStyle w:val="180"/>
              <w:widowControl w:val="0"/>
              <w:spacing w:line="252" w:lineRule="auto"/>
            </w:pPr>
          </w:p>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喷淋塔运转过程是否存在跑冒漏滴</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废气过滤装置压差是否超过过滤材料标准终始阻力</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2-4</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配套除尘装置是否运转正常且无泄漏破损</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废水收集池是否存在脏污、异味</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2-6</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废水收集池配套管线、泵组、阀门是否运转正常</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2-7</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废水收集池是否确保防渗防漏及分区隔断</w:t>
            </w:r>
          </w:p>
        </w:tc>
        <w:tc>
          <w:tcPr>
            <w:tcW w:w="1134" w:type="dxa"/>
            <w:shd w:val="clear" w:color="auto" w:fill="auto"/>
          </w:tcPr>
          <w:p>
            <w:pPr>
              <w:jc w:val="center"/>
              <w:rPr>
                <w:rFonts w:ascii="宋体" w:hAnsi="Times New Roman"/>
                <w:kern w:val="0"/>
                <w:sz w:val="18"/>
                <w:szCs w:val="20"/>
              </w:rPr>
            </w:pPr>
            <w:r>
              <w:rPr>
                <w:rFonts w:hint="eastAsia" w:ascii="宋体" w:hAnsi="Times New Roman"/>
                <w:kern w:val="0"/>
                <w:sz w:val="18"/>
                <w:szCs w:val="20"/>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3-1</w:t>
            </w:r>
          </w:p>
        </w:tc>
        <w:tc>
          <w:tcPr>
            <w:tcW w:w="851" w:type="dxa"/>
            <w:vMerge w:val="restart"/>
            <w:shd w:val="clear" w:color="auto" w:fill="auto"/>
            <w:vAlign w:val="center"/>
          </w:tcPr>
          <w:p>
            <w:pPr>
              <w:pStyle w:val="180"/>
            </w:pPr>
            <w:r>
              <w:rPr>
                <w:rFonts w:hint="eastAsia"/>
              </w:rPr>
              <w:t>大气污染集中治理设施</w:t>
            </w: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废气收集管线是否存在破损泄漏</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1次/生产日</w:t>
            </w:r>
          </w:p>
          <w:p>
            <w:pPr>
              <w:pStyle w:val="180"/>
            </w:pPr>
          </w:p>
        </w:tc>
        <w:tc>
          <w:tcPr>
            <w:tcW w:w="859"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废气处理设施是否已张贴明晰标识</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除尘装置是否运转正常且无泄漏破损</w:t>
            </w:r>
          </w:p>
        </w:tc>
        <w:tc>
          <w:tcPr>
            <w:tcW w:w="1134" w:type="dxa"/>
            <w:shd w:val="clear" w:color="auto" w:fill="auto"/>
            <w:vAlign w:val="center"/>
          </w:tcPr>
          <w:p>
            <w:pPr>
              <w:pStyle w:val="180"/>
              <w:widowControl w:val="0"/>
              <w:spacing w:line="252" w:lineRule="auto"/>
            </w:pPr>
            <w:r>
              <w:rPr>
                <w:rFonts w:hint="eastAsia"/>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3-4</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废气过滤装置压差是否超过过滤材料标准终始阻力</w:t>
            </w:r>
          </w:p>
        </w:tc>
        <w:tc>
          <w:tcPr>
            <w:tcW w:w="1134" w:type="dxa"/>
            <w:shd w:val="clear" w:color="auto" w:fill="auto"/>
            <w:vAlign w:val="center"/>
          </w:tcPr>
          <w:p>
            <w:pPr>
              <w:pStyle w:val="180"/>
              <w:widowControl w:val="0"/>
              <w:spacing w:line="252" w:lineRule="auto"/>
            </w:pPr>
            <w:r>
              <w:rPr>
                <w:rFonts w:hint="eastAsia"/>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喷淋塔运转过程是否存在跑冒漏滴</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3-6</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吸附装置是否已定期更换装填物并进行记录</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3-7</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燃烧装置脱附温度是否满足工艺设计要求</w:t>
            </w:r>
          </w:p>
        </w:tc>
        <w:tc>
          <w:tcPr>
            <w:tcW w:w="1134" w:type="dxa"/>
            <w:shd w:val="clear" w:color="auto" w:fill="auto"/>
            <w:vAlign w:val="center"/>
          </w:tcPr>
          <w:p>
            <w:pPr>
              <w:pStyle w:val="180"/>
              <w:widowControl w:val="0"/>
              <w:spacing w:line="252" w:lineRule="auto"/>
            </w:pPr>
            <w:r>
              <w:rPr>
                <w:rFonts w:hint="eastAsia"/>
              </w:rPr>
              <w:t>温感监控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3-8</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污染物排放浓度是否稳定达标</w:t>
            </w:r>
          </w:p>
        </w:tc>
        <w:tc>
          <w:tcPr>
            <w:tcW w:w="1134" w:type="dxa"/>
            <w:shd w:val="clear" w:color="auto" w:fill="auto"/>
            <w:vAlign w:val="center"/>
          </w:tcPr>
          <w:p>
            <w:pPr>
              <w:pStyle w:val="180"/>
              <w:widowControl w:val="0"/>
              <w:spacing w:line="252" w:lineRule="auto"/>
            </w:pPr>
            <w:r>
              <w:rPr>
                <w:rFonts w:hint="eastAsia"/>
              </w:rPr>
              <w:t>在线监测</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3-9</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废气采样口是否具备安全作业条件</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3-10</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废气处理前后采样孔是否在非采样状态下保持密闭</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3-11</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大气排放口标识牌是否已按规范设计悬挂</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4-1</w:t>
            </w:r>
          </w:p>
        </w:tc>
        <w:tc>
          <w:tcPr>
            <w:tcW w:w="851" w:type="dxa"/>
            <w:vMerge w:val="restart"/>
            <w:shd w:val="clear" w:color="auto" w:fill="auto"/>
            <w:vAlign w:val="center"/>
          </w:tcPr>
          <w:p>
            <w:pPr>
              <w:pStyle w:val="180"/>
            </w:pPr>
            <w:r>
              <w:rPr>
                <w:rFonts w:hint="eastAsia"/>
              </w:rPr>
              <w:t>水污染</w:t>
            </w:r>
          </w:p>
          <w:p>
            <w:pPr>
              <w:pStyle w:val="180"/>
            </w:pPr>
            <w:r>
              <w:rPr>
                <w:rFonts w:hint="eastAsia"/>
              </w:rPr>
              <w:t>集中治理设施</w:t>
            </w: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废气收集管线是否存在破损泄漏</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1次/生产日</w:t>
            </w:r>
          </w:p>
        </w:tc>
        <w:tc>
          <w:tcPr>
            <w:tcW w:w="859"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水污染治理设施是否运转正常，是否存在故障或因生产调整需要出现停用等情况</w:t>
            </w:r>
          </w:p>
        </w:tc>
        <w:tc>
          <w:tcPr>
            <w:tcW w:w="1134" w:type="dxa"/>
            <w:shd w:val="clear" w:color="auto" w:fill="auto"/>
            <w:vAlign w:val="center"/>
          </w:tcPr>
          <w:p>
            <w:pPr>
              <w:pStyle w:val="180"/>
              <w:widowControl w:val="0"/>
              <w:spacing w:line="252" w:lineRule="auto"/>
            </w:pPr>
            <w:r>
              <w:rPr>
                <w:rFonts w:hint="eastAsia"/>
              </w:rPr>
              <w:t>工况监控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水污染处理区域是否存在跑冒滴漏</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4-4</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水污染治理设施液位是否处于正常范围内</w:t>
            </w:r>
          </w:p>
        </w:tc>
        <w:tc>
          <w:tcPr>
            <w:tcW w:w="1134" w:type="dxa"/>
            <w:shd w:val="clear" w:color="auto" w:fill="auto"/>
            <w:vAlign w:val="center"/>
          </w:tcPr>
          <w:p>
            <w:pPr>
              <w:pStyle w:val="180"/>
              <w:widowControl w:val="0"/>
              <w:spacing w:line="252" w:lineRule="auto"/>
            </w:pPr>
            <w:r>
              <w:rPr>
                <w:rFonts w:hint="eastAsia"/>
              </w:rPr>
              <w:t>液位计量</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污泥压滤区域是否存在跑冒滴漏</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4-6</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污染物排放浓度是否稳定达标</w:t>
            </w:r>
          </w:p>
        </w:tc>
        <w:tc>
          <w:tcPr>
            <w:tcW w:w="1134" w:type="dxa"/>
            <w:shd w:val="clear" w:color="auto" w:fill="auto"/>
            <w:vAlign w:val="center"/>
          </w:tcPr>
          <w:p>
            <w:pPr>
              <w:pStyle w:val="180"/>
              <w:widowControl w:val="0"/>
              <w:spacing w:line="252" w:lineRule="auto"/>
            </w:pPr>
            <w:r>
              <w:rPr>
                <w:rFonts w:hint="eastAsia"/>
              </w:rPr>
              <w:t>在线监测</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4-7</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水污染治理设施各处理区域是否已张贴明晰标识</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4-8</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废水排放口标识牌是否已按规范设计悬挂</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5-1</w:t>
            </w:r>
          </w:p>
        </w:tc>
        <w:tc>
          <w:tcPr>
            <w:tcW w:w="851" w:type="dxa"/>
            <w:vMerge w:val="restart"/>
            <w:shd w:val="clear" w:color="auto" w:fill="auto"/>
            <w:vAlign w:val="center"/>
          </w:tcPr>
          <w:p>
            <w:pPr>
              <w:pStyle w:val="180"/>
            </w:pPr>
            <w:r>
              <w:rPr>
                <w:rFonts w:hint="eastAsia"/>
              </w:rPr>
              <w:t>一般固体废物贮存场所</w:t>
            </w: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是否已对一般固体废物分类分区存放及堆存过多</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2次/周</w:t>
            </w:r>
          </w:p>
        </w:tc>
        <w:tc>
          <w:tcPr>
            <w:tcW w:w="859"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5-2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一般固体废物贮存场所内是否混入危险废物</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5-3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一般固体废物贮存场所内是否存在积水、积尘</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5-4</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是否按规定设置并做好一般固体废物管理台账</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5-5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是否已制作悬挂一般固体废物贮存场提示标志</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6-1</w:t>
            </w:r>
          </w:p>
        </w:tc>
        <w:tc>
          <w:tcPr>
            <w:tcW w:w="851" w:type="dxa"/>
            <w:vMerge w:val="restart"/>
            <w:shd w:val="clear" w:color="auto" w:fill="auto"/>
            <w:vAlign w:val="center"/>
          </w:tcPr>
          <w:p>
            <w:pPr>
              <w:pStyle w:val="180"/>
            </w:pPr>
            <w:r>
              <w:rPr>
                <w:rFonts w:hint="eastAsia"/>
              </w:rPr>
              <w:t>危险废物</w:t>
            </w:r>
          </w:p>
          <w:p>
            <w:pPr>
              <w:pStyle w:val="180"/>
            </w:pPr>
            <w:r>
              <w:rPr>
                <w:rFonts w:hint="eastAsia"/>
              </w:rPr>
              <w:t>贮存场所</w:t>
            </w: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危险废物贮存场所内是否混入非危险废物及堆存过多</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2次/周</w:t>
            </w:r>
          </w:p>
        </w:tc>
        <w:tc>
          <w:tcPr>
            <w:tcW w:w="859"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6-2</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危险废物贮存场所内是否存在积水、积尘</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6-3</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危险废物的容器和包装物是否设置危险废物标签</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6-4</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危险废物是否分类分区存放</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6-5</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涉挥发性有机物的废弃物是否密闭储存</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6-6</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液态类危险废物是否放入密闭容器并配套截流措施</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6-7</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是否按规定设置并做好危险废物管理台账</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6-8</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转移危险废物过程是否如实填写、运行转移联单</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6-9</w:t>
            </w:r>
          </w:p>
        </w:tc>
        <w:tc>
          <w:tcPr>
            <w:tcW w:w="851" w:type="dxa"/>
            <w:vMerge w:val="continue"/>
            <w:shd w:val="clear" w:color="auto" w:fill="auto"/>
            <w:vAlign w:val="center"/>
          </w:tcPr>
          <w:p>
            <w:pPr>
              <w:pStyle w:val="180"/>
            </w:pPr>
          </w:p>
        </w:tc>
        <w:tc>
          <w:tcPr>
            <w:tcW w:w="4536" w:type="dxa"/>
            <w:gridSpan w:val="2"/>
            <w:shd w:val="clear" w:color="auto" w:fill="auto"/>
          </w:tcPr>
          <w:p>
            <w:pPr>
              <w:rPr>
                <w:rFonts w:ascii="宋体" w:hAnsi="Times New Roman"/>
                <w:kern w:val="0"/>
                <w:sz w:val="18"/>
                <w:szCs w:val="20"/>
              </w:rPr>
            </w:pPr>
            <w:r>
              <w:rPr>
                <w:rFonts w:hint="eastAsia" w:ascii="宋体" w:hAnsi="Times New Roman"/>
                <w:kern w:val="0"/>
                <w:sz w:val="18"/>
                <w:szCs w:val="20"/>
              </w:rPr>
              <w:t>是否已制作悬挂危险废物贮存场警告标志</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7-1</w:t>
            </w:r>
          </w:p>
        </w:tc>
        <w:tc>
          <w:tcPr>
            <w:tcW w:w="851" w:type="dxa"/>
            <w:vMerge w:val="restart"/>
            <w:shd w:val="clear" w:color="auto" w:fill="auto"/>
            <w:vAlign w:val="center"/>
          </w:tcPr>
          <w:p>
            <w:pPr>
              <w:pStyle w:val="180"/>
            </w:pPr>
            <w:r>
              <w:t>化学品</w:t>
            </w:r>
          </w:p>
          <w:p>
            <w:pPr>
              <w:pStyle w:val="180"/>
            </w:pPr>
            <w:r>
              <w:t>（原辅料）</w:t>
            </w:r>
          </w:p>
          <w:p>
            <w:pPr>
              <w:pStyle w:val="180"/>
            </w:pPr>
            <w:r>
              <w:t>贮存场所</w:t>
            </w: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是否对化学品（</w:t>
            </w:r>
            <w:r>
              <w:rPr>
                <w:rFonts w:ascii="宋体" w:hAnsi="Times New Roman"/>
                <w:kern w:val="0"/>
                <w:sz w:val="18"/>
                <w:szCs w:val="20"/>
              </w:rPr>
              <w:t>原辅料</w:t>
            </w:r>
            <w:r>
              <w:rPr>
                <w:rFonts w:hint="eastAsia" w:ascii="宋体" w:hAnsi="Times New Roman"/>
                <w:kern w:val="0"/>
                <w:sz w:val="18"/>
                <w:szCs w:val="20"/>
              </w:rPr>
              <w:t>）分类分区存放</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180"/>
              <w:widowControl w:val="0"/>
              <w:spacing w:line="252" w:lineRule="auto"/>
            </w:pPr>
            <w:r>
              <w:rPr>
                <w:rFonts w:hint="eastAsia"/>
              </w:rPr>
              <w:t>2次/周</w:t>
            </w:r>
          </w:p>
        </w:tc>
        <w:tc>
          <w:tcPr>
            <w:tcW w:w="859" w:type="dxa"/>
            <w:vMerge w:val="restart"/>
            <w:shd w:val="clear" w:color="auto" w:fill="auto"/>
            <w:vAlign w:val="center"/>
          </w:tcPr>
          <w:p>
            <w:pPr>
              <w:pStyle w:val="180"/>
              <w:widowControl w:val="0"/>
              <w:spacing w:line="252" w:lineRule="auto"/>
            </w:pPr>
            <w:r>
              <w:rPr>
                <w:rFonts w:hint="eastAsia"/>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7-2</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是否已对贮存化学品设置标识标签（安全周知卡）</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7-3</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化学品包装袋/桶是否存在破损泄漏</w:t>
            </w:r>
          </w:p>
        </w:tc>
        <w:tc>
          <w:tcPr>
            <w:tcW w:w="1134" w:type="dxa"/>
            <w:shd w:val="clear" w:color="auto" w:fill="auto"/>
            <w:vAlign w:val="center"/>
          </w:tcPr>
          <w:p>
            <w:pPr>
              <w:pStyle w:val="180"/>
              <w:widowControl w:val="0"/>
              <w:spacing w:line="252" w:lineRule="auto"/>
            </w:pPr>
            <w:r>
              <w:rPr>
                <w:rFonts w:hint="eastAsia"/>
              </w:rPr>
              <w:t>视频监控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7-4</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是否已配备充足应急物资</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7-5</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储罐管线/阀门是否存在破损泄漏</w:t>
            </w:r>
          </w:p>
        </w:tc>
        <w:tc>
          <w:tcPr>
            <w:tcW w:w="1134" w:type="dxa"/>
            <w:shd w:val="clear" w:color="auto" w:fill="auto"/>
            <w:vAlign w:val="center"/>
          </w:tcPr>
          <w:p>
            <w:pPr>
              <w:pStyle w:val="180"/>
              <w:widowControl w:val="0"/>
              <w:spacing w:line="252" w:lineRule="auto"/>
            </w:pPr>
            <w:r>
              <w:rPr>
                <w:rFonts w:hint="eastAsia"/>
              </w:rPr>
              <w:t>压差监控</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8-1</w:t>
            </w:r>
          </w:p>
        </w:tc>
        <w:tc>
          <w:tcPr>
            <w:tcW w:w="851" w:type="dxa"/>
            <w:vMerge w:val="restart"/>
            <w:shd w:val="clear" w:color="auto" w:fill="auto"/>
            <w:vAlign w:val="center"/>
          </w:tcPr>
          <w:p>
            <w:pPr>
              <w:pStyle w:val="180"/>
            </w:pPr>
            <w:r>
              <w:rPr>
                <w:rFonts w:hint="eastAsia"/>
              </w:rPr>
              <w:t>事故</w:t>
            </w:r>
          </w:p>
          <w:p>
            <w:pPr>
              <w:pStyle w:val="180"/>
            </w:pPr>
            <w:r>
              <w:rPr>
                <w:rFonts w:hint="eastAsia"/>
              </w:rPr>
              <w:t>应急池</w:t>
            </w: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水泵及阀门运转正常</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1次/周</w:t>
            </w:r>
          </w:p>
        </w:tc>
        <w:tc>
          <w:tcPr>
            <w:tcW w:w="859" w:type="dxa"/>
            <w:vMerge w:val="restart"/>
            <w:shd w:val="clear" w:color="auto" w:fill="auto"/>
            <w:vAlign w:val="center"/>
          </w:tcPr>
          <w:p>
            <w:pPr>
              <w:pStyle w:val="233"/>
              <w:jc w:val="center"/>
              <w:rPr>
                <w:rFonts w:ascii="宋体"/>
                <w:kern w:val="0"/>
                <w:sz w:val="18"/>
                <w:szCs w:val="20"/>
              </w:rPr>
            </w:pPr>
            <w:r>
              <w:rPr>
                <w:rFonts w:hint="eastAsia" w:ascii="宋体"/>
                <w:kern w:val="0"/>
                <w:sz w:val="18"/>
                <w:szCs w:val="20"/>
              </w:rPr>
              <w:t>管理机构</w:t>
            </w:r>
          </w:p>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8-3</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池内不存在积水未处理</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8-5</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事故废水导流管线/水泵是否配置充足且可正常使用</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9-1</w:t>
            </w:r>
          </w:p>
        </w:tc>
        <w:tc>
          <w:tcPr>
            <w:tcW w:w="851" w:type="dxa"/>
            <w:vMerge w:val="restart"/>
            <w:shd w:val="clear" w:color="auto" w:fill="auto"/>
            <w:vAlign w:val="center"/>
          </w:tcPr>
          <w:p>
            <w:pPr>
              <w:pStyle w:val="180"/>
            </w:pPr>
            <w:r>
              <w:rPr>
                <w:rFonts w:hint="eastAsia"/>
              </w:rPr>
              <w:t>雨水</w:t>
            </w:r>
          </w:p>
          <w:p>
            <w:pPr>
              <w:pStyle w:val="180"/>
            </w:pPr>
            <w:r>
              <w:rPr>
                <w:rFonts w:hint="eastAsia"/>
              </w:rPr>
              <w:t>排放口</w:t>
            </w: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雨水排放口截留措施是否正常</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restart"/>
            <w:shd w:val="clear" w:color="auto" w:fill="auto"/>
            <w:vAlign w:val="center"/>
          </w:tcPr>
          <w:p>
            <w:pPr>
              <w:pStyle w:val="180"/>
              <w:widowControl w:val="0"/>
              <w:spacing w:line="252" w:lineRule="auto"/>
            </w:pPr>
            <w:r>
              <w:rPr>
                <w:rFonts w:hint="eastAsia"/>
              </w:rPr>
              <w:t>1次/周</w:t>
            </w:r>
          </w:p>
        </w:tc>
        <w:tc>
          <w:tcPr>
            <w:tcW w:w="859" w:type="dxa"/>
            <w:vMerge w:val="restart"/>
            <w:shd w:val="clear" w:color="auto" w:fill="auto"/>
            <w:vAlign w:val="center"/>
          </w:tcPr>
          <w:p>
            <w:pPr>
              <w:pStyle w:val="180"/>
              <w:widowControl w:val="0"/>
              <w:spacing w:line="252" w:lineRule="auto"/>
            </w:pPr>
            <w:r>
              <w:rPr>
                <w:rFonts w:hint="eastAsia"/>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9-2</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雨水排放口是否有生活污水、生产废水混入排放</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80"/>
            </w:pPr>
            <w:r>
              <w:rPr>
                <w:rFonts w:hint="eastAsia"/>
              </w:rPr>
              <w:t>9-3</w:t>
            </w:r>
          </w:p>
        </w:tc>
        <w:tc>
          <w:tcPr>
            <w:tcW w:w="851" w:type="dxa"/>
            <w:vMerge w:val="continue"/>
            <w:shd w:val="clear" w:color="auto" w:fill="auto"/>
            <w:vAlign w:val="center"/>
          </w:tcPr>
          <w:p>
            <w:pPr>
              <w:pStyle w:val="180"/>
            </w:pPr>
          </w:p>
        </w:tc>
        <w:tc>
          <w:tcPr>
            <w:tcW w:w="4536" w:type="dxa"/>
            <w:gridSpan w:val="2"/>
            <w:shd w:val="clear" w:color="auto" w:fill="auto"/>
            <w:vAlign w:val="center"/>
          </w:tcPr>
          <w:p>
            <w:pPr>
              <w:spacing w:line="252" w:lineRule="auto"/>
              <w:jc w:val="left"/>
              <w:rPr>
                <w:rFonts w:ascii="宋体" w:hAnsi="Times New Roman"/>
                <w:kern w:val="0"/>
                <w:sz w:val="18"/>
                <w:szCs w:val="20"/>
              </w:rPr>
            </w:pPr>
            <w:r>
              <w:rPr>
                <w:rFonts w:hint="eastAsia" w:ascii="宋体" w:hAnsi="Times New Roman"/>
                <w:kern w:val="0"/>
                <w:sz w:val="18"/>
                <w:szCs w:val="20"/>
              </w:rPr>
              <w:t>雨水排放口标识牌是否已按规范设计悬挂</w:t>
            </w:r>
          </w:p>
        </w:tc>
        <w:tc>
          <w:tcPr>
            <w:tcW w:w="1134" w:type="dxa"/>
            <w:shd w:val="clear" w:color="auto" w:fill="auto"/>
            <w:vAlign w:val="center"/>
          </w:tcPr>
          <w:p>
            <w:pPr>
              <w:pStyle w:val="180"/>
              <w:widowControl w:val="0"/>
              <w:spacing w:line="252" w:lineRule="auto"/>
            </w:pPr>
            <w:r>
              <w:rPr>
                <w:rFonts w:hint="eastAsia"/>
              </w:rPr>
              <w:t>人工巡查</w:t>
            </w:r>
          </w:p>
        </w:tc>
        <w:tc>
          <w:tcPr>
            <w:tcW w:w="1417" w:type="dxa"/>
            <w:vMerge w:val="continue"/>
            <w:shd w:val="clear" w:color="auto" w:fill="auto"/>
            <w:vAlign w:val="center"/>
          </w:tcPr>
          <w:p>
            <w:pPr>
              <w:pStyle w:val="180"/>
            </w:pPr>
          </w:p>
        </w:tc>
        <w:tc>
          <w:tcPr>
            <w:tcW w:w="859" w:type="dxa"/>
            <w:vMerge w:val="continue"/>
            <w:shd w:val="clear" w:color="auto" w:fill="auto"/>
            <w:vAlign w:val="center"/>
          </w:tcPr>
          <w:p>
            <w:pPr>
              <w:pStyle w:val="180"/>
            </w:pPr>
          </w:p>
        </w:tc>
      </w:tr>
      <w:bookmarkEnd w:id="241"/>
    </w:tbl>
    <w:p>
      <w:pPr>
        <w:pStyle w:val="58"/>
        <w:ind w:firstLine="420"/>
      </w:pPr>
    </w:p>
    <w:p>
      <w:pPr>
        <w:pStyle w:val="58"/>
        <w:ind w:firstLine="0" w:firstLineChars="0"/>
        <w:sectPr>
          <w:pgSz w:w="11906" w:h="16838"/>
          <w:pgMar w:top="2410" w:right="1134" w:bottom="1134" w:left="1134" w:header="1418" w:footer="1134" w:gutter="284"/>
          <w:cols w:space="425" w:num="1"/>
          <w:formProt w:val="0"/>
          <w:docGrid w:linePitch="312" w:charSpace="0"/>
        </w:sectPr>
      </w:pPr>
      <w:bookmarkStart w:id="247" w:name="BookMark6"/>
    </w:p>
    <w:p>
      <w:pPr>
        <w:pStyle w:val="65"/>
        <w:spacing w:before="96" w:after="120"/>
      </w:pPr>
      <w:bookmarkStart w:id="248" w:name="_Toc111226109"/>
      <w:bookmarkStart w:id="249" w:name="_Toc107843017"/>
      <w:bookmarkStart w:id="250" w:name="_Toc107839024"/>
      <w:bookmarkStart w:id="251" w:name="_Toc107838447"/>
      <w:bookmarkStart w:id="252" w:name="_Toc109846133"/>
      <w:bookmarkStart w:id="253" w:name="_Toc113349302"/>
      <w:bookmarkStart w:id="254" w:name="_Toc113633552"/>
      <w:bookmarkStart w:id="255" w:name="_Toc112050541"/>
      <w:bookmarkStart w:id="256" w:name="_Toc109393273"/>
      <w:bookmarkStart w:id="257" w:name="_Toc112309341"/>
      <w:bookmarkStart w:id="258" w:name="_Toc109846122"/>
      <w:bookmarkStart w:id="259" w:name="_Toc112441256"/>
      <w:bookmarkStart w:id="260" w:name="_Toc111226142"/>
      <w:bookmarkStart w:id="261" w:name="_Toc113349541"/>
      <w:r>
        <w:rPr>
          <w:rFonts w:hint="eastAsia"/>
          <w:spacing w:val="105"/>
        </w:rPr>
        <w:t>参考文</w:t>
      </w:r>
      <w:r>
        <w:rPr>
          <w:rFonts w:hint="eastAsia"/>
        </w:rPr>
        <w:t>献</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58"/>
        <w:ind w:firstLine="420"/>
      </w:pPr>
      <w:r>
        <w:rPr>
          <w:rFonts w:hint="eastAsia"/>
        </w:rPr>
        <w:t>[1] 挥发性有机物治理实用手册 生态环境部 2020</w:t>
      </w:r>
    </w:p>
    <w:p>
      <w:pPr>
        <w:pStyle w:val="58"/>
        <w:ind w:firstLine="420"/>
      </w:pPr>
      <w:r>
        <w:rPr>
          <w:rFonts w:hint="eastAsia"/>
        </w:rPr>
        <w:t>[2] 挥发性有机物治理实用手册（第二版） 生态环境部 2021</w:t>
      </w:r>
    </w:p>
    <w:p>
      <w:pPr>
        <w:pStyle w:val="58"/>
        <w:ind w:firstLine="420"/>
      </w:pPr>
      <w:r>
        <w:rPr>
          <w:rFonts w:hint="eastAsia"/>
        </w:rPr>
        <w:t>[3] 广东省挥发性有机物治理设施运行管理技术规范（试行）</w:t>
      </w:r>
    </w:p>
    <w:p>
      <w:pPr>
        <w:pStyle w:val="58"/>
        <w:tabs>
          <w:tab w:val="left" w:pos="5790"/>
        </w:tabs>
        <w:ind w:firstLine="420"/>
      </w:pPr>
      <w:r>
        <w:rPr>
          <w:rFonts w:hint="eastAsia"/>
        </w:rPr>
        <w:t>[4]</w:t>
      </w:r>
      <w:r>
        <w:t xml:space="preserve"> 广东省家具制造行业挥发性有机物废气治理技术指南</w:t>
      </w:r>
      <w:r>
        <w:rPr>
          <w:rFonts w:hint="eastAsia"/>
        </w:rPr>
        <w:t xml:space="preserve"> 广东省环境保护厅 粤环[2014]116号</w:t>
      </w:r>
      <w:r>
        <w:tab/>
      </w:r>
    </w:p>
    <w:p>
      <w:pPr>
        <w:pStyle w:val="58"/>
        <w:ind w:firstLine="420"/>
      </w:pPr>
      <w:r>
        <w:rPr>
          <w:rFonts w:hint="eastAsia"/>
        </w:rPr>
        <w:t>[5] 中山市高标准厂房和工业大厦建设技术指引 中山市住房和城乡建设局 中建通[2022]87号</w:t>
      </w:r>
    </w:p>
    <w:bookmarkEnd w:id="247"/>
    <w:p>
      <w:pPr>
        <w:pStyle w:val="58"/>
        <w:ind w:firstLine="0" w:firstLineChars="0"/>
        <w:jc w:val="center"/>
      </w:pPr>
      <w:bookmarkStart w:id="262"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262"/>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28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1276" w:firstLine="0"/>
      </w:pPr>
      <w:rPr>
        <w:rFonts w:hint="eastAsia" w:ascii="黑体" w:eastAsia="黑体"/>
        <w:b w:val="0"/>
        <w:i w:val="0"/>
        <w:sz w:val="21"/>
      </w:rPr>
    </w:lvl>
    <w:lvl w:ilvl="4" w:tentative="0">
      <w:start w:val="1"/>
      <w:numFmt w:val="decimal"/>
      <w:pStyle w:val="96"/>
      <w:suff w:val="nothing"/>
      <w:lvlText w:val="%1%2.%3.%4.%5　"/>
      <w:lvlJc w:val="left"/>
      <w:pPr>
        <w:ind w:left="1701"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A3045C"/>
    <w:rsid w:val="0000040A"/>
    <w:rsid w:val="00000A94"/>
    <w:rsid w:val="00001972"/>
    <w:rsid w:val="00001D9A"/>
    <w:rsid w:val="0000379C"/>
    <w:rsid w:val="00007B3A"/>
    <w:rsid w:val="000107E0"/>
    <w:rsid w:val="00011FDE"/>
    <w:rsid w:val="0001210F"/>
    <w:rsid w:val="00012FFD"/>
    <w:rsid w:val="00014162"/>
    <w:rsid w:val="00014340"/>
    <w:rsid w:val="00015B96"/>
    <w:rsid w:val="00016A9C"/>
    <w:rsid w:val="000201C0"/>
    <w:rsid w:val="00020CFB"/>
    <w:rsid w:val="00022184"/>
    <w:rsid w:val="00022762"/>
    <w:rsid w:val="000238E0"/>
    <w:rsid w:val="000249DB"/>
    <w:rsid w:val="0002595E"/>
    <w:rsid w:val="000269FA"/>
    <w:rsid w:val="000303C3"/>
    <w:rsid w:val="000331D3"/>
    <w:rsid w:val="000346A5"/>
    <w:rsid w:val="000359C3"/>
    <w:rsid w:val="00035A7D"/>
    <w:rsid w:val="000365ED"/>
    <w:rsid w:val="0004249A"/>
    <w:rsid w:val="00043282"/>
    <w:rsid w:val="00044286"/>
    <w:rsid w:val="00045508"/>
    <w:rsid w:val="00047F28"/>
    <w:rsid w:val="000503AA"/>
    <w:rsid w:val="000506A1"/>
    <w:rsid w:val="000515DD"/>
    <w:rsid w:val="0005265A"/>
    <w:rsid w:val="00053330"/>
    <w:rsid w:val="000539DD"/>
    <w:rsid w:val="00053BD3"/>
    <w:rsid w:val="00054CFE"/>
    <w:rsid w:val="000556ED"/>
    <w:rsid w:val="00055FE2"/>
    <w:rsid w:val="0005616F"/>
    <w:rsid w:val="00060C2E"/>
    <w:rsid w:val="00061033"/>
    <w:rsid w:val="000619E9"/>
    <w:rsid w:val="000622D4"/>
    <w:rsid w:val="0006357D"/>
    <w:rsid w:val="00067F1E"/>
    <w:rsid w:val="00071CC0"/>
    <w:rsid w:val="00071CFC"/>
    <w:rsid w:val="00073C8C"/>
    <w:rsid w:val="000755CE"/>
    <w:rsid w:val="00077B64"/>
    <w:rsid w:val="00080A1C"/>
    <w:rsid w:val="00080BC7"/>
    <w:rsid w:val="00082317"/>
    <w:rsid w:val="00083D2C"/>
    <w:rsid w:val="00086AA1"/>
    <w:rsid w:val="00087A77"/>
    <w:rsid w:val="00090CA6"/>
    <w:rsid w:val="00092B1D"/>
    <w:rsid w:val="00092B8A"/>
    <w:rsid w:val="00092FB0"/>
    <w:rsid w:val="0009306C"/>
    <w:rsid w:val="000934C5"/>
    <w:rsid w:val="00093D25"/>
    <w:rsid w:val="00093DAB"/>
    <w:rsid w:val="00093FCA"/>
    <w:rsid w:val="00094D73"/>
    <w:rsid w:val="00096D63"/>
    <w:rsid w:val="000A0B60"/>
    <w:rsid w:val="000A0EB8"/>
    <w:rsid w:val="000A19FC"/>
    <w:rsid w:val="000A296B"/>
    <w:rsid w:val="000A7311"/>
    <w:rsid w:val="000B060F"/>
    <w:rsid w:val="000B1592"/>
    <w:rsid w:val="000B16FC"/>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28A"/>
    <w:rsid w:val="000E6FD7"/>
    <w:rsid w:val="000F06E1"/>
    <w:rsid w:val="000F0E3C"/>
    <w:rsid w:val="000F19D5"/>
    <w:rsid w:val="000F1A61"/>
    <w:rsid w:val="000F4050"/>
    <w:rsid w:val="000F4AEA"/>
    <w:rsid w:val="000F6397"/>
    <w:rsid w:val="000F67E9"/>
    <w:rsid w:val="000F7F86"/>
    <w:rsid w:val="00101C29"/>
    <w:rsid w:val="00104926"/>
    <w:rsid w:val="00112D64"/>
    <w:rsid w:val="001133EF"/>
    <w:rsid w:val="00113B1E"/>
    <w:rsid w:val="0011711C"/>
    <w:rsid w:val="00120379"/>
    <w:rsid w:val="00123E36"/>
    <w:rsid w:val="00124E4F"/>
    <w:rsid w:val="001260B7"/>
    <w:rsid w:val="001265CB"/>
    <w:rsid w:val="001310A9"/>
    <w:rsid w:val="00131AA0"/>
    <w:rsid w:val="001321C6"/>
    <w:rsid w:val="00132373"/>
    <w:rsid w:val="001325C4"/>
    <w:rsid w:val="00132980"/>
    <w:rsid w:val="00133010"/>
    <w:rsid w:val="001338EE"/>
    <w:rsid w:val="00133AAE"/>
    <w:rsid w:val="00135323"/>
    <w:rsid w:val="001356C4"/>
    <w:rsid w:val="0013620D"/>
    <w:rsid w:val="001374A7"/>
    <w:rsid w:val="00137565"/>
    <w:rsid w:val="00141114"/>
    <w:rsid w:val="00142969"/>
    <w:rsid w:val="00143C98"/>
    <w:rsid w:val="001446C2"/>
    <w:rsid w:val="001457E7"/>
    <w:rsid w:val="00145D9D"/>
    <w:rsid w:val="00146388"/>
    <w:rsid w:val="001529E5"/>
    <w:rsid w:val="00152FB3"/>
    <w:rsid w:val="00153C7E"/>
    <w:rsid w:val="00156B25"/>
    <w:rsid w:val="00156E1A"/>
    <w:rsid w:val="00157894"/>
    <w:rsid w:val="00157B55"/>
    <w:rsid w:val="00161629"/>
    <w:rsid w:val="00162E7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9F9"/>
    <w:rsid w:val="001852C9"/>
    <w:rsid w:val="00187A0B"/>
    <w:rsid w:val="00190087"/>
    <w:rsid w:val="0019134D"/>
    <w:rsid w:val="001913C4"/>
    <w:rsid w:val="0019348F"/>
    <w:rsid w:val="00193A07"/>
    <w:rsid w:val="00194C95"/>
    <w:rsid w:val="00195C34"/>
    <w:rsid w:val="00196EF5"/>
    <w:rsid w:val="001A1A53"/>
    <w:rsid w:val="001A234A"/>
    <w:rsid w:val="001A4CF3"/>
    <w:rsid w:val="001A6696"/>
    <w:rsid w:val="001A6760"/>
    <w:rsid w:val="001B06E8"/>
    <w:rsid w:val="001B6F89"/>
    <w:rsid w:val="001B71D0"/>
    <w:rsid w:val="001B71EE"/>
    <w:rsid w:val="001C04A8"/>
    <w:rsid w:val="001C2C03"/>
    <w:rsid w:val="001C42F7"/>
    <w:rsid w:val="001C49E5"/>
    <w:rsid w:val="001C680C"/>
    <w:rsid w:val="001C7501"/>
    <w:rsid w:val="001C7FEA"/>
    <w:rsid w:val="001D0499"/>
    <w:rsid w:val="001D0BBE"/>
    <w:rsid w:val="001D0ED4"/>
    <w:rsid w:val="001D212F"/>
    <w:rsid w:val="001D29D7"/>
    <w:rsid w:val="001D2DE7"/>
    <w:rsid w:val="001D3136"/>
    <w:rsid w:val="001D411C"/>
    <w:rsid w:val="001D4206"/>
    <w:rsid w:val="001E1B6A"/>
    <w:rsid w:val="001E2484"/>
    <w:rsid w:val="001E2551"/>
    <w:rsid w:val="001E3CC4"/>
    <w:rsid w:val="001E4882"/>
    <w:rsid w:val="001E73AB"/>
    <w:rsid w:val="001F0828"/>
    <w:rsid w:val="001F092D"/>
    <w:rsid w:val="001F143A"/>
    <w:rsid w:val="001F1605"/>
    <w:rsid w:val="001F2508"/>
    <w:rsid w:val="001F2C7B"/>
    <w:rsid w:val="001F4816"/>
    <w:rsid w:val="001F67CB"/>
    <w:rsid w:val="001F69B4"/>
    <w:rsid w:val="001F77C7"/>
    <w:rsid w:val="00200183"/>
    <w:rsid w:val="00200333"/>
    <w:rsid w:val="0020107D"/>
    <w:rsid w:val="00202AA4"/>
    <w:rsid w:val="002031F7"/>
    <w:rsid w:val="002040E6"/>
    <w:rsid w:val="0020527B"/>
    <w:rsid w:val="00205F2C"/>
    <w:rsid w:val="00210B15"/>
    <w:rsid w:val="002142EA"/>
    <w:rsid w:val="00215ADD"/>
    <w:rsid w:val="00216C0F"/>
    <w:rsid w:val="002204BB"/>
    <w:rsid w:val="002218E6"/>
    <w:rsid w:val="00221B79"/>
    <w:rsid w:val="00221C6B"/>
    <w:rsid w:val="002253A1"/>
    <w:rsid w:val="00225CF8"/>
    <w:rsid w:val="0022794E"/>
    <w:rsid w:val="00233D64"/>
    <w:rsid w:val="0023482A"/>
    <w:rsid w:val="0023545E"/>
    <w:rsid w:val="002359CB"/>
    <w:rsid w:val="0023738A"/>
    <w:rsid w:val="00243540"/>
    <w:rsid w:val="0024497B"/>
    <w:rsid w:val="0024515B"/>
    <w:rsid w:val="00246021"/>
    <w:rsid w:val="0024666E"/>
    <w:rsid w:val="00247F52"/>
    <w:rsid w:val="00250B25"/>
    <w:rsid w:val="00250BBE"/>
    <w:rsid w:val="002515C2"/>
    <w:rsid w:val="0025194F"/>
    <w:rsid w:val="00252B6A"/>
    <w:rsid w:val="0026148A"/>
    <w:rsid w:val="00262696"/>
    <w:rsid w:val="00263D25"/>
    <w:rsid w:val="002643C3"/>
    <w:rsid w:val="00264A0C"/>
    <w:rsid w:val="0026576B"/>
    <w:rsid w:val="00266EEB"/>
    <w:rsid w:val="00267EF4"/>
    <w:rsid w:val="00270CB8"/>
    <w:rsid w:val="00272B08"/>
    <w:rsid w:val="00281BB8"/>
    <w:rsid w:val="00281E9E"/>
    <w:rsid w:val="00282405"/>
    <w:rsid w:val="00283F25"/>
    <w:rsid w:val="00285170"/>
    <w:rsid w:val="00285361"/>
    <w:rsid w:val="0029231A"/>
    <w:rsid w:val="00292B7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85"/>
    <w:rsid w:val="002A6F11"/>
    <w:rsid w:val="002A757F"/>
    <w:rsid w:val="002A7F44"/>
    <w:rsid w:val="002B0C40"/>
    <w:rsid w:val="002B1966"/>
    <w:rsid w:val="002B3426"/>
    <w:rsid w:val="002B4508"/>
    <w:rsid w:val="002B4BAC"/>
    <w:rsid w:val="002B5779"/>
    <w:rsid w:val="002B6AA7"/>
    <w:rsid w:val="002B7332"/>
    <w:rsid w:val="002B7F51"/>
    <w:rsid w:val="002C09E7"/>
    <w:rsid w:val="002C1E06"/>
    <w:rsid w:val="002C3F07"/>
    <w:rsid w:val="002C5278"/>
    <w:rsid w:val="002C7EBB"/>
    <w:rsid w:val="002D06C1"/>
    <w:rsid w:val="002D1698"/>
    <w:rsid w:val="002D42B5"/>
    <w:rsid w:val="002D4F1A"/>
    <w:rsid w:val="002D6EC6"/>
    <w:rsid w:val="002D79AC"/>
    <w:rsid w:val="002E039D"/>
    <w:rsid w:val="002E1276"/>
    <w:rsid w:val="002E4D5A"/>
    <w:rsid w:val="002E6326"/>
    <w:rsid w:val="002F20E1"/>
    <w:rsid w:val="002F30E0"/>
    <w:rsid w:val="002F35E4"/>
    <w:rsid w:val="002F3730"/>
    <w:rsid w:val="002F38E1"/>
    <w:rsid w:val="002F7AF6"/>
    <w:rsid w:val="00300E63"/>
    <w:rsid w:val="0030159F"/>
    <w:rsid w:val="00302F5F"/>
    <w:rsid w:val="0030441D"/>
    <w:rsid w:val="00306063"/>
    <w:rsid w:val="003061B0"/>
    <w:rsid w:val="00311305"/>
    <w:rsid w:val="00313B85"/>
    <w:rsid w:val="00317988"/>
    <w:rsid w:val="003221B4"/>
    <w:rsid w:val="0032258D"/>
    <w:rsid w:val="00322E62"/>
    <w:rsid w:val="00324D13"/>
    <w:rsid w:val="00324EDD"/>
    <w:rsid w:val="003260CF"/>
    <w:rsid w:val="003331E4"/>
    <w:rsid w:val="00336C64"/>
    <w:rsid w:val="00337162"/>
    <w:rsid w:val="00341241"/>
    <w:rsid w:val="0034194F"/>
    <w:rsid w:val="00344605"/>
    <w:rsid w:val="003474AA"/>
    <w:rsid w:val="00350D1D"/>
    <w:rsid w:val="00352C83"/>
    <w:rsid w:val="00352F1A"/>
    <w:rsid w:val="0035444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234"/>
    <w:rsid w:val="003903D6"/>
    <w:rsid w:val="00390EE6"/>
    <w:rsid w:val="0039118F"/>
    <w:rsid w:val="00392AD7"/>
    <w:rsid w:val="003938D9"/>
    <w:rsid w:val="00394376"/>
    <w:rsid w:val="003943FF"/>
    <w:rsid w:val="003974EB"/>
    <w:rsid w:val="00397CC5"/>
    <w:rsid w:val="003A1582"/>
    <w:rsid w:val="003A15EB"/>
    <w:rsid w:val="003A3305"/>
    <w:rsid w:val="003A333E"/>
    <w:rsid w:val="003A3D9C"/>
    <w:rsid w:val="003A4077"/>
    <w:rsid w:val="003A4AA7"/>
    <w:rsid w:val="003B09AD"/>
    <w:rsid w:val="003B171E"/>
    <w:rsid w:val="003B1F18"/>
    <w:rsid w:val="003B5BF0"/>
    <w:rsid w:val="003B60BF"/>
    <w:rsid w:val="003B6BE3"/>
    <w:rsid w:val="003B79F2"/>
    <w:rsid w:val="003C010C"/>
    <w:rsid w:val="003C0A6C"/>
    <w:rsid w:val="003C14F8"/>
    <w:rsid w:val="003C2C51"/>
    <w:rsid w:val="003C5A43"/>
    <w:rsid w:val="003D0519"/>
    <w:rsid w:val="003D0FF6"/>
    <w:rsid w:val="003D246A"/>
    <w:rsid w:val="003D262C"/>
    <w:rsid w:val="003D2CB9"/>
    <w:rsid w:val="003D6D61"/>
    <w:rsid w:val="003E063C"/>
    <w:rsid w:val="003E091D"/>
    <w:rsid w:val="003E1C53"/>
    <w:rsid w:val="003E2A16"/>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AED"/>
    <w:rsid w:val="00406551"/>
    <w:rsid w:val="00407D39"/>
    <w:rsid w:val="004125A5"/>
    <w:rsid w:val="00413148"/>
    <w:rsid w:val="004143F7"/>
    <w:rsid w:val="0041477A"/>
    <w:rsid w:val="004167A3"/>
    <w:rsid w:val="004204E3"/>
    <w:rsid w:val="004234CE"/>
    <w:rsid w:val="00432DAA"/>
    <w:rsid w:val="004330F2"/>
    <w:rsid w:val="00434305"/>
    <w:rsid w:val="00435DF7"/>
    <w:rsid w:val="0044083F"/>
    <w:rsid w:val="00441AE7"/>
    <w:rsid w:val="0044366B"/>
    <w:rsid w:val="0044398F"/>
    <w:rsid w:val="00445574"/>
    <w:rsid w:val="004467FB"/>
    <w:rsid w:val="00452D6B"/>
    <w:rsid w:val="004537FA"/>
    <w:rsid w:val="00454484"/>
    <w:rsid w:val="0045517B"/>
    <w:rsid w:val="004562B8"/>
    <w:rsid w:val="004611C2"/>
    <w:rsid w:val="00463B77"/>
    <w:rsid w:val="00463C7B"/>
    <w:rsid w:val="004644A6"/>
    <w:rsid w:val="004659BD"/>
    <w:rsid w:val="00467984"/>
    <w:rsid w:val="00470775"/>
    <w:rsid w:val="004746B1"/>
    <w:rsid w:val="0047583F"/>
    <w:rsid w:val="00475DE8"/>
    <w:rsid w:val="00477E98"/>
    <w:rsid w:val="00481C44"/>
    <w:rsid w:val="00484936"/>
    <w:rsid w:val="00485C89"/>
    <w:rsid w:val="0048648E"/>
    <w:rsid w:val="00486BE3"/>
    <w:rsid w:val="00487066"/>
    <w:rsid w:val="004905E4"/>
    <w:rsid w:val="00490A89"/>
    <w:rsid w:val="00490AB4"/>
    <w:rsid w:val="00491002"/>
    <w:rsid w:val="00492F02"/>
    <w:rsid w:val="004939AE"/>
    <w:rsid w:val="00495318"/>
    <w:rsid w:val="00495500"/>
    <w:rsid w:val="004A12DF"/>
    <w:rsid w:val="004A1BA8"/>
    <w:rsid w:val="004A4B57"/>
    <w:rsid w:val="004A63FA"/>
    <w:rsid w:val="004A6A3D"/>
    <w:rsid w:val="004B0272"/>
    <w:rsid w:val="004B1B0C"/>
    <w:rsid w:val="004B2701"/>
    <w:rsid w:val="004B2E1B"/>
    <w:rsid w:val="004B3AA8"/>
    <w:rsid w:val="004B3E93"/>
    <w:rsid w:val="004C1FBC"/>
    <w:rsid w:val="004C25A2"/>
    <w:rsid w:val="004C3F1D"/>
    <w:rsid w:val="004C3FCB"/>
    <w:rsid w:val="004C458D"/>
    <w:rsid w:val="004C4FB6"/>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17F"/>
    <w:rsid w:val="005073F0"/>
    <w:rsid w:val="00507BAE"/>
    <w:rsid w:val="00510A7B"/>
    <w:rsid w:val="00512F6E"/>
    <w:rsid w:val="00513038"/>
    <w:rsid w:val="00514174"/>
    <w:rsid w:val="00516088"/>
    <w:rsid w:val="00516B0B"/>
    <w:rsid w:val="00517A95"/>
    <w:rsid w:val="005220EC"/>
    <w:rsid w:val="00523F95"/>
    <w:rsid w:val="00524D65"/>
    <w:rsid w:val="00525B16"/>
    <w:rsid w:val="005260B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0A7"/>
    <w:rsid w:val="00561475"/>
    <w:rsid w:val="00562308"/>
    <w:rsid w:val="0056487B"/>
    <w:rsid w:val="00564FB9"/>
    <w:rsid w:val="00573D9E"/>
    <w:rsid w:val="005801E3"/>
    <w:rsid w:val="005813ED"/>
    <w:rsid w:val="00581802"/>
    <w:rsid w:val="005836A8"/>
    <w:rsid w:val="0058409C"/>
    <w:rsid w:val="00584262"/>
    <w:rsid w:val="005846D8"/>
    <w:rsid w:val="00586630"/>
    <w:rsid w:val="00587ADD"/>
    <w:rsid w:val="00593A49"/>
    <w:rsid w:val="00595AE1"/>
    <w:rsid w:val="00596160"/>
    <w:rsid w:val="005966E2"/>
    <w:rsid w:val="00597007"/>
    <w:rsid w:val="005A0966"/>
    <w:rsid w:val="005A11B7"/>
    <w:rsid w:val="005A260B"/>
    <w:rsid w:val="005A4A1B"/>
    <w:rsid w:val="005A4A9D"/>
    <w:rsid w:val="005A7830"/>
    <w:rsid w:val="005A7FCE"/>
    <w:rsid w:val="005B0F3F"/>
    <w:rsid w:val="005B191C"/>
    <w:rsid w:val="005B1DF4"/>
    <w:rsid w:val="005B4903"/>
    <w:rsid w:val="005B51CE"/>
    <w:rsid w:val="005B5885"/>
    <w:rsid w:val="005B5CD7"/>
    <w:rsid w:val="005B6194"/>
    <w:rsid w:val="005B6CF6"/>
    <w:rsid w:val="005B7422"/>
    <w:rsid w:val="005B7B9F"/>
    <w:rsid w:val="005C1858"/>
    <w:rsid w:val="005C2740"/>
    <w:rsid w:val="005C29B8"/>
    <w:rsid w:val="005C5F21"/>
    <w:rsid w:val="005C6409"/>
    <w:rsid w:val="005C7156"/>
    <w:rsid w:val="005D0C75"/>
    <w:rsid w:val="005D4171"/>
    <w:rsid w:val="005D5C8F"/>
    <w:rsid w:val="005D6A95"/>
    <w:rsid w:val="005D6B2C"/>
    <w:rsid w:val="005D6D9C"/>
    <w:rsid w:val="005E136A"/>
    <w:rsid w:val="005E1D99"/>
    <w:rsid w:val="005E2335"/>
    <w:rsid w:val="005E34CA"/>
    <w:rsid w:val="005E3C18"/>
    <w:rsid w:val="005E4250"/>
    <w:rsid w:val="005E620E"/>
    <w:rsid w:val="005E6812"/>
    <w:rsid w:val="005E6969"/>
    <w:rsid w:val="005E7881"/>
    <w:rsid w:val="005E78E0"/>
    <w:rsid w:val="005F0BFC"/>
    <w:rsid w:val="005F0D9C"/>
    <w:rsid w:val="005F284E"/>
    <w:rsid w:val="005F6FA7"/>
    <w:rsid w:val="006015CE"/>
    <w:rsid w:val="00604784"/>
    <w:rsid w:val="0060579B"/>
    <w:rsid w:val="00606419"/>
    <w:rsid w:val="00607D29"/>
    <w:rsid w:val="00610ACE"/>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9D1"/>
    <w:rsid w:val="00651ACB"/>
    <w:rsid w:val="00651C47"/>
    <w:rsid w:val="00652AB2"/>
    <w:rsid w:val="00653FED"/>
    <w:rsid w:val="00654EC0"/>
    <w:rsid w:val="0065525B"/>
    <w:rsid w:val="00655D4F"/>
    <w:rsid w:val="00656D29"/>
    <w:rsid w:val="00662767"/>
    <w:rsid w:val="006640E5"/>
    <w:rsid w:val="006646F1"/>
    <w:rsid w:val="00664929"/>
    <w:rsid w:val="00664F62"/>
    <w:rsid w:val="006655E1"/>
    <w:rsid w:val="00666A4C"/>
    <w:rsid w:val="00672060"/>
    <w:rsid w:val="00672BFD"/>
    <w:rsid w:val="006770F4"/>
    <w:rsid w:val="00677A84"/>
    <w:rsid w:val="0068026D"/>
    <w:rsid w:val="00680A27"/>
    <w:rsid w:val="006816A4"/>
    <w:rsid w:val="006819B8"/>
    <w:rsid w:val="006840A6"/>
    <w:rsid w:val="006850CD"/>
    <w:rsid w:val="00685AAB"/>
    <w:rsid w:val="006966F1"/>
    <w:rsid w:val="006A07AA"/>
    <w:rsid w:val="006A25E5"/>
    <w:rsid w:val="006A2B46"/>
    <w:rsid w:val="006A336D"/>
    <w:rsid w:val="006A37B9"/>
    <w:rsid w:val="006A6712"/>
    <w:rsid w:val="006B2672"/>
    <w:rsid w:val="006B54BF"/>
    <w:rsid w:val="006B5F44"/>
    <w:rsid w:val="006B5F90"/>
    <w:rsid w:val="006B62E4"/>
    <w:rsid w:val="006C1BBA"/>
    <w:rsid w:val="006C2079"/>
    <w:rsid w:val="006C5A62"/>
    <w:rsid w:val="006C5D68"/>
    <w:rsid w:val="006C6976"/>
    <w:rsid w:val="006C6DD0"/>
    <w:rsid w:val="006C7BC5"/>
    <w:rsid w:val="006D04EA"/>
    <w:rsid w:val="006D16C4"/>
    <w:rsid w:val="006D3E96"/>
    <w:rsid w:val="006D4433"/>
    <w:rsid w:val="006D4515"/>
    <w:rsid w:val="006D4BB1"/>
    <w:rsid w:val="006D6593"/>
    <w:rsid w:val="006E1485"/>
    <w:rsid w:val="006E39B1"/>
    <w:rsid w:val="006F03A8"/>
    <w:rsid w:val="006F2ACA"/>
    <w:rsid w:val="006F2ADC"/>
    <w:rsid w:val="006F2BFE"/>
    <w:rsid w:val="006F31E9"/>
    <w:rsid w:val="006F6284"/>
    <w:rsid w:val="007002C5"/>
    <w:rsid w:val="007008F6"/>
    <w:rsid w:val="00703299"/>
    <w:rsid w:val="00704387"/>
    <w:rsid w:val="00707669"/>
    <w:rsid w:val="00711CBA"/>
    <w:rsid w:val="00711FB5"/>
    <w:rsid w:val="00712A01"/>
    <w:rsid w:val="00714F58"/>
    <w:rsid w:val="00722FBF"/>
    <w:rsid w:val="00722FC2"/>
    <w:rsid w:val="00724B6B"/>
    <w:rsid w:val="00724E1B"/>
    <w:rsid w:val="00725949"/>
    <w:rsid w:val="00727FA2"/>
    <w:rsid w:val="007318B2"/>
    <w:rsid w:val="007322D9"/>
    <w:rsid w:val="00732BC0"/>
    <w:rsid w:val="007341A0"/>
    <w:rsid w:val="007350B1"/>
    <w:rsid w:val="00735101"/>
    <w:rsid w:val="0073720F"/>
    <w:rsid w:val="00737796"/>
    <w:rsid w:val="00740BCD"/>
    <w:rsid w:val="0074165C"/>
    <w:rsid w:val="00742C35"/>
    <w:rsid w:val="007432CA"/>
    <w:rsid w:val="007439EB"/>
    <w:rsid w:val="00743CB4"/>
    <w:rsid w:val="00743F0A"/>
    <w:rsid w:val="007444E8"/>
    <w:rsid w:val="0074548E"/>
    <w:rsid w:val="00745773"/>
    <w:rsid w:val="00746701"/>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875"/>
    <w:rsid w:val="0078114B"/>
    <w:rsid w:val="00781DD2"/>
    <w:rsid w:val="00783ECF"/>
    <w:rsid w:val="0078413A"/>
    <w:rsid w:val="0078651F"/>
    <w:rsid w:val="00787CAC"/>
    <w:rsid w:val="007959E8"/>
    <w:rsid w:val="00795D25"/>
    <w:rsid w:val="00795E9C"/>
    <w:rsid w:val="00797197"/>
    <w:rsid w:val="007A0521"/>
    <w:rsid w:val="007A2E12"/>
    <w:rsid w:val="007A3475"/>
    <w:rsid w:val="007A41C8"/>
    <w:rsid w:val="007A54CE"/>
    <w:rsid w:val="007A6FD9"/>
    <w:rsid w:val="007A7FFA"/>
    <w:rsid w:val="007B04EB"/>
    <w:rsid w:val="007B0C23"/>
    <w:rsid w:val="007B0D4F"/>
    <w:rsid w:val="007B1C05"/>
    <w:rsid w:val="007B322F"/>
    <w:rsid w:val="007B5A3D"/>
    <w:rsid w:val="007B5B95"/>
    <w:rsid w:val="007B6032"/>
    <w:rsid w:val="007B68EA"/>
    <w:rsid w:val="007B7453"/>
    <w:rsid w:val="007C2D89"/>
    <w:rsid w:val="007C4593"/>
    <w:rsid w:val="007C5309"/>
    <w:rsid w:val="007C6069"/>
    <w:rsid w:val="007D06C4"/>
    <w:rsid w:val="007D1352"/>
    <w:rsid w:val="007D2508"/>
    <w:rsid w:val="007D2798"/>
    <w:rsid w:val="007D346A"/>
    <w:rsid w:val="007D54E9"/>
    <w:rsid w:val="007D6518"/>
    <w:rsid w:val="007D76BD"/>
    <w:rsid w:val="007E0BF1"/>
    <w:rsid w:val="007E514A"/>
    <w:rsid w:val="007E5727"/>
    <w:rsid w:val="007F0348"/>
    <w:rsid w:val="007F0ED8"/>
    <w:rsid w:val="007F0F63"/>
    <w:rsid w:val="007F75CE"/>
    <w:rsid w:val="008013A4"/>
    <w:rsid w:val="00802711"/>
    <w:rsid w:val="008027CE"/>
    <w:rsid w:val="00802F42"/>
    <w:rsid w:val="00804383"/>
    <w:rsid w:val="00804BB7"/>
    <w:rsid w:val="00804D41"/>
    <w:rsid w:val="00806CC0"/>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60B"/>
    <w:rsid w:val="008269DD"/>
    <w:rsid w:val="00830621"/>
    <w:rsid w:val="008309C0"/>
    <w:rsid w:val="0083241E"/>
    <w:rsid w:val="0083348C"/>
    <w:rsid w:val="008373D3"/>
    <w:rsid w:val="00840617"/>
    <w:rsid w:val="00840F84"/>
    <w:rsid w:val="00842A47"/>
    <w:rsid w:val="00843C13"/>
    <w:rsid w:val="008454F8"/>
    <w:rsid w:val="0085173A"/>
    <w:rsid w:val="0085302D"/>
    <w:rsid w:val="00855648"/>
    <w:rsid w:val="008603CE"/>
    <w:rsid w:val="008620FC"/>
    <w:rsid w:val="008627A5"/>
    <w:rsid w:val="00863E05"/>
    <w:rsid w:val="00865ACA"/>
    <w:rsid w:val="00865D28"/>
    <w:rsid w:val="00865F85"/>
    <w:rsid w:val="00866865"/>
    <w:rsid w:val="00867C10"/>
    <w:rsid w:val="00870439"/>
    <w:rsid w:val="00870DA1"/>
    <w:rsid w:val="00883F93"/>
    <w:rsid w:val="00884DB3"/>
    <w:rsid w:val="00885A9D"/>
    <w:rsid w:val="008864F6"/>
    <w:rsid w:val="0089049D"/>
    <w:rsid w:val="00890ED1"/>
    <w:rsid w:val="008928C9"/>
    <w:rsid w:val="008930CB"/>
    <w:rsid w:val="008938DC"/>
    <w:rsid w:val="00893FD1"/>
    <w:rsid w:val="00894836"/>
    <w:rsid w:val="00894D80"/>
    <w:rsid w:val="00895172"/>
    <w:rsid w:val="00895680"/>
    <w:rsid w:val="00896DFF"/>
    <w:rsid w:val="0089762C"/>
    <w:rsid w:val="008A173B"/>
    <w:rsid w:val="008A1893"/>
    <w:rsid w:val="008A1F6C"/>
    <w:rsid w:val="008A57E6"/>
    <w:rsid w:val="008A6F81"/>
    <w:rsid w:val="008A769A"/>
    <w:rsid w:val="008B0359"/>
    <w:rsid w:val="008B0C9C"/>
    <w:rsid w:val="008B166D"/>
    <w:rsid w:val="008B17F4"/>
    <w:rsid w:val="008B3615"/>
    <w:rsid w:val="008B4AC4"/>
    <w:rsid w:val="008B50C8"/>
    <w:rsid w:val="008B5281"/>
    <w:rsid w:val="008B7E05"/>
    <w:rsid w:val="008C1797"/>
    <w:rsid w:val="008C219C"/>
    <w:rsid w:val="008C3FF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862"/>
    <w:rsid w:val="008E4BB6"/>
    <w:rsid w:val="008E5518"/>
    <w:rsid w:val="008E6A84"/>
    <w:rsid w:val="008F03AB"/>
    <w:rsid w:val="008F0876"/>
    <w:rsid w:val="008F0CDC"/>
    <w:rsid w:val="008F12C2"/>
    <w:rsid w:val="008F17A3"/>
    <w:rsid w:val="008F1B51"/>
    <w:rsid w:val="008F1ED3"/>
    <w:rsid w:val="008F2AEF"/>
    <w:rsid w:val="008F42D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96B"/>
    <w:rsid w:val="009378DD"/>
    <w:rsid w:val="009429D5"/>
    <w:rsid w:val="00942BF1"/>
    <w:rsid w:val="009450EF"/>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580"/>
    <w:rsid w:val="009809BB"/>
    <w:rsid w:val="0098364B"/>
    <w:rsid w:val="0098616D"/>
    <w:rsid w:val="009901F6"/>
    <w:rsid w:val="009908A3"/>
    <w:rsid w:val="009911AF"/>
    <w:rsid w:val="00991875"/>
    <w:rsid w:val="00991F92"/>
    <w:rsid w:val="00992985"/>
    <w:rsid w:val="00993889"/>
    <w:rsid w:val="0099551B"/>
    <w:rsid w:val="00996BD2"/>
    <w:rsid w:val="00997B5B"/>
    <w:rsid w:val="00997BF1"/>
    <w:rsid w:val="009A089C"/>
    <w:rsid w:val="009A118E"/>
    <w:rsid w:val="009A21CD"/>
    <w:rsid w:val="009A278C"/>
    <w:rsid w:val="009A2BC2"/>
    <w:rsid w:val="009A42C1"/>
    <w:rsid w:val="009A5429"/>
    <w:rsid w:val="009A72AD"/>
    <w:rsid w:val="009B09E0"/>
    <w:rsid w:val="009B0BC5"/>
    <w:rsid w:val="009B1247"/>
    <w:rsid w:val="009B5990"/>
    <w:rsid w:val="009B6029"/>
    <w:rsid w:val="009B6971"/>
    <w:rsid w:val="009B69D1"/>
    <w:rsid w:val="009C06E8"/>
    <w:rsid w:val="009C27F1"/>
    <w:rsid w:val="009C3152"/>
    <w:rsid w:val="009C3257"/>
    <w:rsid w:val="009C4CFA"/>
    <w:rsid w:val="009C5070"/>
    <w:rsid w:val="009D112C"/>
    <w:rsid w:val="009D12CB"/>
    <w:rsid w:val="009D1385"/>
    <w:rsid w:val="009D47FA"/>
    <w:rsid w:val="009D4C5B"/>
    <w:rsid w:val="009D50D2"/>
    <w:rsid w:val="009D6BCA"/>
    <w:rsid w:val="009E0F62"/>
    <w:rsid w:val="009E4A58"/>
    <w:rsid w:val="009E4BCC"/>
    <w:rsid w:val="009E5A2D"/>
    <w:rsid w:val="009E5AB2"/>
    <w:rsid w:val="009E6219"/>
    <w:rsid w:val="009F03B3"/>
    <w:rsid w:val="00A0096C"/>
    <w:rsid w:val="00A01757"/>
    <w:rsid w:val="00A028C0"/>
    <w:rsid w:val="00A02904"/>
    <w:rsid w:val="00A02BAE"/>
    <w:rsid w:val="00A06A6B"/>
    <w:rsid w:val="00A07E47"/>
    <w:rsid w:val="00A129D0"/>
    <w:rsid w:val="00A12C33"/>
    <w:rsid w:val="00A138BA"/>
    <w:rsid w:val="00A14C8E"/>
    <w:rsid w:val="00A153D9"/>
    <w:rsid w:val="00A15F09"/>
    <w:rsid w:val="00A169B6"/>
    <w:rsid w:val="00A2271D"/>
    <w:rsid w:val="00A237D5"/>
    <w:rsid w:val="00A24534"/>
    <w:rsid w:val="00A3045C"/>
    <w:rsid w:val="00A30EFC"/>
    <w:rsid w:val="00A31984"/>
    <w:rsid w:val="00A32D73"/>
    <w:rsid w:val="00A3367B"/>
    <w:rsid w:val="00A3597D"/>
    <w:rsid w:val="00A36DD1"/>
    <w:rsid w:val="00A4006C"/>
    <w:rsid w:val="00A40091"/>
    <w:rsid w:val="00A4030F"/>
    <w:rsid w:val="00A40E70"/>
    <w:rsid w:val="00A41C79"/>
    <w:rsid w:val="00A41CB5"/>
    <w:rsid w:val="00A42CDF"/>
    <w:rsid w:val="00A4452E"/>
    <w:rsid w:val="00A4472C"/>
    <w:rsid w:val="00A44BC2"/>
    <w:rsid w:val="00A44E69"/>
    <w:rsid w:val="00A4661E"/>
    <w:rsid w:val="00A50F4F"/>
    <w:rsid w:val="00A55BD6"/>
    <w:rsid w:val="00A55D50"/>
    <w:rsid w:val="00A57142"/>
    <w:rsid w:val="00A61DD4"/>
    <w:rsid w:val="00A63D9B"/>
    <w:rsid w:val="00A648CD"/>
    <w:rsid w:val="00A6537A"/>
    <w:rsid w:val="00A67866"/>
    <w:rsid w:val="00A7098A"/>
    <w:rsid w:val="00A70B07"/>
    <w:rsid w:val="00A723F8"/>
    <w:rsid w:val="00A754D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549"/>
    <w:rsid w:val="00AE070A"/>
    <w:rsid w:val="00AE101C"/>
    <w:rsid w:val="00AE2A69"/>
    <w:rsid w:val="00AE37E5"/>
    <w:rsid w:val="00AE433F"/>
    <w:rsid w:val="00AE5EB4"/>
    <w:rsid w:val="00AF0C18"/>
    <w:rsid w:val="00AF47C5"/>
    <w:rsid w:val="00AF5213"/>
    <w:rsid w:val="00AF5398"/>
    <w:rsid w:val="00B049AF"/>
    <w:rsid w:val="00B07242"/>
    <w:rsid w:val="00B10534"/>
    <w:rsid w:val="00B113DB"/>
    <w:rsid w:val="00B11D8A"/>
    <w:rsid w:val="00B12981"/>
    <w:rsid w:val="00B13567"/>
    <w:rsid w:val="00B1411F"/>
    <w:rsid w:val="00B147DD"/>
    <w:rsid w:val="00B156FD"/>
    <w:rsid w:val="00B158AE"/>
    <w:rsid w:val="00B15C79"/>
    <w:rsid w:val="00B21F61"/>
    <w:rsid w:val="00B261F1"/>
    <w:rsid w:val="00B265BC"/>
    <w:rsid w:val="00B31A83"/>
    <w:rsid w:val="00B31FB1"/>
    <w:rsid w:val="00B33952"/>
    <w:rsid w:val="00B33C5E"/>
    <w:rsid w:val="00B342F4"/>
    <w:rsid w:val="00B34369"/>
    <w:rsid w:val="00B34DC2"/>
    <w:rsid w:val="00B3765D"/>
    <w:rsid w:val="00B378E5"/>
    <w:rsid w:val="00B4346D"/>
    <w:rsid w:val="00B440F4"/>
    <w:rsid w:val="00B447A5"/>
    <w:rsid w:val="00B4654C"/>
    <w:rsid w:val="00B47293"/>
    <w:rsid w:val="00B50E50"/>
    <w:rsid w:val="00B52120"/>
    <w:rsid w:val="00B53357"/>
    <w:rsid w:val="00B54ABC"/>
    <w:rsid w:val="00B56FBE"/>
    <w:rsid w:val="00B60ACF"/>
    <w:rsid w:val="00B623C4"/>
    <w:rsid w:val="00B62B58"/>
    <w:rsid w:val="00B65149"/>
    <w:rsid w:val="00B66567"/>
    <w:rsid w:val="00B66F52"/>
    <w:rsid w:val="00B66FE5"/>
    <w:rsid w:val="00B72585"/>
    <w:rsid w:val="00B72880"/>
    <w:rsid w:val="00B758BF"/>
    <w:rsid w:val="00B77EC8"/>
    <w:rsid w:val="00B827A6"/>
    <w:rsid w:val="00B831CE"/>
    <w:rsid w:val="00B86677"/>
    <w:rsid w:val="00B87131"/>
    <w:rsid w:val="00B939B1"/>
    <w:rsid w:val="00B96D40"/>
    <w:rsid w:val="00B97386"/>
    <w:rsid w:val="00BA263B"/>
    <w:rsid w:val="00BA3B3B"/>
    <w:rsid w:val="00BA42B2"/>
    <w:rsid w:val="00BA58D4"/>
    <w:rsid w:val="00BA5B9E"/>
    <w:rsid w:val="00BA7C9A"/>
    <w:rsid w:val="00BB0AD8"/>
    <w:rsid w:val="00BB278B"/>
    <w:rsid w:val="00BB5F8F"/>
    <w:rsid w:val="00BB657A"/>
    <w:rsid w:val="00BC1A4E"/>
    <w:rsid w:val="00BC5C0A"/>
    <w:rsid w:val="00BC5DC7"/>
    <w:rsid w:val="00BC6B8B"/>
    <w:rsid w:val="00BC73D8"/>
    <w:rsid w:val="00BD0B41"/>
    <w:rsid w:val="00BD52D7"/>
    <w:rsid w:val="00BD5AD2"/>
    <w:rsid w:val="00BE22F3"/>
    <w:rsid w:val="00BE5B52"/>
    <w:rsid w:val="00BE7B8D"/>
    <w:rsid w:val="00BF0993"/>
    <w:rsid w:val="00BF10A9"/>
    <w:rsid w:val="00BF1703"/>
    <w:rsid w:val="00BF231C"/>
    <w:rsid w:val="00BF2B19"/>
    <w:rsid w:val="00BF2C95"/>
    <w:rsid w:val="00BF51E5"/>
    <w:rsid w:val="00BF67D2"/>
    <w:rsid w:val="00BF74A6"/>
    <w:rsid w:val="00C013AD"/>
    <w:rsid w:val="00C04904"/>
    <w:rsid w:val="00C04D74"/>
    <w:rsid w:val="00C056B3"/>
    <w:rsid w:val="00C103E5"/>
    <w:rsid w:val="00C11920"/>
    <w:rsid w:val="00C13319"/>
    <w:rsid w:val="00C13EE9"/>
    <w:rsid w:val="00C214C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713"/>
    <w:rsid w:val="00C601BC"/>
    <w:rsid w:val="00C6329F"/>
    <w:rsid w:val="00C63340"/>
    <w:rsid w:val="00C643F9"/>
    <w:rsid w:val="00C64E95"/>
    <w:rsid w:val="00C671AA"/>
    <w:rsid w:val="00C71372"/>
    <w:rsid w:val="00C72410"/>
    <w:rsid w:val="00C7287F"/>
    <w:rsid w:val="00C80CB8"/>
    <w:rsid w:val="00C819F8"/>
    <w:rsid w:val="00C8248C"/>
    <w:rsid w:val="00C82722"/>
    <w:rsid w:val="00C84E33"/>
    <w:rsid w:val="00C86D6F"/>
    <w:rsid w:val="00C905FC"/>
    <w:rsid w:val="00C92D03"/>
    <w:rsid w:val="00C9319C"/>
    <w:rsid w:val="00C9435D"/>
    <w:rsid w:val="00C94DF2"/>
    <w:rsid w:val="00C96741"/>
    <w:rsid w:val="00CA0C23"/>
    <w:rsid w:val="00CA1835"/>
    <w:rsid w:val="00CA2D1B"/>
    <w:rsid w:val="00CA375D"/>
    <w:rsid w:val="00CA662A"/>
    <w:rsid w:val="00CA7AFD"/>
    <w:rsid w:val="00CA7BD3"/>
    <w:rsid w:val="00CA7C3C"/>
    <w:rsid w:val="00CB0189"/>
    <w:rsid w:val="00CB0BA2"/>
    <w:rsid w:val="00CB1A42"/>
    <w:rsid w:val="00CB1B0C"/>
    <w:rsid w:val="00CB2C0B"/>
    <w:rsid w:val="00CB3328"/>
    <w:rsid w:val="00CB517D"/>
    <w:rsid w:val="00CC038D"/>
    <w:rsid w:val="00CC08DB"/>
    <w:rsid w:val="00CC39FF"/>
    <w:rsid w:val="00CC3C2F"/>
    <w:rsid w:val="00CC4AC8"/>
    <w:rsid w:val="00CC5233"/>
    <w:rsid w:val="00CC5DE6"/>
    <w:rsid w:val="00CC6E4E"/>
    <w:rsid w:val="00CC6FE8"/>
    <w:rsid w:val="00CC7202"/>
    <w:rsid w:val="00CD14A6"/>
    <w:rsid w:val="00CD2808"/>
    <w:rsid w:val="00CD28BF"/>
    <w:rsid w:val="00CD4092"/>
    <w:rsid w:val="00CD4A20"/>
    <w:rsid w:val="00CD50A1"/>
    <w:rsid w:val="00CD519E"/>
    <w:rsid w:val="00CE0C4F"/>
    <w:rsid w:val="00CE30EA"/>
    <w:rsid w:val="00CE3A7E"/>
    <w:rsid w:val="00CF048A"/>
    <w:rsid w:val="00CF155A"/>
    <w:rsid w:val="00CF2947"/>
    <w:rsid w:val="00CF5BE8"/>
    <w:rsid w:val="00CF686F"/>
    <w:rsid w:val="00CF6E60"/>
    <w:rsid w:val="00CF778D"/>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476"/>
    <w:rsid w:val="00D25E37"/>
    <w:rsid w:val="00D2661A"/>
    <w:rsid w:val="00D27582"/>
    <w:rsid w:val="00D27EC4"/>
    <w:rsid w:val="00D32719"/>
    <w:rsid w:val="00D33333"/>
    <w:rsid w:val="00D33590"/>
    <w:rsid w:val="00D352A2"/>
    <w:rsid w:val="00D4162B"/>
    <w:rsid w:val="00D41DFB"/>
    <w:rsid w:val="00D42694"/>
    <w:rsid w:val="00D43D47"/>
    <w:rsid w:val="00D4514F"/>
    <w:rsid w:val="00D451E2"/>
    <w:rsid w:val="00D45E89"/>
    <w:rsid w:val="00D45E8D"/>
    <w:rsid w:val="00D466AE"/>
    <w:rsid w:val="00D46A19"/>
    <w:rsid w:val="00D4734F"/>
    <w:rsid w:val="00D51BF3"/>
    <w:rsid w:val="00D61FD4"/>
    <w:rsid w:val="00D65A47"/>
    <w:rsid w:val="00D66846"/>
    <w:rsid w:val="00D675FB"/>
    <w:rsid w:val="00D71F25"/>
    <w:rsid w:val="00D72A9C"/>
    <w:rsid w:val="00D74AEE"/>
    <w:rsid w:val="00D77031"/>
    <w:rsid w:val="00D802CE"/>
    <w:rsid w:val="00D845BC"/>
    <w:rsid w:val="00D84941"/>
    <w:rsid w:val="00D84FA1"/>
    <w:rsid w:val="00D851F0"/>
    <w:rsid w:val="00D85781"/>
    <w:rsid w:val="00D86DB7"/>
    <w:rsid w:val="00D87BF5"/>
    <w:rsid w:val="00D90721"/>
    <w:rsid w:val="00D926D0"/>
    <w:rsid w:val="00D93030"/>
    <w:rsid w:val="00D950E1"/>
    <w:rsid w:val="00D952A6"/>
    <w:rsid w:val="00D97F99"/>
    <w:rsid w:val="00DA17BE"/>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F87"/>
    <w:rsid w:val="00DE0A4B"/>
    <w:rsid w:val="00DE17D4"/>
    <w:rsid w:val="00DE2410"/>
    <w:rsid w:val="00DE2939"/>
    <w:rsid w:val="00DE6E81"/>
    <w:rsid w:val="00DE703F"/>
    <w:rsid w:val="00DE7595"/>
    <w:rsid w:val="00DF1961"/>
    <w:rsid w:val="00DF348E"/>
    <w:rsid w:val="00DF3A5D"/>
    <w:rsid w:val="00DF44DE"/>
    <w:rsid w:val="00DF4730"/>
    <w:rsid w:val="00DF589C"/>
    <w:rsid w:val="00E01138"/>
    <w:rsid w:val="00E02DFB"/>
    <w:rsid w:val="00E030F9"/>
    <w:rsid w:val="00E0311A"/>
    <w:rsid w:val="00E03138"/>
    <w:rsid w:val="00E040A2"/>
    <w:rsid w:val="00E055BE"/>
    <w:rsid w:val="00E06404"/>
    <w:rsid w:val="00E064F4"/>
    <w:rsid w:val="00E11A85"/>
    <w:rsid w:val="00E12495"/>
    <w:rsid w:val="00E13545"/>
    <w:rsid w:val="00E144F4"/>
    <w:rsid w:val="00E1530B"/>
    <w:rsid w:val="00E15CCD"/>
    <w:rsid w:val="00E202EF"/>
    <w:rsid w:val="00E210B5"/>
    <w:rsid w:val="00E22BF1"/>
    <w:rsid w:val="00E2552F"/>
    <w:rsid w:val="00E3137A"/>
    <w:rsid w:val="00E32CCF"/>
    <w:rsid w:val="00E34A98"/>
    <w:rsid w:val="00E35557"/>
    <w:rsid w:val="00E35D1E"/>
    <w:rsid w:val="00E36424"/>
    <w:rsid w:val="00E364F9"/>
    <w:rsid w:val="00E365FA"/>
    <w:rsid w:val="00E36789"/>
    <w:rsid w:val="00E37FF4"/>
    <w:rsid w:val="00E41785"/>
    <w:rsid w:val="00E419B1"/>
    <w:rsid w:val="00E44A83"/>
    <w:rsid w:val="00E502C1"/>
    <w:rsid w:val="00E502DD"/>
    <w:rsid w:val="00E50977"/>
    <w:rsid w:val="00E50D3A"/>
    <w:rsid w:val="00E51387"/>
    <w:rsid w:val="00E51E68"/>
    <w:rsid w:val="00E52EFD"/>
    <w:rsid w:val="00E5408A"/>
    <w:rsid w:val="00E5441B"/>
    <w:rsid w:val="00E56800"/>
    <w:rsid w:val="00E571A6"/>
    <w:rsid w:val="00E608AB"/>
    <w:rsid w:val="00E60C63"/>
    <w:rsid w:val="00E628B3"/>
    <w:rsid w:val="00E62FF9"/>
    <w:rsid w:val="00E635D6"/>
    <w:rsid w:val="00E639BC"/>
    <w:rsid w:val="00E64205"/>
    <w:rsid w:val="00E664CC"/>
    <w:rsid w:val="00E6770B"/>
    <w:rsid w:val="00E70388"/>
    <w:rsid w:val="00E70F92"/>
    <w:rsid w:val="00E74313"/>
    <w:rsid w:val="00E74493"/>
    <w:rsid w:val="00E74C54"/>
    <w:rsid w:val="00E74F4A"/>
    <w:rsid w:val="00E75095"/>
    <w:rsid w:val="00E756A5"/>
    <w:rsid w:val="00E77A03"/>
    <w:rsid w:val="00E80146"/>
    <w:rsid w:val="00E822E8"/>
    <w:rsid w:val="00E82554"/>
    <w:rsid w:val="00E82606"/>
    <w:rsid w:val="00E831C1"/>
    <w:rsid w:val="00E846C8"/>
    <w:rsid w:val="00E84957"/>
    <w:rsid w:val="00E84A55"/>
    <w:rsid w:val="00E84FB3"/>
    <w:rsid w:val="00E85BFF"/>
    <w:rsid w:val="00E90391"/>
    <w:rsid w:val="00E906C2"/>
    <w:rsid w:val="00E92C3E"/>
    <w:rsid w:val="00E9311F"/>
    <w:rsid w:val="00E934D1"/>
    <w:rsid w:val="00E94AF0"/>
    <w:rsid w:val="00E95D13"/>
    <w:rsid w:val="00E95DD3"/>
    <w:rsid w:val="00E969D5"/>
    <w:rsid w:val="00E96AFC"/>
    <w:rsid w:val="00EA1E91"/>
    <w:rsid w:val="00EA3672"/>
    <w:rsid w:val="00EA58D1"/>
    <w:rsid w:val="00EA61BC"/>
    <w:rsid w:val="00EA681A"/>
    <w:rsid w:val="00EA735B"/>
    <w:rsid w:val="00EB1E69"/>
    <w:rsid w:val="00EB2086"/>
    <w:rsid w:val="00EB31ED"/>
    <w:rsid w:val="00EB5EDF"/>
    <w:rsid w:val="00EB60FE"/>
    <w:rsid w:val="00EB6951"/>
    <w:rsid w:val="00EB74DB"/>
    <w:rsid w:val="00EC0DA2"/>
    <w:rsid w:val="00EC5359"/>
    <w:rsid w:val="00EC562A"/>
    <w:rsid w:val="00ED067A"/>
    <w:rsid w:val="00ED299C"/>
    <w:rsid w:val="00ED2B50"/>
    <w:rsid w:val="00ED34DF"/>
    <w:rsid w:val="00ED3DB2"/>
    <w:rsid w:val="00EE0350"/>
    <w:rsid w:val="00EE0719"/>
    <w:rsid w:val="00EE0E80"/>
    <w:rsid w:val="00EE224A"/>
    <w:rsid w:val="00EE5C1A"/>
    <w:rsid w:val="00EE613F"/>
    <w:rsid w:val="00EE7295"/>
    <w:rsid w:val="00EE7869"/>
    <w:rsid w:val="00EF054A"/>
    <w:rsid w:val="00EF2145"/>
    <w:rsid w:val="00EF3235"/>
    <w:rsid w:val="00EF4161"/>
    <w:rsid w:val="00EF5EF1"/>
    <w:rsid w:val="00EF7E72"/>
    <w:rsid w:val="00F06D37"/>
    <w:rsid w:val="00F07B9D"/>
    <w:rsid w:val="00F11586"/>
    <w:rsid w:val="00F1183B"/>
    <w:rsid w:val="00F11C9F"/>
    <w:rsid w:val="00F12263"/>
    <w:rsid w:val="00F1409D"/>
    <w:rsid w:val="00F14214"/>
    <w:rsid w:val="00F157A9"/>
    <w:rsid w:val="00F16F00"/>
    <w:rsid w:val="00F20761"/>
    <w:rsid w:val="00F20D31"/>
    <w:rsid w:val="00F25BB6"/>
    <w:rsid w:val="00F26B7E"/>
    <w:rsid w:val="00F27A3B"/>
    <w:rsid w:val="00F33817"/>
    <w:rsid w:val="00F34116"/>
    <w:rsid w:val="00F35A3C"/>
    <w:rsid w:val="00F35ECB"/>
    <w:rsid w:val="00F420D5"/>
    <w:rsid w:val="00F43884"/>
    <w:rsid w:val="00F451EA"/>
    <w:rsid w:val="00F45447"/>
    <w:rsid w:val="00F456C6"/>
    <w:rsid w:val="00F4577B"/>
    <w:rsid w:val="00F46496"/>
    <w:rsid w:val="00F474D0"/>
    <w:rsid w:val="00F50179"/>
    <w:rsid w:val="00F515EE"/>
    <w:rsid w:val="00F56511"/>
    <w:rsid w:val="00F6194E"/>
    <w:rsid w:val="00F623AC"/>
    <w:rsid w:val="00F63EE8"/>
    <w:rsid w:val="00F6412A"/>
    <w:rsid w:val="00F65893"/>
    <w:rsid w:val="00F66A4A"/>
    <w:rsid w:val="00F71E22"/>
    <w:rsid w:val="00F72142"/>
    <w:rsid w:val="00F72AE7"/>
    <w:rsid w:val="00F779EE"/>
    <w:rsid w:val="00F833BA"/>
    <w:rsid w:val="00F84FD0"/>
    <w:rsid w:val="00F859A8"/>
    <w:rsid w:val="00F86D87"/>
    <w:rsid w:val="00F9108B"/>
    <w:rsid w:val="00F91349"/>
    <w:rsid w:val="00F92FAA"/>
    <w:rsid w:val="00F93A8A"/>
    <w:rsid w:val="00F95248"/>
    <w:rsid w:val="00F956A9"/>
    <w:rsid w:val="00F963ED"/>
    <w:rsid w:val="00F966CF"/>
    <w:rsid w:val="00F96CAE"/>
    <w:rsid w:val="00F97C99"/>
    <w:rsid w:val="00FA662D"/>
    <w:rsid w:val="00FA73B1"/>
    <w:rsid w:val="00FB0A85"/>
    <w:rsid w:val="00FB0CB9"/>
    <w:rsid w:val="00FB0D92"/>
    <w:rsid w:val="00FB231D"/>
    <w:rsid w:val="00FB2C0B"/>
    <w:rsid w:val="00FB45F1"/>
    <w:rsid w:val="00FB4A23"/>
    <w:rsid w:val="00FB4A72"/>
    <w:rsid w:val="00FB54E8"/>
    <w:rsid w:val="00FB7054"/>
    <w:rsid w:val="00FC17B7"/>
    <w:rsid w:val="00FC2CB7"/>
    <w:rsid w:val="00FC4090"/>
    <w:rsid w:val="00FC55B4"/>
    <w:rsid w:val="00FC6B1B"/>
    <w:rsid w:val="00FC7EAF"/>
    <w:rsid w:val="00FD00E6"/>
    <w:rsid w:val="00FD05CD"/>
    <w:rsid w:val="00FD09A1"/>
    <w:rsid w:val="00FD2A7C"/>
    <w:rsid w:val="00FD59EB"/>
    <w:rsid w:val="00FD5B7F"/>
    <w:rsid w:val="00FD7299"/>
    <w:rsid w:val="00FE1FBE"/>
    <w:rsid w:val="00FE3901"/>
    <w:rsid w:val="00FE39D3"/>
    <w:rsid w:val="00FE4BCE"/>
    <w:rsid w:val="00FE54AE"/>
    <w:rsid w:val="00FE576A"/>
    <w:rsid w:val="00FE7E79"/>
    <w:rsid w:val="00FF2B00"/>
    <w:rsid w:val="00FF2D34"/>
    <w:rsid w:val="00FF3E7D"/>
    <w:rsid w:val="00FF5B99"/>
    <w:rsid w:val="00FF640C"/>
    <w:rsid w:val="00FF730C"/>
    <w:rsid w:val="00FF73F4"/>
    <w:rsid w:val="00FF7CE4"/>
    <w:rsid w:val="00FF7E39"/>
    <w:rsid w:val="014515CD"/>
    <w:rsid w:val="015B6D94"/>
    <w:rsid w:val="01747E56"/>
    <w:rsid w:val="01F9035B"/>
    <w:rsid w:val="02FF7BF3"/>
    <w:rsid w:val="034C72DC"/>
    <w:rsid w:val="047F723D"/>
    <w:rsid w:val="04D74983"/>
    <w:rsid w:val="07A31495"/>
    <w:rsid w:val="07ED44BE"/>
    <w:rsid w:val="08487BE5"/>
    <w:rsid w:val="0B0A57D5"/>
    <w:rsid w:val="0B275F39"/>
    <w:rsid w:val="0B3A5C6C"/>
    <w:rsid w:val="0CC55A09"/>
    <w:rsid w:val="0E226FA7"/>
    <w:rsid w:val="0ED62150"/>
    <w:rsid w:val="0FB81855"/>
    <w:rsid w:val="12C10A21"/>
    <w:rsid w:val="12FE1C75"/>
    <w:rsid w:val="1323348A"/>
    <w:rsid w:val="14BE16BC"/>
    <w:rsid w:val="156C736A"/>
    <w:rsid w:val="169A5A1A"/>
    <w:rsid w:val="181141F9"/>
    <w:rsid w:val="18131D1F"/>
    <w:rsid w:val="19B117EF"/>
    <w:rsid w:val="1A085187"/>
    <w:rsid w:val="1A0A0EFF"/>
    <w:rsid w:val="1A2F6BB8"/>
    <w:rsid w:val="1AAD3343"/>
    <w:rsid w:val="1B670C02"/>
    <w:rsid w:val="1BD6553D"/>
    <w:rsid w:val="1D436C02"/>
    <w:rsid w:val="1F02489B"/>
    <w:rsid w:val="1F5C044F"/>
    <w:rsid w:val="1FE05F93"/>
    <w:rsid w:val="20447F84"/>
    <w:rsid w:val="20825C93"/>
    <w:rsid w:val="20A756FA"/>
    <w:rsid w:val="20D14525"/>
    <w:rsid w:val="210C37AF"/>
    <w:rsid w:val="217A2E0F"/>
    <w:rsid w:val="217E28FF"/>
    <w:rsid w:val="22623FCE"/>
    <w:rsid w:val="23737B15"/>
    <w:rsid w:val="23D42CAA"/>
    <w:rsid w:val="24FA7414"/>
    <w:rsid w:val="25680E21"/>
    <w:rsid w:val="25F56A2C"/>
    <w:rsid w:val="26493092"/>
    <w:rsid w:val="291D29FD"/>
    <w:rsid w:val="29257B04"/>
    <w:rsid w:val="299E2B93"/>
    <w:rsid w:val="2A8C1910"/>
    <w:rsid w:val="2AC530A2"/>
    <w:rsid w:val="2BF51A0F"/>
    <w:rsid w:val="2DF16206"/>
    <w:rsid w:val="2E123F4F"/>
    <w:rsid w:val="2E1F5CF7"/>
    <w:rsid w:val="2F2C09A5"/>
    <w:rsid w:val="2F300FB0"/>
    <w:rsid w:val="2F79459B"/>
    <w:rsid w:val="32B6722C"/>
    <w:rsid w:val="33D67385"/>
    <w:rsid w:val="348860C6"/>
    <w:rsid w:val="348E47AF"/>
    <w:rsid w:val="34D16D92"/>
    <w:rsid w:val="362829E1"/>
    <w:rsid w:val="376932B2"/>
    <w:rsid w:val="389B749B"/>
    <w:rsid w:val="3929719C"/>
    <w:rsid w:val="3AF37A62"/>
    <w:rsid w:val="3B783AC3"/>
    <w:rsid w:val="3BFE66BE"/>
    <w:rsid w:val="3C441EDA"/>
    <w:rsid w:val="3CEF4F94"/>
    <w:rsid w:val="3E84069F"/>
    <w:rsid w:val="3E86299B"/>
    <w:rsid w:val="3EF773F5"/>
    <w:rsid w:val="3F744EE9"/>
    <w:rsid w:val="3FDF7ABE"/>
    <w:rsid w:val="3FE10321"/>
    <w:rsid w:val="3FE15773"/>
    <w:rsid w:val="418826D8"/>
    <w:rsid w:val="418C02C8"/>
    <w:rsid w:val="41A35612"/>
    <w:rsid w:val="41E33C60"/>
    <w:rsid w:val="41F92E32"/>
    <w:rsid w:val="41FD0DBC"/>
    <w:rsid w:val="431467C7"/>
    <w:rsid w:val="44475AE8"/>
    <w:rsid w:val="446217B4"/>
    <w:rsid w:val="448123AD"/>
    <w:rsid w:val="453018B3"/>
    <w:rsid w:val="45343893"/>
    <w:rsid w:val="45B55C9B"/>
    <w:rsid w:val="480D1A37"/>
    <w:rsid w:val="4993342A"/>
    <w:rsid w:val="4B7233A0"/>
    <w:rsid w:val="4BD72A88"/>
    <w:rsid w:val="4BE11211"/>
    <w:rsid w:val="4C4F0870"/>
    <w:rsid w:val="4F9C201E"/>
    <w:rsid w:val="4FEC63D6"/>
    <w:rsid w:val="507030F4"/>
    <w:rsid w:val="51470678"/>
    <w:rsid w:val="526D7CA2"/>
    <w:rsid w:val="52C3270D"/>
    <w:rsid w:val="544E765F"/>
    <w:rsid w:val="54E35FFA"/>
    <w:rsid w:val="54FE2E33"/>
    <w:rsid w:val="56A75CDC"/>
    <w:rsid w:val="59680B5D"/>
    <w:rsid w:val="5A0066E4"/>
    <w:rsid w:val="5B0647F0"/>
    <w:rsid w:val="5B4761F6"/>
    <w:rsid w:val="5C000B61"/>
    <w:rsid w:val="5C4F21C6"/>
    <w:rsid w:val="5DF05E3F"/>
    <w:rsid w:val="5E967C8A"/>
    <w:rsid w:val="618B1EF3"/>
    <w:rsid w:val="62132A20"/>
    <w:rsid w:val="62774B9B"/>
    <w:rsid w:val="665C5C0C"/>
    <w:rsid w:val="666351EC"/>
    <w:rsid w:val="67F65A44"/>
    <w:rsid w:val="688E2782"/>
    <w:rsid w:val="68EF4B15"/>
    <w:rsid w:val="6A1A3E14"/>
    <w:rsid w:val="6B0A032C"/>
    <w:rsid w:val="6B480229"/>
    <w:rsid w:val="6C014D65"/>
    <w:rsid w:val="6CF50B68"/>
    <w:rsid w:val="6F563503"/>
    <w:rsid w:val="70226C68"/>
    <w:rsid w:val="70671D7D"/>
    <w:rsid w:val="722A26B8"/>
    <w:rsid w:val="723B5ED3"/>
    <w:rsid w:val="72B648F6"/>
    <w:rsid w:val="736D3206"/>
    <w:rsid w:val="746E5488"/>
    <w:rsid w:val="748922C2"/>
    <w:rsid w:val="75981B18"/>
    <w:rsid w:val="764326FE"/>
    <w:rsid w:val="76A21419"/>
    <w:rsid w:val="779319BA"/>
    <w:rsid w:val="779C67B0"/>
    <w:rsid w:val="77CD6969"/>
    <w:rsid w:val="798E64AF"/>
    <w:rsid w:val="79927E6B"/>
    <w:rsid w:val="7997722F"/>
    <w:rsid w:val="79A375DF"/>
    <w:rsid w:val="7A7628D5"/>
    <w:rsid w:val="7AE34616"/>
    <w:rsid w:val="7B6D3C1E"/>
    <w:rsid w:val="7B71585E"/>
    <w:rsid w:val="7BFB59C6"/>
    <w:rsid w:val="7CDB38D7"/>
    <w:rsid w:val="7D8A03F9"/>
    <w:rsid w:val="7E785749"/>
    <w:rsid w:val="7F164FB4"/>
    <w:rsid w:val="7F842003"/>
    <w:rsid w:val="7F9C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ind w:left="2977"/>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C86238755A4A23BA182A9A35362991"/>
        <w:style w:val=""/>
        <w:category>
          <w:name w:val="常规"/>
          <w:gallery w:val="placeholder"/>
        </w:category>
        <w:types>
          <w:type w:val="bbPlcHdr"/>
        </w:types>
        <w:behaviors>
          <w:behavior w:val="content"/>
        </w:behaviors>
        <w:description w:val=""/>
        <w:guid w:val="{EF4133CF-FC82-4194-BBB2-505B6DB2ADD7}"/>
      </w:docPartPr>
      <w:docPartBody>
        <w:p>
          <w:pPr>
            <w:pStyle w:val="5"/>
          </w:pPr>
          <w:r>
            <w:rPr>
              <w:rStyle w:val="4"/>
              <w:rFonts w:hint="eastAsia"/>
            </w:rPr>
            <w:t>单击或点击此处输入文字。</w:t>
          </w:r>
        </w:p>
      </w:docPartBody>
    </w:docPart>
    <w:docPart>
      <w:docPartPr>
        <w:name w:val="2A18B7F58BE84C6B84138B889FF90855"/>
        <w:style w:val=""/>
        <w:category>
          <w:name w:val="常规"/>
          <w:gallery w:val="placeholder"/>
        </w:category>
        <w:types>
          <w:type w:val="bbPlcHdr"/>
        </w:types>
        <w:behaviors>
          <w:behavior w:val="content"/>
        </w:behaviors>
        <w:description w:val=""/>
        <w:guid w:val="{D35EE45E-BC14-4673-A36C-638D1CDB0CB9}"/>
      </w:docPartPr>
      <w:docPartBody>
        <w:p>
          <w:pPr>
            <w:pStyle w:val="6"/>
          </w:pPr>
          <w:r>
            <w:rPr>
              <w:rStyle w:val="4"/>
              <w:rFonts w:hint="eastAsia"/>
            </w:rPr>
            <w:t>选择一项。</w:t>
          </w:r>
        </w:p>
      </w:docPartBody>
    </w:docPart>
    <w:docPart>
      <w:docPartPr>
        <w:name w:val="7CFD51B7C1194C4599ECD01C2957A6E3"/>
        <w:style w:val=""/>
        <w:category>
          <w:name w:val="常规"/>
          <w:gallery w:val="placeholder"/>
        </w:category>
        <w:types>
          <w:type w:val="bbPlcHdr"/>
        </w:types>
        <w:behaviors>
          <w:behavior w:val="content"/>
        </w:behaviors>
        <w:description w:val=""/>
        <w:guid w:val="{EBB3DBDF-E384-4E37-B184-9A12C59DE16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56"/>
    <w:rsid w:val="000967E3"/>
    <w:rsid w:val="00096DDB"/>
    <w:rsid w:val="000B5E19"/>
    <w:rsid w:val="000F0CD6"/>
    <w:rsid w:val="00170E12"/>
    <w:rsid w:val="0023321F"/>
    <w:rsid w:val="00280C85"/>
    <w:rsid w:val="0030042E"/>
    <w:rsid w:val="003630F2"/>
    <w:rsid w:val="003C0033"/>
    <w:rsid w:val="0055488A"/>
    <w:rsid w:val="005F15B9"/>
    <w:rsid w:val="00633457"/>
    <w:rsid w:val="00705602"/>
    <w:rsid w:val="00760292"/>
    <w:rsid w:val="00810193"/>
    <w:rsid w:val="0081380E"/>
    <w:rsid w:val="00820083"/>
    <w:rsid w:val="008425DD"/>
    <w:rsid w:val="0085193E"/>
    <w:rsid w:val="00857B02"/>
    <w:rsid w:val="008B597E"/>
    <w:rsid w:val="00961F98"/>
    <w:rsid w:val="009B04FE"/>
    <w:rsid w:val="00A41E7A"/>
    <w:rsid w:val="00A50E9C"/>
    <w:rsid w:val="00B50156"/>
    <w:rsid w:val="00BB232C"/>
    <w:rsid w:val="00BF1CF1"/>
    <w:rsid w:val="00C6401B"/>
    <w:rsid w:val="00C76AD1"/>
    <w:rsid w:val="00CA2257"/>
    <w:rsid w:val="00D20915"/>
    <w:rsid w:val="00D234FA"/>
    <w:rsid w:val="00D72E0D"/>
    <w:rsid w:val="00DB531A"/>
    <w:rsid w:val="00E12357"/>
    <w:rsid w:val="00E70578"/>
    <w:rsid w:val="00E906DB"/>
    <w:rsid w:val="00F45253"/>
    <w:rsid w:val="00F53C97"/>
    <w:rsid w:val="00F9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7C86238755A4A23BA182A9A353629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18B7F58BE84C6B84138B889FF908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CFD51B7C1194C4599ECD01C2957A6E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DF6AE-5C99-423D-B696-7A608E5BB85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8911</Words>
  <Characters>9818</Characters>
  <Lines>83</Lines>
  <Paragraphs>23</Paragraphs>
  <TotalTime>5</TotalTime>
  <ScaleCrop>false</ScaleCrop>
  <LinksUpToDate>false</LinksUpToDate>
  <CharactersWithSpaces>9984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2022-09-09T10:19:00Z</dcterms:created>
  <dc:creator>kk</dc:creator>
  <dc:description>&lt;config cover="true" show_menu="true" version="1.0.0" doctype="SDKXY"&gt;_x000d_
&lt;/config&gt;</dc:description>
  <cp:lastModifiedBy>lgr</cp:lastModifiedBy>
  <cp:lastPrinted>2022-09-09T00:56:00Z</cp:lastPrinted>
  <dcterms:modified xsi:type="dcterms:W3CDTF">2022-09-09T10:43:19Z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2052-11.1.0.12313</vt:lpwstr>
  </property>
  <property fmtid="{D5CDD505-2E9C-101B-9397-08002B2CF9AE}" pid="16" name="ICV">
    <vt:lpwstr>7E7952992CA84D9CA5404D88BA0B74AA</vt:lpwstr>
  </property>
</Properties>
</file>