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3A9E3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5E4D54D">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26D7A9EA">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6</w:t>
            </w:r>
            <w:r>
              <w:rPr>
                <w:rFonts w:hint="eastAsia" w:ascii="黑体" w:hAnsi="黑体" w:eastAsia="黑体"/>
                <w:sz w:val="21"/>
                <w:szCs w:val="21"/>
                <w:lang w:val="en-US" w:eastAsia="zh-CN"/>
              </w:rPr>
              <w:t>7.080.20</w:t>
            </w:r>
            <w:r>
              <w:rPr>
                <w:rFonts w:ascii="黑体" w:hAnsi="黑体" w:eastAsia="黑体"/>
                <w:sz w:val="21"/>
                <w:szCs w:val="21"/>
              </w:rPr>
              <w:fldChar w:fldCharType="end"/>
            </w:r>
            <w:bookmarkEnd w:id="0"/>
          </w:p>
        </w:tc>
      </w:tr>
      <w:tr w14:paraId="2CC4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3FD2570">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8"/>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5D1DA7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1021" w:hRule="exact"/>
              </w:trPr>
              <w:tc>
                <w:tcPr>
                  <w:tcW w:w="9242" w:type="dxa"/>
                  <w:vAlign w:val="center"/>
                </w:tcPr>
                <w:p w14:paraId="01921AE0">
                  <w:pPr>
                    <w:pStyle w:val="56"/>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lang w:eastAsia="zh-CN"/>
                    </w:rPr>
                    <w:t>Z</w:t>
                  </w:r>
                  <w:r>
                    <w:rPr>
                      <w:rFonts w:hint="eastAsia"/>
                      <w:lang w:val="en-US" w:eastAsia="zh-CN"/>
                    </w:rPr>
                    <w:t>SESS</w:t>
                  </w:r>
                  <w:r>
                    <w:fldChar w:fldCharType="end"/>
                  </w:r>
                  <w:bookmarkEnd w:id="1"/>
                </w:p>
              </w:tc>
            </w:tr>
          </w:tbl>
          <w:p w14:paraId="559E1628">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B</w:t>
            </w:r>
            <w:r>
              <w:rPr>
                <w:rFonts w:hint="eastAsia" w:ascii="黑体" w:hAnsi="黑体" w:eastAsia="黑体"/>
                <w:sz w:val="21"/>
                <w:szCs w:val="21"/>
                <w:lang w:val="en-US" w:eastAsia="zh-CN"/>
              </w:rPr>
              <w:t>31</w:t>
            </w:r>
            <w:r>
              <w:rPr>
                <w:rFonts w:ascii="黑体" w:hAnsi="黑体" w:eastAsia="黑体"/>
                <w:sz w:val="21"/>
                <w:szCs w:val="21"/>
              </w:rPr>
              <w:fldChar w:fldCharType="end"/>
            </w:r>
            <w:bookmarkEnd w:id="2"/>
          </w:p>
        </w:tc>
      </w:tr>
    </w:tbl>
    <w:p w14:paraId="161BCF4A">
      <w:pPr>
        <w:pStyle w:val="57"/>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43EC1316">
      <w:pPr>
        <w:pStyle w:val="197"/>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lang w:eastAsia="zh-CN"/>
        </w:rPr>
        <w:t>Z</w:t>
      </w:r>
      <w:r>
        <w:rPr>
          <w:rFonts w:hint="eastAsia"/>
          <w:lang w:val="en-US" w:eastAsia="zh-CN"/>
        </w:rPr>
        <w:t>SESS</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lang w:eastAsia="zh-CN"/>
        </w:rPr>
        <w:t>2</w:t>
      </w:r>
      <w:r>
        <w:rPr>
          <w:rFonts w:hint="eastAsia"/>
          <w:lang w:val="en-US" w:eastAsia="zh-CN"/>
        </w:rPr>
        <w:t>026</w:t>
      </w:r>
      <w:r>
        <w:fldChar w:fldCharType="end"/>
      </w:r>
      <w:bookmarkEnd w:id="7"/>
    </w:p>
    <w:p w14:paraId="52A51E97">
      <w:pPr>
        <w:pStyle w:val="198"/>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3935A67">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6FFE932">
      <w:pPr>
        <w:pStyle w:val="57"/>
        <w:framePr w:w="9639" w:h="6976" w:hRule="exact" w:hSpace="0" w:vSpace="0" w:wrap="around" w:hAnchor="page" w:y="6408"/>
        <w:jc w:val="center"/>
        <w:rPr>
          <w:rFonts w:hint="eastAsia" w:ascii="黑体" w:hAnsi="黑体" w:eastAsia="黑体"/>
          <w:b w:val="0"/>
          <w:bCs w:val="0"/>
          <w:w w:val="100"/>
        </w:rPr>
      </w:pPr>
    </w:p>
    <w:p w14:paraId="37ECF9F0">
      <w:pPr>
        <w:pStyle w:val="199"/>
        <w:framePr w:h="6974" w:hRule="exact" w:wrap="around" w:x="1419" w:anchorLock="1"/>
        <w:rPr>
          <w:rFonts w:hint="eastAsia"/>
          <w:lang w:eastAsia="zh-CN"/>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eastAsia="zh-CN"/>
        </w:rPr>
        <w:t>温室气体 产品碳足迹量化方法与要求</w:t>
      </w:r>
    </w:p>
    <w:p w14:paraId="02A223D2">
      <w:pPr>
        <w:pStyle w:val="199"/>
        <w:framePr w:h="6974" w:hRule="exact" w:wrap="around" w:x="1419" w:anchorLock="1"/>
        <w:rPr>
          <w:rFonts w:hint="eastAsia"/>
        </w:rPr>
      </w:pPr>
      <w:r>
        <w:rPr>
          <w:rFonts w:hint="eastAsia"/>
          <w:lang w:eastAsia="zh-CN"/>
        </w:rPr>
        <w:t>食用菊花</w:t>
      </w:r>
      <w:r>
        <w:fldChar w:fldCharType="end"/>
      </w:r>
      <w:bookmarkEnd w:id="9"/>
    </w:p>
    <w:p w14:paraId="2144DE0C">
      <w:pPr>
        <w:framePr w:w="9639" w:h="6974" w:hRule="exact" w:wrap="around" w:vAnchor="page" w:hAnchor="page" w:x="1419" w:y="6408" w:anchorLock="1"/>
        <w:ind w:left="-1418"/>
      </w:pPr>
    </w:p>
    <w:p w14:paraId="671963C6">
      <w:pPr>
        <w:pStyle w:val="127"/>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Greenhouse gases — Quantification methodologies and</w:t>
      </w:r>
    </w:p>
    <w:p w14:paraId="5CBA4B54">
      <w:pPr>
        <w:pStyle w:val="127"/>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eastAsia="黑体"/>
          <w:szCs w:val="28"/>
        </w:rPr>
      </w:pPr>
      <w:r>
        <w:rPr>
          <w:rFonts w:hint="eastAsia" w:eastAsia="黑体"/>
          <w:szCs w:val="28"/>
        </w:rPr>
        <w:t>requirements for carbon footprint of products —</w:t>
      </w:r>
    </w:p>
    <w:p w14:paraId="6A073306">
      <w:pPr>
        <w:pStyle w:val="127"/>
        <w:framePr w:w="9639" w:h="6974" w:hRule="exact" w:wrap="around" w:vAnchor="page" w:hAnchor="page" w:x="1419" w:y="6408" w:anchorLock="1"/>
        <w:textAlignment w:val="bottom"/>
        <w:rPr>
          <w:rFonts w:eastAsia="黑体"/>
          <w:szCs w:val="28"/>
        </w:rPr>
      </w:pPr>
      <w:r>
        <w:rPr>
          <w:rFonts w:hint="eastAsia" w:eastAsia="黑体"/>
          <w:szCs w:val="28"/>
        </w:rPr>
        <w:t>edible chrysanthemum</w:t>
      </w:r>
      <w:r>
        <w:rPr>
          <w:rFonts w:eastAsia="黑体"/>
          <w:szCs w:val="28"/>
        </w:rPr>
        <w:fldChar w:fldCharType="end"/>
      </w:r>
      <w:bookmarkEnd w:id="10"/>
    </w:p>
    <w:p w14:paraId="313D54A8">
      <w:pPr>
        <w:framePr w:w="9639" w:h="6974" w:hRule="exact" w:wrap="around" w:vAnchor="page" w:hAnchor="page" w:x="1419" w:y="6408" w:anchorLock="1"/>
        <w:spacing w:line="760" w:lineRule="exact"/>
        <w:ind w:left="-1418"/>
      </w:pPr>
    </w:p>
    <w:p w14:paraId="18E584F4">
      <w:pPr>
        <w:pStyle w:val="127"/>
        <w:framePr w:w="9639" w:h="6974" w:hRule="exact" w:wrap="around" w:vAnchor="page" w:hAnchor="page" w:x="1419" w:y="6408" w:anchorLock="1"/>
        <w:textAlignment w:val="bottom"/>
        <w:rPr>
          <w:rFonts w:eastAsia="黑体"/>
          <w:szCs w:val="28"/>
        </w:rPr>
      </w:pPr>
    </w:p>
    <w:p w14:paraId="382A48E7">
      <w:pPr>
        <w:pStyle w:val="127"/>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493B8B9A">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0C6769F1">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7657F19A">
      <w:pPr>
        <w:pStyle w:val="195"/>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26DCA3D9">
      <w:pPr>
        <w:pStyle w:val="196"/>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9867BE4">
      <w:pPr>
        <w:pStyle w:val="153"/>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中山市环境科学学会</w:t>
      </w:r>
      <w:r>
        <w:rPr>
          <w:rFonts w:hAnsi="黑体"/>
          <w:w w:val="100"/>
          <w:sz w:val="28"/>
        </w:rPr>
        <w:fldChar w:fldCharType="end"/>
      </w:r>
      <w:bookmarkEnd w:id="20"/>
      <w:r>
        <w:rPr>
          <w:rFonts w:ascii="Times New Roman"/>
          <w:w w:val="100"/>
          <w:sz w:val="28"/>
        </w:rPr>
        <w:t>  </w:t>
      </w:r>
      <w:r>
        <w:rPr>
          <w:rStyle w:val="231"/>
          <w:rFonts w:hint="eastAsia" w:hAnsi="黑体"/>
          <w:position w:val="0"/>
        </w:rPr>
        <w:t>发</w:t>
      </w:r>
      <w:r>
        <w:rPr>
          <w:rStyle w:val="231"/>
          <w:rFonts w:hint="eastAsia" w:hAnsi="黑体"/>
          <w:spacing w:val="0"/>
          <w:position w:val="0"/>
        </w:rPr>
        <w:t>布</w:t>
      </w:r>
    </w:p>
    <w:p w14:paraId="374BE5A5">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5B5635B">
      <w:pPr>
        <w:pStyle w:val="96"/>
        <w:bidi w:val="0"/>
        <w:rPr>
          <w:rFonts w:hint="eastAsia"/>
          <w:lang w:eastAsia="zh-CN"/>
        </w:rPr>
      </w:pPr>
      <w:bookmarkStart w:id="21" w:name="BookMark1"/>
      <w:bookmarkStart w:id="22" w:name="_Toc11936"/>
      <w:bookmarkStart w:id="23" w:name="_Toc17183"/>
      <w:r>
        <w:rPr>
          <w:rFonts w:hint="eastAsia"/>
          <w:spacing w:val="320"/>
          <w:lang w:eastAsia="zh-CN"/>
        </w:rPr>
        <w:t>目</w:t>
      </w:r>
      <w:r>
        <w:rPr>
          <w:rFonts w:hint="eastAsia"/>
          <w:lang w:eastAsia="zh-CN"/>
        </w:rPr>
        <w:t>次</w:t>
      </w:r>
    </w:p>
    <w:p w14:paraId="49DEDECA">
      <w:pPr>
        <w:pStyle w:val="20"/>
        <w:tabs>
          <w:tab w:val="right" w:leader="dot" w:pos="9354"/>
        </w:tabs>
      </w:pPr>
      <w:r>
        <w:rPr>
          <w:rFonts w:hint="eastAsia"/>
          <w:spacing w:val="0"/>
          <w:lang w:eastAsia="zh-CN"/>
        </w:rPr>
        <w:fldChar w:fldCharType="begin"/>
      </w:r>
      <w:r>
        <w:rPr>
          <w:rFonts w:hint="eastAsia"/>
          <w:spacing w:val="0"/>
          <w:lang w:eastAsia="zh-CN"/>
        </w:rPr>
        <w:instrText xml:space="preserve">TOC \o "1-1"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_Toc24601 </w:instrText>
      </w:r>
      <w:r>
        <w:rPr>
          <w:rFonts w:hint="eastAsia"/>
          <w:spacing w:val="0"/>
          <w:lang w:eastAsia="zh-CN"/>
        </w:rPr>
        <w:fldChar w:fldCharType="separate"/>
      </w:r>
      <w:r>
        <w:rPr>
          <w:rFonts w:hint="eastAsia"/>
          <w:spacing w:val="320"/>
          <w:lang w:eastAsia="zh-CN"/>
        </w:rPr>
        <w:t>前</w:t>
      </w:r>
      <w:r>
        <w:rPr>
          <w:rFonts w:hint="eastAsia"/>
          <w:lang w:eastAsia="zh-CN"/>
        </w:rPr>
        <w:t>言</w:t>
      </w:r>
      <w:r>
        <w:tab/>
      </w:r>
      <w:r>
        <w:fldChar w:fldCharType="begin"/>
      </w:r>
      <w:r>
        <w:instrText xml:space="preserve"> PAGEREF _Toc24601 \h </w:instrText>
      </w:r>
      <w:r>
        <w:fldChar w:fldCharType="separate"/>
      </w:r>
      <w:r>
        <w:t>II</w:t>
      </w:r>
      <w:r>
        <w:fldChar w:fldCharType="end"/>
      </w:r>
      <w:r>
        <w:rPr>
          <w:rFonts w:hint="eastAsia"/>
          <w:spacing w:val="0"/>
          <w:lang w:eastAsia="zh-CN"/>
        </w:rPr>
        <w:fldChar w:fldCharType="end"/>
      </w:r>
    </w:p>
    <w:p w14:paraId="135BCC34">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_Toc23454 </w:instrText>
      </w:r>
      <w:r>
        <w:rPr>
          <w:rFonts w:hint="eastAsia"/>
          <w:spacing w:val="0"/>
          <w:lang w:eastAsia="zh-CN"/>
        </w:rPr>
        <w:fldChar w:fldCharType="separate"/>
      </w:r>
      <w:r>
        <w:rPr>
          <w:rFonts w:hint="eastAsia" w:ascii="黑体" w:eastAsia="黑体"/>
          <w:i w:val="0"/>
        </w:rPr>
        <w:t xml:space="preserve">1 </w:t>
      </w:r>
      <w:r>
        <w:rPr>
          <w:rFonts w:hint="eastAsia"/>
          <w:highlight w:val="none"/>
        </w:rPr>
        <w:t>范围</w:t>
      </w:r>
      <w:r>
        <w:tab/>
      </w:r>
      <w:r>
        <w:fldChar w:fldCharType="begin"/>
      </w:r>
      <w:r>
        <w:instrText xml:space="preserve"> PAGEREF _Toc23454 \h </w:instrText>
      </w:r>
      <w:r>
        <w:fldChar w:fldCharType="separate"/>
      </w:r>
      <w:r>
        <w:t>1</w:t>
      </w:r>
      <w:r>
        <w:fldChar w:fldCharType="end"/>
      </w:r>
      <w:r>
        <w:rPr>
          <w:rFonts w:hint="eastAsia"/>
          <w:spacing w:val="0"/>
          <w:lang w:eastAsia="zh-CN"/>
        </w:rPr>
        <w:fldChar w:fldCharType="end"/>
      </w:r>
    </w:p>
    <w:p w14:paraId="58FD593C">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_Toc9697 </w:instrText>
      </w:r>
      <w:r>
        <w:rPr>
          <w:rFonts w:hint="eastAsia"/>
          <w:spacing w:val="0"/>
          <w:lang w:eastAsia="zh-CN"/>
        </w:rPr>
        <w:fldChar w:fldCharType="separate"/>
      </w:r>
      <w:r>
        <w:rPr>
          <w:rFonts w:hint="eastAsia" w:ascii="黑体" w:eastAsia="黑体"/>
          <w:i w:val="0"/>
        </w:rPr>
        <w:t xml:space="preserve">2 </w:t>
      </w:r>
      <w:r>
        <w:rPr>
          <w:rFonts w:hint="eastAsia"/>
          <w:highlight w:val="none"/>
        </w:rPr>
        <w:t>规范性引用文件</w:t>
      </w:r>
      <w:r>
        <w:tab/>
      </w:r>
      <w:r>
        <w:fldChar w:fldCharType="begin"/>
      </w:r>
      <w:r>
        <w:instrText xml:space="preserve"> PAGEREF _Toc9697 \h </w:instrText>
      </w:r>
      <w:r>
        <w:fldChar w:fldCharType="separate"/>
      </w:r>
      <w:r>
        <w:t>1</w:t>
      </w:r>
      <w:r>
        <w:fldChar w:fldCharType="end"/>
      </w:r>
      <w:r>
        <w:rPr>
          <w:rFonts w:hint="eastAsia"/>
          <w:spacing w:val="0"/>
          <w:lang w:eastAsia="zh-CN"/>
        </w:rPr>
        <w:fldChar w:fldCharType="end"/>
      </w:r>
    </w:p>
    <w:p w14:paraId="3F31CE88">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_Toc1296 </w:instrText>
      </w:r>
      <w:r>
        <w:rPr>
          <w:rFonts w:hint="eastAsia"/>
          <w:spacing w:val="0"/>
          <w:lang w:eastAsia="zh-CN"/>
        </w:rP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_Toc1296 \h </w:instrText>
      </w:r>
      <w:r>
        <w:fldChar w:fldCharType="separate"/>
      </w:r>
      <w:r>
        <w:t>1</w:t>
      </w:r>
      <w:r>
        <w:fldChar w:fldCharType="end"/>
      </w:r>
      <w:r>
        <w:rPr>
          <w:rFonts w:hint="eastAsia"/>
          <w:spacing w:val="0"/>
          <w:lang w:eastAsia="zh-CN"/>
        </w:rPr>
        <w:fldChar w:fldCharType="end"/>
      </w:r>
    </w:p>
    <w:p w14:paraId="37033108">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_Toc4170 </w:instrText>
      </w:r>
      <w:r>
        <w:rPr>
          <w:rFonts w:hint="eastAsia"/>
          <w:spacing w:val="0"/>
          <w:lang w:eastAsia="zh-CN"/>
        </w:rPr>
        <w:fldChar w:fldCharType="separate"/>
      </w:r>
      <w:r>
        <w:rPr>
          <w:rFonts w:hint="eastAsia" w:ascii="黑体" w:eastAsia="黑体"/>
          <w:i w:val="0"/>
          <w:lang w:eastAsia="zh-CN"/>
        </w:rPr>
        <w:t xml:space="preserve">4 </w:t>
      </w:r>
      <w:r>
        <w:rPr>
          <w:rFonts w:hint="eastAsia"/>
          <w:lang w:val="en-US" w:eastAsia="zh-CN"/>
        </w:rPr>
        <w:t>量化</w:t>
      </w:r>
      <w:r>
        <w:rPr>
          <w:rFonts w:hint="eastAsia"/>
          <w:lang w:eastAsia="zh-CN"/>
        </w:rPr>
        <w:t>目的</w:t>
      </w:r>
      <w:r>
        <w:tab/>
      </w:r>
      <w:r>
        <w:fldChar w:fldCharType="begin"/>
      </w:r>
      <w:r>
        <w:instrText xml:space="preserve"> PAGEREF _Toc4170 \h </w:instrText>
      </w:r>
      <w:r>
        <w:fldChar w:fldCharType="separate"/>
      </w:r>
      <w:r>
        <w:t>2</w:t>
      </w:r>
      <w:r>
        <w:fldChar w:fldCharType="end"/>
      </w:r>
      <w:r>
        <w:rPr>
          <w:rFonts w:hint="eastAsia"/>
          <w:spacing w:val="0"/>
          <w:lang w:eastAsia="zh-CN"/>
        </w:rPr>
        <w:fldChar w:fldCharType="end"/>
      </w:r>
    </w:p>
    <w:p w14:paraId="5FAC56F3">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_Toc3133 </w:instrText>
      </w:r>
      <w:r>
        <w:rPr>
          <w:rFonts w:hint="eastAsia"/>
          <w:spacing w:val="0"/>
          <w:lang w:eastAsia="zh-CN"/>
        </w:rPr>
        <w:fldChar w:fldCharType="separate"/>
      </w:r>
      <w:r>
        <w:rPr>
          <w:rFonts w:hint="eastAsia" w:ascii="黑体" w:eastAsia="黑体"/>
          <w:i w:val="0"/>
          <w:lang w:eastAsia="zh-CN"/>
        </w:rPr>
        <w:t xml:space="preserve">5 </w:t>
      </w:r>
      <w:r>
        <w:rPr>
          <w:rFonts w:hint="eastAsia"/>
          <w:highlight w:val="none"/>
          <w:lang w:val="en-US" w:eastAsia="zh-CN"/>
        </w:rPr>
        <w:t>量化</w:t>
      </w:r>
      <w:r>
        <w:rPr>
          <w:rFonts w:hint="eastAsia"/>
          <w:highlight w:val="none"/>
          <w:lang w:eastAsia="zh-CN"/>
        </w:rPr>
        <w:t>范围</w:t>
      </w:r>
      <w:r>
        <w:tab/>
      </w:r>
      <w:r>
        <w:fldChar w:fldCharType="begin"/>
      </w:r>
      <w:r>
        <w:instrText xml:space="preserve"> PAGEREF _Toc3133 \h </w:instrText>
      </w:r>
      <w:r>
        <w:fldChar w:fldCharType="separate"/>
      </w:r>
      <w:r>
        <w:t>2</w:t>
      </w:r>
      <w:r>
        <w:fldChar w:fldCharType="end"/>
      </w:r>
      <w:r>
        <w:rPr>
          <w:rFonts w:hint="eastAsia"/>
          <w:spacing w:val="0"/>
          <w:lang w:eastAsia="zh-CN"/>
        </w:rPr>
        <w:fldChar w:fldCharType="end"/>
      </w:r>
    </w:p>
    <w:p w14:paraId="2D8427EA">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_Toc14257 </w:instrText>
      </w:r>
      <w:r>
        <w:rPr>
          <w:rFonts w:hint="eastAsia"/>
          <w:spacing w:val="0"/>
          <w:lang w:eastAsia="zh-CN"/>
        </w:rPr>
        <w:fldChar w:fldCharType="separate"/>
      </w:r>
      <w:r>
        <w:rPr>
          <w:rFonts w:hint="eastAsia" w:ascii="黑体" w:eastAsia="黑体"/>
          <w:i w:val="0"/>
          <w:lang w:eastAsia="zh-CN"/>
        </w:rPr>
        <w:t xml:space="preserve">6 </w:t>
      </w:r>
      <w:r>
        <w:rPr>
          <w:rFonts w:hint="eastAsia"/>
          <w:lang w:val="en-US" w:eastAsia="zh-CN"/>
        </w:rPr>
        <w:t>量化</w:t>
      </w:r>
      <w:r>
        <w:rPr>
          <w:rFonts w:hint="eastAsia"/>
          <w:lang w:eastAsia="zh-CN"/>
        </w:rPr>
        <w:t>步骤</w:t>
      </w:r>
      <w:r>
        <w:tab/>
      </w:r>
      <w:r>
        <w:fldChar w:fldCharType="begin"/>
      </w:r>
      <w:r>
        <w:instrText xml:space="preserve"> PAGEREF _Toc14257 \h </w:instrText>
      </w:r>
      <w:r>
        <w:fldChar w:fldCharType="separate"/>
      </w:r>
      <w:r>
        <w:t>4</w:t>
      </w:r>
      <w:r>
        <w:fldChar w:fldCharType="end"/>
      </w:r>
      <w:r>
        <w:rPr>
          <w:rFonts w:hint="eastAsia"/>
          <w:spacing w:val="0"/>
          <w:lang w:eastAsia="zh-CN"/>
        </w:rPr>
        <w:fldChar w:fldCharType="end"/>
      </w:r>
    </w:p>
    <w:p w14:paraId="328F0FA8">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_Toc11994 </w:instrText>
      </w:r>
      <w:r>
        <w:rPr>
          <w:rFonts w:hint="eastAsia"/>
          <w:spacing w:val="0"/>
          <w:lang w:eastAsia="zh-CN"/>
        </w:rPr>
        <w:fldChar w:fldCharType="separate"/>
      </w:r>
      <w:r>
        <w:rPr>
          <w:rFonts w:hint="eastAsia" w:ascii="黑体" w:eastAsia="黑体"/>
          <w:i w:val="0"/>
          <w:lang w:eastAsia="zh-CN"/>
        </w:rPr>
        <w:t xml:space="preserve">7 </w:t>
      </w:r>
      <w:r>
        <w:rPr>
          <w:rFonts w:hint="eastAsia"/>
          <w:lang w:eastAsia="zh-CN"/>
        </w:rPr>
        <w:t>数据</w:t>
      </w:r>
      <w:r>
        <w:rPr>
          <w:rFonts w:hint="eastAsia"/>
          <w:lang w:val="en-US" w:eastAsia="zh-CN"/>
        </w:rPr>
        <w:t>要求</w:t>
      </w:r>
      <w:r>
        <w:tab/>
      </w:r>
      <w:r>
        <w:fldChar w:fldCharType="begin"/>
      </w:r>
      <w:r>
        <w:instrText xml:space="preserve"> PAGEREF _Toc11994 \h </w:instrText>
      </w:r>
      <w:r>
        <w:fldChar w:fldCharType="separate"/>
      </w:r>
      <w:r>
        <w:t>4</w:t>
      </w:r>
      <w:r>
        <w:fldChar w:fldCharType="end"/>
      </w:r>
      <w:r>
        <w:rPr>
          <w:rFonts w:hint="eastAsia"/>
          <w:spacing w:val="0"/>
          <w:lang w:eastAsia="zh-CN"/>
        </w:rPr>
        <w:fldChar w:fldCharType="end"/>
      </w:r>
    </w:p>
    <w:p w14:paraId="1A10CC7B">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_Toc5767 </w:instrText>
      </w:r>
      <w:r>
        <w:rPr>
          <w:rFonts w:hint="eastAsia"/>
          <w:spacing w:val="0"/>
          <w:lang w:eastAsia="zh-CN"/>
        </w:rPr>
        <w:fldChar w:fldCharType="separate"/>
      </w:r>
      <w:r>
        <w:rPr>
          <w:rFonts w:hint="eastAsia" w:ascii="黑体" w:eastAsia="黑体"/>
          <w:i w:val="0"/>
          <w:lang w:eastAsia="zh-CN"/>
        </w:rPr>
        <w:t xml:space="preserve">8 </w:t>
      </w:r>
      <w:r>
        <w:rPr>
          <w:rFonts w:hint="eastAsia"/>
          <w:lang w:val="en-US" w:eastAsia="zh-CN"/>
        </w:rPr>
        <w:t>量化</w:t>
      </w:r>
      <w:r>
        <w:rPr>
          <w:rFonts w:hint="eastAsia"/>
          <w:lang w:eastAsia="zh-CN"/>
        </w:rPr>
        <w:t>方法</w:t>
      </w:r>
      <w:r>
        <w:tab/>
      </w:r>
      <w:r>
        <w:fldChar w:fldCharType="begin"/>
      </w:r>
      <w:r>
        <w:instrText xml:space="preserve"> PAGEREF _Toc5767 \h </w:instrText>
      </w:r>
      <w:r>
        <w:fldChar w:fldCharType="separate"/>
      </w:r>
      <w:r>
        <w:t>5</w:t>
      </w:r>
      <w:r>
        <w:fldChar w:fldCharType="end"/>
      </w:r>
      <w:r>
        <w:rPr>
          <w:rFonts w:hint="eastAsia"/>
          <w:spacing w:val="0"/>
          <w:lang w:eastAsia="zh-CN"/>
        </w:rPr>
        <w:fldChar w:fldCharType="end"/>
      </w:r>
    </w:p>
    <w:p w14:paraId="4563FC7B">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_Toc2807 </w:instrText>
      </w:r>
      <w:r>
        <w:rPr>
          <w:rFonts w:hint="eastAsia"/>
          <w:spacing w:val="0"/>
          <w:lang w:eastAsia="zh-CN"/>
        </w:rPr>
        <w:fldChar w:fldCharType="separate"/>
      </w:r>
      <w:r>
        <w:rPr>
          <w:rFonts w:hint="eastAsia" w:ascii="黑体" w:eastAsia="黑体"/>
          <w:i w:val="0"/>
          <w:lang w:val="en-US" w:eastAsia="zh-CN"/>
        </w:rPr>
        <w:t xml:space="preserve">9 </w:t>
      </w:r>
      <w:r>
        <w:rPr>
          <w:rFonts w:hint="eastAsia"/>
          <w:lang w:val="en-US" w:eastAsia="zh-CN"/>
        </w:rPr>
        <w:t>核算报告</w:t>
      </w:r>
      <w:r>
        <w:tab/>
      </w:r>
      <w:r>
        <w:fldChar w:fldCharType="begin"/>
      </w:r>
      <w:r>
        <w:instrText xml:space="preserve"> PAGEREF _Toc2807 \h </w:instrText>
      </w:r>
      <w:r>
        <w:fldChar w:fldCharType="separate"/>
      </w:r>
      <w:r>
        <w:t>10</w:t>
      </w:r>
      <w:r>
        <w:fldChar w:fldCharType="end"/>
      </w:r>
      <w:r>
        <w:rPr>
          <w:rFonts w:hint="eastAsia"/>
          <w:spacing w:val="0"/>
          <w:lang w:eastAsia="zh-CN"/>
        </w:rPr>
        <w:fldChar w:fldCharType="end"/>
      </w:r>
    </w:p>
    <w:p w14:paraId="54DF439E">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_Toc12912 </w:instrText>
      </w:r>
      <w:r>
        <w:rPr>
          <w:rFonts w:hint="eastAsia"/>
          <w:spacing w:val="0"/>
          <w:lang w:eastAsia="zh-CN"/>
        </w:rPr>
        <w:fldChar w:fldCharType="separate"/>
      </w:r>
      <w:r>
        <w:rPr>
          <w:rFonts w:hint="eastAsia" w:ascii="黑体" w:eastAsia="黑体"/>
          <w:i w:val="0"/>
          <w:lang w:val="en-US" w:eastAsia="zh-CN"/>
        </w:rPr>
        <w:t xml:space="preserve">10 </w:t>
      </w:r>
      <w:r>
        <w:rPr>
          <w:rFonts w:hint="eastAsia"/>
          <w:lang w:val="en-US" w:eastAsia="zh-CN"/>
        </w:rPr>
        <w:t>声明标识</w:t>
      </w:r>
      <w:r>
        <w:tab/>
      </w:r>
      <w:r>
        <w:fldChar w:fldCharType="begin"/>
      </w:r>
      <w:r>
        <w:instrText xml:space="preserve"> PAGEREF _Toc12912 \h </w:instrText>
      </w:r>
      <w:r>
        <w:fldChar w:fldCharType="separate"/>
      </w:r>
      <w:r>
        <w:t>11</w:t>
      </w:r>
      <w:r>
        <w:fldChar w:fldCharType="end"/>
      </w:r>
      <w:r>
        <w:rPr>
          <w:rFonts w:hint="eastAsia"/>
          <w:spacing w:val="0"/>
          <w:lang w:eastAsia="zh-CN"/>
        </w:rPr>
        <w:fldChar w:fldCharType="end"/>
      </w:r>
    </w:p>
    <w:p w14:paraId="6174656A">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_Toc22556 </w:instrText>
      </w:r>
      <w:r>
        <w:rPr>
          <w:rFonts w:hint="eastAsia"/>
          <w:spacing w:val="0"/>
          <w:lang w:eastAsia="zh-CN"/>
        </w:rPr>
        <w:fldChar w:fldCharType="separate"/>
      </w:r>
      <w:r>
        <w:rPr>
          <w:rFonts w:hint="eastAsia"/>
          <w:spacing w:val="100"/>
          <w:lang w:val="en-US" w:eastAsia="zh-CN"/>
        </w:rPr>
        <w:t xml:space="preserve">附录A </w:t>
      </w:r>
      <w:r>
        <w:rPr>
          <w:rFonts w:hint="eastAsia"/>
          <w:lang w:val="en-US" w:eastAsia="zh-CN"/>
        </w:rPr>
        <w:t xml:space="preserve"> </w:t>
      </w:r>
      <w:r>
        <w:rPr>
          <w:rFonts w:hint="eastAsia"/>
          <w:lang w:val="en-US" w:eastAsia="zh-CN"/>
        </w:rPr>
        <w:t>（资料性）</w:t>
      </w:r>
      <w:r>
        <w:rPr>
          <w:rFonts w:hint="eastAsia"/>
          <w:lang w:val="en-US" w:eastAsia="zh-CN"/>
        </w:rPr>
        <w:t xml:space="preserve"> </w:t>
      </w:r>
      <w:r>
        <w:rPr>
          <w:rFonts w:hint="eastAsia"/>
          <w:lang w:val="en-US" w:eastAsia="zh-CN"/>
        </w:rPr>
        <w:t>食用菊花产品碳足迹需监测和获取的活动数据及相关要求</w:t>
      </w:r>
      <w:r>
        <w:tab/>
      </w:r>
      <w:r>
        <w:fldChar w:fldCharType="begin"/>
      </w:r>
      <w:r>
        <w:instrText xml:space="preserve"> PAGEREF _Toc22556 \h </w:instrText>
      </w:r>
      <w:r>
        <w:fldChar w:fldCharType="separate"/>
      </w:r>
      <w:r>
        <w:t>12</w:t>
      </w:r>
      <w:r>
        <w:fldChar w:fldCharType="end"/>
      </w:r>
      <w:r>
        <w:rPr>
          <w:rFonts w:hint="eastAsia"/>
          <w:spacing w:val="0"/>
          <w:lang w:eastAsia="zh-CN"/>
        </w:rPr>
        <w:fldChar w:fldCharType="end"/>
      </w:r>
    </w:p>
    <w:p w14:paraId="69002B7A">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_Toc21375 </w:instrText>
      </w:r>
      <w:r>
        <w:rPr>
          <w:rFonts w:hint="eastAsia"/>
          <w:spacing w:val="0"/>
          <w:lang w:eastAsia="zh-CN"/>
        </w:rPr>
        <w:fldChar w:fldCharType="separate"/>
      </w:r>
      <w:r>
        <w:rPr>
          <w:rFonts w:hint="eastAsia"/>
          <w:spacing w:val="100"/>
          <w:lang w:val="en-US" w:eastAsia="zh-CN"/>
        </w:rPr>
        <w:t xml:space="preserve">附录B </w:t>
      </w:r>
      <w:r>
        <w:rPr>
          <w:rFonts w:hint="eastAsia"/>
          <w:lang w:val="en-US" w:eastAsia="zh-CN"/>
        </w:rPr>
        <w:t xml:space="preserve"> </w:t>
      </w:r>
      <w:r>
        <w:rPr>
          <w:rFonts w:hint="eastAsia"/>
          <w:lang w:val="en-US" w:eastAsia="zh-CN"/>
        </w:rPr>
        <w:t>（资料性）</w:t>
      </w:r>
      <w:r>
        <w:rPr>
          <w:rFonts w:hint="eastAsia"/>
          <w:lang w:val="en-US" w:eastAsia="zh-CN"/>
        </w:rPr>
        <w:t xml:space="preserve"> </w:t>
      </w:r>
      <w:r>
        <w:rPr>
          <w:rFonts w:hint="eastAsia"/>
          <w:lang w:val="en-US" w:eastAsia="zh-CN"/>
        </w:rPr>
        <w:t>排放因子推荐值（广东适用）</w:t>
      </w:r>
      <w:r>
        <w:tab/>
      </w:r>
      <w:r>
        <w:fldChar w:fldCharType="begin"/>
      </w:r>
      <w:r>
        <w:instrText xml:space="preserve"> PAGEREF _Toc21375 \h </w:instrText>
      </w:r>
      <w:r>
        <w:fldChar w:fldCharType="separate"/>
      </w:r>
      <w:r>
        <w:t>14</w:t>
      </w:r>
      <w:r>
        <w:fldChar w:fldCharType="end"/>
      </w:r>
      <w:r>
        <w:rPr>
          <w:rFonts w:hint="eastAsia"/>
          <w:spacing w:val="0"/>
          <w:lang w:eastAsia="zh-CN"/>
        </w:rPr>
        <w:fldChar w:fldCharType="end"/>
      </w:r>
    </w:p>
    <w:p w14:paraId="7BFD0DB5">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_Toc6675 </w:instrText>
      </w:r>
      <w:r>
        <w:rPr>
          <w:rFonts w:hint="eastAsia"/>
          <w:spacing w:val="0"/>
          <w:lang w:eastAsia="zh-CN"/>
        </w:rPr>
        <w:fldChar w:fldCharType="separate"/>
      </w:r>
      <w:r>
        <w:rPr>
          <w:rFonts w:hint="eastAsia"/>
          <w:spacing w:val="100"/>
          <w:lang w:val="en-US" w:eastAsia="zh-CN"/>
        </w:rPr>
        <w:t xml:space="preserve">附录C </w:t>
      </w:r>
      <w:r>
        <w:rPr>
          <w:rFonts w:hint="eastAsia"/>
          <w:lang w:val="en-US" w:eastAsia="zh-CN"/>
        </w:rPr>
        <w:t xml:space="preserve"> </w:t>
      </w:r>
      <w:r>
        <w:rPr>
          <w:rFonts w:hint="eastAsia"/>
          <w:lang w:val="en-US" w:eastAsia="zh-CN"/>
        </w:rPr>
        <w:t>（资料性）</w:t>
      </w:r>
      <w:r>
        <w:rPr>
          <w:rFonts w:hint="eastAsia"/>
          <w:lang w:val="en-US" w:eastAsia="zh-CN"/>
        </w:rPr>
        <w:t xml:space="preserve"> </w:t>
      </w:r>
      <w:r>
        <w:rPr>
          <w:rFonts w:hint="eastAsia"/>
          <w:lang w:val="en-US" w:eastAsia="zh-CN"/>
        </w:rPr>
        <w:t>食用菊花碳足迹核算报告（模板）</w:t>
      </w:r>
      <w:r>
        <w:tab/>
      </w:r>
      <w:r>
        <w:fldChar w:fldCharType="begin"/>
      </w:r>
      <w:r>
        <w:instrText xml:space="preserve"> PAGEREF _Toc6675 \h </w:instrText>
      </w:r>
      <w:r>
        <w:fldChar w:fldCharType="separate"/>
      </w:r>
      <w:r>
        <w:t>17</w:t>
      </w:r>
      <w:r>
        <w:fldChar w:fldCharType="end"/>
      </w:r>
      <w:r>
        <w:rPr>
          <w:rFonts w:hint="eastAsia"/>
          <w:spacing w:val="0"/>
          <w:lang w:eastAsia="zh-CN"/>
        </w:rPr>
        <w:fldChar w:fldCharType="end"/>
      </w:r>
    </w:p>
    <w:p w14:paraId="56953905">
      <w:pPr>
        <w:pStyle w:val="20"/>
        <w:tabs>
          <w:tab w:val="right" w:leader="dot" w:pos="9354"/>
        </w:tabs>
      </w:pPr>
      <w:r>
        <w:rPr>
          <w:rFonts w:hint="eastAsia"/>
          <w:spacing w:val="0"/>
          <w:lang w:eastAsia="zh-CN"/>
        </w:rPr>
        <w:fldChar w:fldCharType="begin"/>
      </w:r>
      <w:r>
        <w:rPr>
          <w:rFonts w:hint="eastAsia"/>
          <w:spacing w:val="0"/>
          <w:lang w:eastAsia="zh-CN"/>
        </w:rPr>
        <w:instrText xml:space="preserve"> HYPERLINK \l _Toc25171 </w:instrText>
      </w:r>
      <w:r>
        <w:rPr>
          <w:rFonts w:hint="eastAsia"/>
          <w:spacing w:val="0"/>
          <w:lang w:eastAsia="zh-CN"/>
        </w:rPr>
        <w:fldChar w:fldCharType="separate"/>
      </w:r>
      <w:r>
        <w:rPr>
          <w:rFonts w:hint="eastAsia"/>
          <w:spacing w:val="105"/>
          <w:lang w:val="en-US" w:eastAsia="zh-CN"/>
        </w:rPr>
        <w:t>参考文</w:t>
      </w:r>
      <w:r>
        <w:rPr>
          <w:rFonts w:hint="eastAsia"/>
          <w:lang w:val="en-US" w:eastAsia="zh-CN"/>
        </w:rPr>
        <w:t>献</w:t>
      </w:r>
      <w:r>
        <w:tab/>
      </w:r>
      <w:r>
        <w:fldChar w:fldCharType="begin"/>
      </w:r>
      <w:r>
        <w:instrText xml:space="preserve"> PAGEREF _Toc25171 \h </w:instrText>
      </w:r>
      <w:r>
        <w:fldChar w:fldCharType="separate"/>
      </w:r>
      <w:r>
        <w:t>21</w:t>
      </w:r>
      <w:r>
        <w:fldChar w:fldCharType="end"/>
      </w:r>
      <w:r>
        <w:rPr>
          <w:rFonts w:hint="eastAsia"/>
          <w:spacing w:val="0"/>
          <w:lang w:eastAsia="zh-CN"/>
        </w:rPr>
        <w:fldChar w:fldCharType="end"/>
      </w:r>
    </w:p>
    <w:p w14:paraId="64784BE8">
      <w:pPr>
        <w:pStyle w:val="96"/>
        <w:bidi w:val="0"/>
        <w:rPr>
          <w:rFonts w:hint="eastAsia"/>
          <w:spacing w:val="0"/>
          <w:lang w:eastAsia="zh-CN"/>
        </w:rPr>
        <w:sectPr>
          <w:headerReference r:id="rId9" w:type="default"/>
          <w:footerReference r:id="rId10" w:type="default"/>
          <w:pgSz w:w="11906" w:h="16838"/>
          <w:pgMar w:top="1928" w:right="1134" w:bottom="1134" w:left="1134" w:header="1418" w:footer="1134" w:gutter="284"/>
          <w:pgNumType w:fmt="upperRoman" w:start="1"/>
          <w:cols w:space="425" w:num="1"/>
          <w:formProt w:val="0"/>
          <w:docGrid w:linePitch="312" w:charSpace="0"/>
        </w:sectPr>
      </w:pPr>
      <w:r>
        <w:rPr>
          <w:rFonts w:hint="eastAsia"/>
          <w:spacing w:val="0"/>
          <w:lang w:eastAsia="zh-CN"/>
        </w:rPr>
        <w:fldChar w:fldCharType="end"/>
      </w:r>
    </w:p>
    <w:bookmarkEnd w:id="21"/>
    <w:p w14:paraId="75B5C2AE">
      <w:pPr>
        <w:pStyle w:val="94"/>
        <w:bidi w:val="0"/>
        <w:spacing w:before="560"/>
        <w:rPr>
          <w:rFonts w:hint="eastAsia"/>
          <w:lang w:eastAsia="zh-CN"/>
        </w:rPr>
      </w:pPr>
      <w:bookmarkStart w:id="24" w:name="_Toc24601"/>
      <w:bookmarkStart w:id="25" w:name="BookMark2"/>
      <w:r>
        <w:rPr>
          <w:rFonts w:hint="eastAsia"/>
          <w:spacing w:val="320"/>
          <w:lang w:eastAsia="zh-CN"/>
        </w:rPr>
        <w:t>前</w:t>
      </w:r>
      <w:r>
        <w:rPr>
          <w:rFonts w:hint="eastAsia"/>
          <w:lang w:eastAsia="zh-CN"/>
        </w:rPr>
        <w:t>言</w:t>
      </w:r>
      <w:bookmarkEnd w:id="22"/>
      <w:bookmarkEnd w:id="23"/>
      <w:bookmarkEnd w:id="24"/>
    </w:p>
    <w:p w14:paraId="7D88497E">
      <w:pPr>
        <w:pStyle w:val="38"/>
        <w:bidi w:val="0"/>
        <w:rPr>
          <w:rFonts w:hint="eastAsia"/>
          <w:lang w:eastAsia="zh-CN"/>
        </w:rPr>
      </w:pPr>
      <w:r>
        <w:rPr>
          <w:rFonts w:hint="eastAsia"/>
          <w:lang w:eastAsia="zh-CN"/>
        </w:rPr>
        <w:t>本文件按照GB/T 1.1—2020《标准化工作导则  第1部分：标准化文件的结构和起草规则》的规定起草。</w:t>
      </w:r>
    </w:p>
    <w:p w14:paraId="7B4959BC">
      <w:pPr>
        <w:pStyle w:val="38"/>
        <w:bidi w:val="0"/>
        <w:rPr>
          <w:rFonts w:hint="eastAsia"/>
          <w:highlight w:val="none"/>
          <w:lang w:eastAsia="zh-CN"/>
        </w:rPr>
      </w:pPr>
      <w:r>
        <w:rPr>
          <w:rFonts w:hint="eastAsia"/>
          <w:lang w:eastAsia="zh-CN"/>
        </w:rPr>
        <w:t>请注</w:t>
      </w:r>
      <w:r>
        <w:rPr>
          <w:rFonts w:hint="eastAsia"/>
          <w:highlight w:val="none"/>
          <w:lang w:eastAsia="zh-CN"/>
        </w:rPr>
        <w:t>意本文件的某些内容可能涉及专利。本文件的发布机构不承担识别专利的责任。</w:t>
      </w:r>
    </w:p>
    <w:p w14:paraId="6FFC88BA">
      <w:pPr>
        <w:pStyle w:val="38"/>
        <w:bidi w:val="0"/>
        <w:rPr>
          <w:rFonts w:hint="eastAsia"/>
          <w:highlight w:val="none"/>
          <w:lang w:eastAsia="zh-CN"/>
        </w:rPr>
      </w:pPr>
      <w:r>
        <w:rPr>
          <w:rFonts w:hint="eastAsia"/>
          <w:highlight w:val="none"/>
          <w:lang w:eastAsia="zh-CN"/>
        </w:rPr>
        <w:t>本文件由</w:t>
      </w:r>
      <w:r>
        <w:rPr>
          <w:rFonts w:hint="eastAsia"/>
          <w:highlight w:val="none"/>
          <w:lang w:val="en-US" w:eastAsia="zh-CN"/>
        </w:rPr>
        <w:t xml:space="preserve">    </w:t>
      </w:r>
      <w:r>
        <w:rPr>
          <w:rFonts w:hint="eastAsia"/>
          <w:highlight w:val="none"/>
          <w:lang w:eastAsia="zh-CN"/>
        </w:rPr>
        <w:t>提出。</w:t>
      </w:r>
    </w:p>
    <w:p w14:paraId="78681FC0">
      <w:pPr>
        <w:pStyle w:val="38"/>
        <w:bidi w:val="0"/>
        <w:rPr>
          <w:rFonts w:hint="eastAsia"/>
          <w:highlight w:val="none"/>
          <w:lang w:eastAsia="zh-CN"/>
        </w:rPr>
      </w:pPr>
      <w:r>
        <w:rPr>
          <w:rFonts w:hint="eastAsia"/>
          <w:highlight w:val="none"/>
          <w:lang w:eastAsia="zh-CN"/>
        </w:rPr>
        <w:t>本文件由</w:t>
      </w:r>
      <w:r>
        <w:rPr>
          <w:rFonts w:hint="eastAsia"/>
          <w:highlight w:val="none"/>
          <w:lang w:val="en-US" w:eastAsia="zh-CN"/>
        </w:rPr>
        <w:t xml:space="preserve">    </w:t>
      </w:r>
      <w:r>
        <w:rPr>
          <w:rFonts w:hint="eastAsia"/>
          <w:highlight w:val="none"/>
          <w:lang w:eastAsia="zh-CN"/>
        </w:rPr>
        <w:t>归口。</w:t>
      </w:r>
    </w:p>
    <w:p w14:paraId="3F036A6A">
      <w:pPr>
        <w:pStyle w:val="38"/>
        <w:bidi w:val="0"/>
        <w:rPr>
          <w:rFonts w:hint="eastAsia"/>
          <w:highlight w:val="none"/>
          <w:lang w:eastAsia="zh-CN"/>
        </w:rPr>
      </w:pPr>
      <w:r>
        <w:rPr>
          <w:rFonts w:hint="eastAsia"/>
          <w:highlight w:val="none"/>
          <w:lang w:eastAsia="zh-CN"/>
        </w:rPr>
        <w:t>本文件起草单位：</w:t>
      </w:r>
    </w:p>
    <w:p w14:paraId="60A52203">
      <w:pPr>
        <w:pStyle w:val="38"/>
        <w:bidi w:val="0"/>
        <w:rPr>
          <w:rFonts w:hint="eastAsia"/>
          <w:highlight w:val="none"/>
          <w:lang w:eastAsia="zh-CN"/>
        </w:rPr>
      </w:pPr>
      <w:r>
        <w:rPr>
          <w:rFonts w:hint="eastAsia"/>
          <w:highlight w:val="none"/>
          <w:lang w:eastAsia="zh-CN"/>
        </w:rPr>
        <w:t>本文件主要起草人：</w:t>
      </w:r>
    </w:p>
    <w:p w14:paraId="57C3AC49">
      <w:pPr>
        <w:pStyle w:val="38"/>
        <w:bidi w:val="0"/>
        <w:rPr>
          <w:rFonts w:hint="eastAsia"/>
          <w:highlight w:val="none"/>
          <w:lang w:eastAsia="zh-CN"/>
        </w:rPr>
      </w:pPr>
    </w:p>
    <w:p w14:paraId="723E2CA4">
      <w:pPr>
        <w:pStyle w:val="38"/>
        <w:bidi w:val="0"/>
        <w:rPr>
          <w:rFonts w:hint="eastAsia"/>
          <w:highlight w:val="none"/>
          <w:lang w:eastAsia="zh-CN"/>
        </w:rPr>
        <w:sectPr>
          <w:pgSz w:w="11906" w:h="16838"/>
          <w:pgMar w:top="1928" w:right="1134" w:bottom="1134" w:left="1134" w:header="1418" w:footer="1134" w:gutter="284"/>
          <w:pgNumType w:fmt="upperRoman"/>
          <w:cols w:space="425" w:num="1"/>
          <w:formProt w:val="0"/>
          <w:docGrid w:linePitch="312" w:charSpace="0"/>
        </w:sectPr>
      </w:pPr>
    </w:p>
    <w:bookmarkEnd w:id="25"/>
    <w:p w14:paraId="092B9118">
      <w:pPr>
        <w:spacing w:line="20" w:lineRule="exact"/>
        <w:jc w:val="center"/>
        <w:rPr>
          <w:rFonts w:hint="eastAsia" w:ascii="黑体" w:hAnsi="黑体" w:eastAsia="黑体"/>
          <w:sz w:val="32"/>
          <w:szCs w:val="32"/>
          <w:highlight w:val="none"/>
        </w:rPr>
      </w:pPr>
      <w:bookmarkStart w:id="26" w:name="BookMark4"/>
    </w:p>
    <w:p w14:paraId="58FA81F3">
      <w:pPr>
        <w:spacing w:line="20" w:lineRule="exact"/>
        <w:jc w:val="center"/>
        <w:rPr>
          <w:rFonts w:hint="eastAsia" w:ascii="黑体" w:hAnsi="黑体" w:eastAsia="黑体"/>
          <w:sz w:val="32"/>
          <w:szCs w:val="32"/>
          <w:highlight w:val="none"/>
        </w:rPr>
      </w:pPr>
    </w:p>
    <w:sdt>
      <w:sdtPr>
        <w:rPr>
          <w:highlight w:val="none"/>
        </w:rPr>
        <w:tag w:val="NEW_STAND_NAME"/>
        <w:id w:val="595910757"/>
        <w:lock w:val="sdtLocked"/>
        <w:placeholder>
          <w:docPart w:val="9B3BEDB4F2724F9D81F4444A5CCE266D"/>
        </w:placeholder>
      </w:sdtPr>
      <w:sdtEndPr>
        <w:rPr>
          <w:highlight w:val="none"/>
        </w:rPr>
      </w:sdtEndPr>
      <w:sdtContent>
        <w:p w14:paraId="6787D626">
          <w:pPr>
            <w:pStyle w:val="179"/>
            <w:bidi w:val="0"/>
            <w:spacing w:before="313" w:beforeLines="100" w:after="4" w:afterLines="1"/>
            <w:rPr>
              <w:rFonts w:hint="eastAsia"/>
              <w:highlight w:val="none"/>
              <w:lang w:eastAsia="zh-CN"/>
            </w:rPr>
          </w:pPr>
          <w:bookmarkStart w:id="27" w:name="NEW_STAND_NAME"/>
          <w:r>
            <w:rPr>
              <w:rFonts w:hint="eastAsia"/>
              <w:highlight w:val="none"/>
              <w:lang w:eastAsia="zh-CN"/>
            </w:rPr>
            <w:t>温室气体 产品碳足迹量化方法与要求</w:t>
          </w:r>
        </w:p>
        <w:p w14:paraId="1D58211E">
          <w:pPr>
            <w:pStyle w:val="179"/>
            <w:bidi w:val="0"/>
            <w:spacing w:before="4" w:beforeLines="1" w:after="680"/>
            <w:rPr>
              <w:rFonts w:hint="eastAsia"/>
              <w:highlight w:val="none"/>
            </w:rPr>
          </w:pPr>
          <w:r>
            <w:rPr>
              <w:rFonts w:hint="eastAsia"/>
              <w:highlight w:val="none"/>
              <w:lang w:eastAsia="zh-CN"/>
            </w:rPr>
            <w:t>食用菊花</w:t>
          </w:r>
        </w:p>
      </w:sdtContent>
    </w:sdt>
    <w:bookmarkEnd w:id="27"/>
    <w:p w14:paraId="58FB4D92">
      <w:pPr>
        <w:pStyle w:val="106"/>
        <w:spacing w:before="240" w:after="240"/>
        <w:rPr>
          <w:highlight w:val="none"/>
        </w:rPr>
      </w:pPr>
      <w:bookmarkStart w:id="28" w:name="_Toc32157"/>
      <w:bookmarkStart w:id="29" w:name="_Toc26718930"/>
      <w:bookmarkStart w:id="30" w:name="_Toc24884211"/>
      <w:bookmarkStart w:id="31" w:name="_Toc24884218"/>
      <w:bookmarkStart w:id="32" w:name="_Toc26648465"/>
      <w:bookmarkStart w:id="33" w:name="_Toc97192964"/>
      <w:bookmarkStart w:id="34" w:name="_Toc26986530"/>
      <w:bookmarkStart w:id="35" w:name="_Toc4224"/>
      <w:bookmarkStart w:id="36" w:name="_Toc26986771"/>
      <w:bookmarkStart w:id="37" w:name="_Toc17233333"/>
      <w:bookmarkStart w:id="38" w:name="_Toc17233325"/>
      <w:bookmarkStart w:id="39" w:name="_Toc23454"/>
      <w:r>
        <w:rPr>
          <w:rFonts w:hint="eastAsia"/>
          <w:highlight w:val="none"/>
        </w:rPr>
        <w:t>范围</w:t>
      </w:r>
      <w:bookmarkEnd w:id="28"/>
      <w:bookmarkEnd w:id="29"/>
      <w:bookmarkEnd w:id="30"/>
      <w:bookmarkEnd w:id="31"/>
      <w:bookmarkEnd w:id="32"/>
      <w:bookmarkEnd w:id="33"/>
      <w:bookmarkEnd w:id="34"/>
      <w:bookmarkEnd w:id="35"/>
      <w:bookmarkEnd w:id="36"/>
      <w:bookmarkEnd w:id="37"/>
      <w:bookmarkEnd w:id="38"/>
      <w:bookmarkEnd w:id="39"/>
    </w:p>
    <w:p w14:paraId="300AA246">
      <w:pPr>
        <w:pStyle w:val="38"/>
        <w:ind w:firstLine="420"/>
        <w:rPr>
          <w:rFonts w:hint="eastAsia" w:eastAsia="宋体"/>
          <w:highlight w:val="none"/>
          <w:lang w:eastAsia="zh-CN"/>
        </w:rPr>
      </w:pPr>
      <w:bookmarkStart w:id="40" w:name="_Toc17233326"/>
      <w:bookmarkStart w:id="41" w:name="_Toc24884219"/>
      <w:bookmarkStart w:id="42" w:name="_Toc17233334"/>
      <w:bookmarkStart w:id="43" w:name="_Toc26648466"/>
      <w:bookmarkStart w:id="44" w:name="_Toc24884212"/>
      <w:r>
        <w:rPr>
          <w:rFonts w:hint="eastAsia" w:eastAsia="宋体"/>
          <w:highlight w:val="none"/>
          <w:lang w:eastAsia="zh-CN"/>
        </w:rPr>
        <w:t>本文件确立了</w:t>
      </w:r>
      <w:r>
        <w:rPr>
          <w:rFonts w:hint="eastAsia"/>
          <w:highlight w:val="none"/>
          <w:lang w:eastAsia="zh-CN"/>
        </w:rPr>
        <w:t>食用菊花</w:t>
      </w:r>
      <w:r>
        <w:rPr>
          <w:rFonts w:hint="eastAsia" w:eastAsia="宋体"/>
          <w:highlight w:val="none"/>
          <w:lang w:eastAsia="zh-CN"/>
        </w:rPr>
        <w:t>产品碳足迹的</w:t>
      </w:r>
      <w:r>
        <w:rPr>
          <w:rFonts w:hint="eastAsia"/>
          <w:highlight w:val="none"/>
          <w:lang w:val="en-US" w:eastAsia="zh-CN"/>
        </w:rPr>
        <w:t>量化</w:t>
      </w:r>
      <w:r>
        <w:rPr>
          <w:rFonts w:hint="eastAsia" w:eastAsia="宋体"/>
          <w:highlight w:val="none"/>
          <w:lang w:eastAsia="zh-CN"/>
        </w:rPr>
        <w:t>目</w:t>
      </w:r>
      <w:r>
        <w:rPr>
          <w:rFonts w:hint="eastAsia"/>
          <w:highlight w:val="none"/>
          <w:lang w:eastAsia="zh-CN"/>
        </w:rPr>
        <w:t>、量化</w:t>
      </w:r>
      <w:r>
        <w:rPr>
          <w:rFonts w:hint="eastAsia" w:eastAsia="宋体"/>
          <w:highlight w:val="none"/>
          <w:lang w:eastAsia="zh-CN"/>
        </w:rPr>
        <w:t>范围、</w:t>
      </w:r>
      <w:r>
        <w:rPr>
          <w:rFonts w:hint="eastAsia"/>
          <w:highlight w:val="none"/>
          <w:lang w:eastAsia="zh-CN"/>
        </w:rPr>
        <w:t>量化</w:t>
      </w:r>
      <w:r>
        <w:rPr>
          <w:rFonts w:hint="eastAsia"/>
          <w:highlight w:val="none"/>
          <w:lang w:val="en-US" w:eastAsia="zh-CN"/>
        </w:rPr>
        <w:t>步骤</w:t>
      </w:r>
      <w:r>
        <w:rPr>
          <w:rFonts w:hint="eastAsia" w:eastAsia="宋体"/>
          <w:highlight w:val="none"/>
          <w:lang w:eastAsia="zh-CN"/>
        </w:rPr>
        <w:t>、数据</w:t>
      </w:r>
      <w:r>
        <w:rPr>
          <w:rFonts w:hint="eastAsia"/>
          <w:highlight w:val="none"/>
          <w:lang w:eastAsia="zh-CN"/>
        </w:rPr>
        <w:t>要求、</w:t>
      </w:r>
      <w:r>
        <w:rPr>
          <w:rFonts w:hint="eastAsia"/>
          <w:highlight w:val="none"/>
          <w:lang w:val="en-US" w:eastAsia="zh-CN"/>
        </w:rPr>
        <w:t>量化方法、报告编制及声明标识</w:t>
      </w:r>
      <w:r>
        <w:rPr>
          <w:rFonts w:hint="eastAsia" w:eastAsia="宋体"/>
          <w:highlight w:val="none"/>
          <w:lang w:eastAsia="zh-CN"/>
        </w:rPr>
        <w:t>，界定了相关术语，明确了核算边界、内容、流程、核算方法与数据质量控制要求。</w:t>
      </w:r>
    </w:p>
    <w:p w14:paraId="73C6CD34">
      <w:pPr>
        <w:pStyle w:val="38"/>
        <w:ind w:firstLine="420"/>
        <w:rPr>
          <w:rFonts w:hint="eastAsia" w:eastAsia="宋体"/>
          <w:highlight w:val="none"/>
          <w:lang w:eastAsia="zh-CN"/>
        </w:rPr>
      </w:pPr>
      <w:r>
        <w:rPr>
          <w:rFonts w:hint="eastAsia" w:eastAsia="宋体"/>
          <w:highlight w:val="none"/>
          <w:lang w:eastAsia="zh-CN"/>
        </w:rPr>
        <w:t>本文件适用于</w:t>
      </w:r>
      <w:r>
        <w:rPr>
          <w:rFonts w:hint="eastAsia"/>
          <w:highlight w:val="none"/>
          <w:lang w:val="en-US" w:eastAsia="zh-CN"/>
        </w:rPr>
        <w:t>大棚种植</w:t>
      </w:r>
      <w:r>
        <w:rPr>
          <w:rFonts w:hint="eastAsia"/>
          <w:highlight w:val="none"/>
          <w:lang w:eastAsia="zh-CN"/>
        </w:rPr>
        <w:t>食用菊花</w:t>
      </w:r>
      <w:r>
        <w:rPr>
          <w:rFonts w:hint="eastAsia" w:eastAsia="宋体"/>
          <w:highlight w:val="none"/>
          <w:lang w:eastAsia="zh-CN"/>
        </w:rPr>
        <w:t>产品的碳足迹量化与</w:t>
      </w:r>
      <w:r>
        <w:rPr>
          <w:rFonts w:hint="eastAsia"/>
          <w:highlight w:val="none"/>
          <w:lang w:val="en-US" w:eastAsia="zh-CN"/>
        </w:rPr>
        <w:t>评价</w:t>
      </w:r>
      <w:r>
        <w:rPr>
          <w:rFonts w:hint="eastAsia" w:eastAsia="宋体"/>
          <w:highlight w:val="none"/>
          <w:lang w:eastAsia="zh-CN"/>
        </w:rPr>
        <w:t>。</w:t>
      </w:r>
    </w:p>
    <w:p w14:paraId="767F512F">
      <w:pPr>
        <w:pStyle w:val="106"/>
        <w:spacing w:before="240" w:after="240"/>
        <w:rPr>
          <w:highlight w:val="none"/>
        </w:rPr>
      </w:pPr>
      <w:bookmarkStart w:id="45" w:name="_Toc980"/>
      <w:bookmarkStart w:id="46" w:name="_Toc26986531"/>
      <w:bookmarkStart w:id="47" w:name="_Toc26718931"/>
      <w:bookmarkStart w:id="48" w:name="_Toc18376"/>
      <w:bookmarkStart w:id="49" w:name="_Toc26986772"/>
      <w:bookmarkStart w:id="50" w:name="_Toc97192965"/>
      <w:bookmarkStart w:id="51" w:name="_Toc9697"/>
      <w:r>
        <w:rPr>
          <w:rFonts w:hint="eastAsia"/>
          <w:highlight w:val="none"/>
        </w:rPr>
        <w:t>规范性引用文件</w:t>
      </w:r>
      <w:bookmarkEnd w:id="40"/>
      <w:bookmarkEnd w:id="41"/>
      <w:bookmarkEnd w:id="42"/>
      <w:bookmarkEnd w:id="43"/>
      <w:bookmarkEnd w:id="44"/>
      <w:bookmarkEnd w:id="45"/>
      <w:bookmarkEnd w:id="46"/>
      <w:bookmarkEnd w:id="47"/>
      <w:bookmarkEnd w:id="48"/>
      <w:bookmarkEnd w:id="49"/>
      <w:bookmarkEnd w:id="50"/>
      <w:bookmarkEnd w:id="51"/>
    </w:p>
    <w:sdt>
      <w:sdtPr>
        <w:rPr>
          <w:rFonts w:hint="eastAsia"/>
          <w:highlight w:val="none"/>
        </w:rPr>
        <w:id w:val="715848253"/>
        <w:placeholder>
          <w:docPart w:val="78956B8278AF41489B4C226600D2E8C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highlight w:val="none"/>
        </w:rPr>
      </w:sdtEndPr>
      <w:sdtContent>
        <w:p w14:paraId="0D5A6A32">
          <w:pPr>
            <w:pStyle w:val="38"/>
            <w:ind w:firstLine="420"/>
          </w:pPr>
          <w:r>
            <w:rPr>
              <w:rFonts w:hint="eastAsia"/>
              <w:highlight w:val="none"/>
            </w:rPr>
            <w:t>下列文件中的内容通过文中的规范性引用而构成本文件必不可少的条款。其中，注日期的引用文件，仅该日期对应的版本适用于本文件；不注日期</w:t>
          </w:r>
          <w:r>
            <w:rPr>
              <w:rFonts w:hint="eastAsia"/>
            </w:rPr>
            <w:t>的引用文件，其最新版本（包括所有的修改单）适用于本文件。</w:t>
          </w:r>
        </w:p>
      </w:sdtContent>
    </w:sdt>
    <w:p w14:paraId="3F240F55">
      <w:pPr>
        <w:pStyle w:val="38"/>
        <w:ind w:firstLine="420"/>
        <w:rPr>
          <w:rFonts w:hint="eastAsia" w:eastAsia="宋体"/>
          <w:lang w:eastAsia="zh-CN"/>
        </w:rPr>
      </w:pPr>
      <w:r>
        <w:rPr>
          <w:rFonts w:hint="eastAsia" w:eastAsia="宋体"/>
          <w:lang w:eastAsia="zh-CN"/>
        </w:rPr>
        <w:t>GB/T 24067—2024 温室气体 产品碳足迹 量化要求和指南</w:t>
      </w:r>
    </w:p>
    <w:p w14:paraId="2AF3DF12">
      <w:pPr>
        <w:pStyle w:val="38"/>
        <w:ind w:firstLine="420"/>
        <w:rPr>
          <w:rFonts w:hint="eastAsia" w:eastAsia="宋体"/>
          <w:lang w:eastAsia="zh-CN"/>
        </w:rPr>
      </w:pPr>
      <w:r>
        <w:rPr>
          <w:rFonts w:hint="eastAsia" w:eastAsia="宋体"/>
          <w:lang w:eastAsia="zh-CN"/>
        </w:rPr>
        <w:t>GB/T 24040—2008 环境管理 生命周期评价 原则与框架</w:t>
      </w:r>
    </w:p>
    <w:p w14:paraId="3D145748">
      <w:pPr>
        <w:pStyle w:val="38"/>
        <w:ind w:firstLine="420"/>
        <w:rPr>
          <w:rFonts w:hint="eastAsia" w:eastAsia="宋体"/>
          <w:lang w:eastAsia="zh-CN"/>
        </w:rPr>
      </w:pPr>
      <w:r>
        <w:rPr>
          <w:rFonts w:hint="eastAsia" w:eastAsia="宋体"/>
          <w:lang w:eastAsia="zh-CN"/>
        </w:rPr>
        <w:t>GB/T 24044—2008 环境管理 生命周期评价 要求与指南</w:t>
      </w:r>
    </w:p>
    <w:p w14:paraId="40EF840C">
      <w:pPr>
        <w:pStyle w:val="106"/>
        <w:spacing w:before="240" w:after="240"/>
      </w:pPr>
      <w:bookmarkStart w:id="52" w:name="_Toc97192966"/>
      <w:bookmarkStart w:id="53" w:name="_Toc30156"/>
      <w:bookmarkStart w:id="54" w:name="_Toc29217"/>
      <w:bookmarkStart w:id="55" w:name="_Toc1296"/>
      <w:r>
        <w:rPr>
          <w:rFonts w:hint="eastAsia"/>
          <w:szCs w:val="21"/>
        </w:rPr>
        <w:t>术语和定义</w:t>
      </w:r>
      <w:bookmarkEnd w:id="52"/>
      <w:bookmarkEnd w:id="53"/>
      <w:bookmarkEnd w:id="54"/>
      <w:bookmarkEnd w:id="55"/>
    </w:p>
    <w:sdt>
      <w:sdtPr>
        <w:id w:val="-1909835108"/>
        <w:placeholder>
          <w:docPart w:val="DD487E154D8B46B1811108614A11313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FA990C2">
          <w:pPr>
            <w:pStyle w:val="38"/>
            <w:ind w:firstLine="420"/>
          </w:pPr>
          <w:bookmarkStart w:id="56" w:name="_Toc26986532"/>
          <w:bookmarkEnd w:id="56"/>
          <w:r>
            <w:rPr>
              <w:rFonts w:ascii="Times New Roman" w:hAnsi="Times New Roman" w:eastAsia="宋体" w:cs="Times New Roman"/>
              <w:sz w:val="21"/>
              <w:lang w:val="en-US" w:eastAsia="zh-CN" w:bidi="ar-SA"/>
            </w:rPr>
            <w:t>下列术语和定义适用于本文件。</w:t>
          </w:r>
        </w:p>
      </w:sdtContent>
    </w:sdt>
    <w:p w14:paraId="6723387E">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食用菊花 edible chrysanthemum</w:t>
      </w:r>
    </w:p>
    <w:p w14:paraId="4D3B27B1">
      <w:pPr>
        <w:pStyle w:val="38"/>
        <w:ind w:firstLine="420"/>
        <w:rPr>
          <w:rFonts w:hint="eastAsia"/>
          <w:lang w:eastAsia="zh-CN"/>
        </w:rPr>
      </w:pPr>
      <w:r>
        <w:rPr>
          <w:rFonts w:hint="eastAsia"/>
        </w:rPr>
        <w:t>在广东省中山市行政区域内（以小榄镇为核心产区）</w:t>
      </w:r>
      <w:r>
        <w:rPr>
          <w:rFonts w:hint="eastAsia"/>
          <w:lang w:eastAsia="zh-CN"/>
        </w:rPr>
        <w:t>，采用设施大棚盆栽方式生产、以花头供食用的菊科菊属菊花鲜花，其栽培品系经本地长期引种繁育与选优。</w:t>
      </w:r>
    </w:p>
    <w:p w14:paraId="63764950">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种苗 seedlings</w:t>
      </w:r>
    </w:p>
    <w:p w14:paraId="7855C867">
      <w:pPr>
        <w:pStyle w:val="38"/>
        <w:rPr>
          <w:rFonts w:hint="eastAsia"/>
          <w:lang w:eastAsia="zh-CN"/>
        </w:rPr>
      </w:pPr>
      <w:r>
        <w:rPr>
          <w:rFonts w:hint="eastAsia"/>
          <w:lang w:eastAsia="zh-CN"/>
        </w:rPr>
        <w:t>通过</w:t>
      </w:r>
      <w:r>
        <w:rPr>
          <w:rFonts w:hint="eastAsia"/>
          <w:lang w:val="en-US" w:eastAsia="zh-CN"/>
        </w:rPr>
        <w:t>插穗</w:t>
      </w:r>
      <w:r>
        <w:rPr>
          <w:rFonts w:hint="eastAsia"/>
          <w:lang w:eastAsia="zh-CN"/>
        </w:rPr>
        <w:t>无性繁育的食用</w:t>
      </w:r>
      <w:r>
        <w:rPr>
          <w:rFonts w:hint="eastAsia"/>
          <w:lang w:val="en-US" w:eastAsia="zh-CN"/>
        </w:rPr>
        <w:t>菊花</w:t>
      </w:r>
      <w:r>
        <w:rPr>
          <w:rFonts w:hint="eastAsia"/>
          <w:lang w:eastAsia="zh-CN"/>
        </w:rPr>
        <w:t>幼苗，具备完整茎叶与根系。</w:t>
      </w:r>
    </w:p>
    <w:p w14:paraId="0672B44D">
      <w:pPr>
        <w:pStyle w:val="225"/>
        <w:bidi w:val="0"/>
        <w:spacing w:after="0" w:afterLines="0"/>
        <w:ind w:left="420" w:hanging="420" w:hangingChars="200"/>
        <w:rPr>
          <w:rFonts w:hint="eastAsia" w:ascii="黑体" w:hAnsi="黑体" w:eastAsia="黑体" w:cs="黑体"/>
          <w:b/>
          <w:bCs/>
          <w:lang w:val="en-US" w:eastAsia="zh-CN"/>
        </w:rPr>
      </w:pPr>
      <w:r>
        <w:rPr>
          <w:rFonts w:hint="eastAsia" w:ascii="黑体" w:hAnsi="黑体" w:eastAsia="黑体" w:cs="黑体"/>
          <w:lang w:eastAsia="zh-CN"/>
        </w:rPr>
        <w:br w:type="textWrapping"/>
      </w:r>
      <w:r>
        <w:rPr>
          <w:rFonts w:hint="eastAsia" w:ascii="黑体" w:hAnsi="黑体" w:eastAsia="黑体" w:cs="黑体"/>
          <w:lang w:val="en-US" w:eastAsia="zh-CN"/>
        </w:rPr>
        <w:t>产品碳足迹 carbon footprint of a product</w:t>
      </w:r>
    </w:p>
    <w:p w14:paraId="746D7D20">
      <w:pPr>
        <w:pStyle w:val="38"/>
        <w:ind w:firstLine="420"/>
        <w:rPr>
          <w:rFonts w:hint="eastAsia"/>
        </w:rPr>
      </w:pPr>
      <w:r>
        <w:rPr>
          <w:rFonts w:hint="eastAsia"/>
        </w:rPr>
        <w:t>产品系统中的温室气体排放量和温室气体清除量之和，以二氧化碳当量表示，并基于气候变化这一单一环境影响类型进行生命周期评价。</w:t>
      </w:r>
    </w:p>
    <w:p w14:paraId="6E014175">
      <w:pPr>
        <w:pStyle w:val="38"/>
        <w:bidi w:val="0"/>
        <w:rPr>
          <w:rFonts w:hint="eastAsia" w:eastAsia="宋体"/>
          <w:lang w:eastAsia="zh-CN"/>
        </w:rPr>
      </w:pPr>
      <w:r>
        <w:rPr>
          <w:rFonts w:hint="eastAsia"/>
          <w:lang w:eastAsia="zh-CN"/>
        </w:rPr>
        <w:t>[来源：</w:t>
      </w:r>
      <w:r>
        <w:rPr>
          <w:rFonts w:hint="eastAsia"/>
        </w:rPr>
        <w:t>GB/T 24067—2024，3.1.1</w:t>
      </w:r>
      <w:r>
        <w:rPr>
          <w:rFonts w:hint="eastAsia"/>
          <w:lang w:eastAsia="zh-CN"/>
        </w:rPr>
        <w:t>]</w:t>
      </w:r>
    </w:p>
    <w:p w14:paraId="1607B00C">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系统边界 system boundary</w:t>
      </w:r>
    </w:p>
    <w:p w14:paraId="3FF9772E">
      <w:pPr>
        <w:pStyle w:val="38"/>
        <w:ind w:firstLine="420"/>
      </w:pPr>
      <w:r>
        <w:rPr>
          <w:rFonts w:hint="eastAsia"/>
        </w:rPr>
        <w:t>通过一组准则确定哪些单元过程属于食用菊花产品系统的一部分。</w:t>
      </w:r>
    </w:p>
    <w:p w14:paraId="605DE9BD">
      <w:pPr>
        <w:pStyle w:val="38"/>
        <w:bidi w:val="0"/>
        <w:rPr>
          <w:rFonts w:hint="eastAsia" w:eastAsia="宋体"/>
          <w:lang w:eastAsia="zh-CN"/>
        </w:rPr>
      </w:pPr>
      <w:r>
        <w:rPr>
          <w:rFonts w:hint="eastAsia"/>
          <w:lang w:eastAsia="zh-CN"/>
        </w:rPr>
        <w:t>[来源：GB/T 24067—2024，3.3.4，有修改]</w:t>
      </w:r>
    </w:p>
    <w:p w14:paraId="56034307">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声明</w:t>
      </w:r>
      <w:r>
        <w:rPr>
          <w:rFonts w:hint="eastAsia" w:ascii="黑体" w:hAnsi="黑体" w:eastAsia="黑体" w:cs="黑体"/>
          <w:lang w:val="en-US" w:eastAsia="zh-CN"/>
        </w:rPr>
        <w:t>单位 functional unit</w:t>
      </w:r>
    </w:p>
    <w:p w14:paraId="562F4327">
      <w:pPr>
        <w:pStyle w:val="38"/>
        <w:ind w:firstLine="420"/>
      </w:pPr>
      <w:r>
        <w:rPr>
          <w:rFonts w:hint="eastAsia"/>
        </w:rPr>
        <w:t>用来量化产品系统功能的基准单位。</w:t>
      </w:r>
    </w:p>
    <w:p w14:paraId="6E300050">
      <w:pPr>
        <w:pStyle w:val="38"/>
        <w:bidi w:val="0"/>
        <w:rPr>
          <w:rFonts w:hint="eastAsia" w:eastAsia="宋体"/>
          <w:lang w:eastAsia="zh-CN"/>
        </w:rPr>
      </w:pPr>
      <w:r>
        <w:rPr>
          <w:rFonts w:hint="eastAsia"/>
          <w:lang w:eastAsia="zh-CN"/>
        </w:rPr>
        <w:t>[来源：GB/T 24067—2024，3.3.7，有修改]</w:t>
      </w:r>
    </w:p>
    <w:p w14:paraId="4288F266">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生命周期 life cycle</w:t>
      </w:r>
    </w:p>
    <w:p w14:paraId="1AC81E48">
      <w:pPr>
        <w:pStyle w:val="38"/>
        <w:bidi w:val="0"/>
        <w:rPr>
          <w:rFonts w:hint="eastAsia"/>
        </w:rPr>
      </w:pPr>
      <w:r>
        <w:rPr>
          <w:rFonts w:hint="eastAsia"/>
        </w:rPr>
        <w:t>食用菊花相关的连续且相互连接的阶段，包括种植阶段</w:t>
      </w:r>
      <w:r>
        <w:rPr>
          <w:rFonts w:hint="eastAsia"/>
          <w:lang w:val="en-US" w:eastAsia="zh-CN"/>
        </w:rPr>
        <w:t>和</w:t>
      </w:r>
      <w:r>
        <w:rPr>
          <w:rFonts w:hint="eastAsia"/>
        </w:rPr>
        <w:t>包装阶段。</w:t>
      </w:r>
    </w:p>
    <w:p w14:paraId="04418299">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活动数据 activity data</w:t>
      </w:r>
    </w:p>
    <w:p w14:paraId="47FE8931">
      <w:pPr>
        <w:pStyle w:val="38"/>
        <w:rPr>
          <w:rFonts w:hint="eastAsia"/>
          <w:lang w:eastAsia="zh-CN"/>
        </w:rPr>
      </w:pPr>
      <w:r>
        <w:rPr>
          <w:rFonts w:hint="eastAsia"/>
          <w:lang w:eastAsia="zh-CN"/>
        </w:rPr>
        <w:t>食用菊花</w:t>
      </w:r>
      <w:r>
        <w:rPr>
          <w:rFonts w:ascii="宋体" w:hAnsi="宋体" w:eastAsia="宋体"/>
          <w:b w:val="0"/>
          <w:sz w:val="21"/>
        </w:rPr>
        <w:t>种植</w:t>
      </w:r>
      <w:r>
        <w:rPr>
          <w:rFonts w:hint="eastAsia" w:ascii="宋体" w:hAnsi="宋体"/>
          <w:b w:val="0"/>
          <w:sz w:val="21"/>
          <w:lang w:val="en-US" w:eastAsia="zh-CN"/>
        </w:rPr>
        <w:t>与</w:t>
      </w:r>
      <w:r>
        <w:rPr>
          <w:rFonts w:ascii="宋体" w:hAnsi="宋体" w:eastAsia="宋体"/>
          <w:b w:val="0"/>
          <w:sz w:val="21"/>
        </w:rPr>
        <w:t>包装过程中温室气体排放，以及植株碳汇量、土壤固碳量变化的生产经营活动量的表征值（如肥料施用量、</w:t>
      </w:r>
      <w:r>
        <w:rPr>
          <w:rFonts w:hint="eastAsia" w:ascii="宋体" w:hAnsi="宋体"/>
          <w:b w:val="0"/>
          <w:sz w:val="21"/>
          <w:lang w:val="en-US" w:eastAsia="zh-CN"/>
        </w:rPr>
        <w:t>农机耗能</w:t>
      </w:r>
      <w:r>
        <w:rPr>
          <w:rFonts w:ascii="宋体" w:hAnsi="宋体" w:eastAsia="宋体"/>
          <w:b w:val="0"/>
          <w:sz w:val="21"/>
        </w:rPr>
        <w:t>量等）。</w:t>
      </w:r>
    </w:p>
    <w:p w14:paraId="03AE22F6">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排放因子 emission factor</w:t>
      </w:r>
    </w:p>
    <w:p w14:paraId="646B2BE2">
      <w:pPr>
        <w:pStyle w:val="38"/>
        <w:rPr>
          <w:rFonts w:hint="eastAsia"/>
          <w:lang w:eastAsia="zh-CN"/>
        </w:rPr>
      </w:pPr>
      <w:r>
        <w:rPr>
          <w:rFonts w:hint="eastAsia"/>
          <w:lang w:eastAsia="zh-CN"/>
        </w:rPr>
        <w:t>活动数据与温室气体排放之间相关联的系数，表征单位人为活动（如每千克氮肥、每千瓦时电力）的GHG排放量。</w:t>
      </w:r>
    </w:p>
    <w:p w14:paraId="510B2364">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净温室气体排放量 net GHG emission</w:t>
      </w:r>
    </w:p>
    <w:p w14:paraId="5332E256">
      <w:pPr>
        <w:pStyle w:val="38"/>
        <w:rPr>
          <w:rFonts w:hint="eastAsia"/>
          <w:lang w:eastAsia="zh-CN"/>
        </w:rPr>
      </w:pPr>
      <w:r>
        <w:rPr>
          <w:rFonts w:hint="eastAsia"/>
          <w:lang w:eastAsia="zh-CN"/>
        </w:rPr>
        <w:t>在单位时间、单位核算边界内，食用菊花生产的总温室气体排放量减去经确认的清除量后的余额。</w:t>
      </w:r>
    </w:p>
    <w:p w14:paraId="2F339307">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量化周期 accounting period</w:t>
      </w:r>
    </w:p>
    <w:p w14:paraId="548989D2">
      <w:pPr>
        <w:pStyle w:val="38"/>
        <w:rPr>
          <w:rFonts w:hint="eastAsia"/>
          <w:lang w:eastAsia="zh-CN"/>
        </w:rPr>
      </w:pPr>
      <w:r>
        <w:rPr>
          <w:rFonts w:hint="eastAsia"/>
          <w:lang w:eastAsia="zh-CN"/>
        </w:rPr>
        <w:t>单位成品食用菊花温室气体排放核算对应的完整生产时间跨度，宜取12个连续自然月，且宜至少包含一个完整的栽培茬口（自</w:t>
      </w:r>
      <w:r>
        <w:rPr>
          <w:rFonts w:hint="eastAsia"/>
          <w:lang w:val="en-US" w:eastAsia="zh-CN"/>
        </w:rPr>
        <w:t>种苗繁育</w:t>
      </w:r>
      <w:r>
        <w:rPr>
          <w:rFonts w:hint="eastAsia"/>
          <w:lang w:eastAsia="zh-CN"/>
        </w:rPr>
        <w:t>至采收完毕）。</w:t>
      </w:r>
    </w:p>
    <w:p w14:paraId="2327E2E3">
      <w:pPr>
        <w:pStyle w:val="106"/>
        <w:bidi w:val="0"/>
        <w:rPr>
          <w:rFonts w:hint="eastAsia"/>
          <w:lang w:eastAsia="zh-CN"/>
        </w:rPr>
      </w:pPr>
      <w:bookmarkStart w:id="57" w:name="_Toc4170"/>
      <w:bookmarkStart w:id="58" w:name="_Toc176"/>
      <w:bookmarkStart w:id="59" w:name="_Toc13357"/>
      <w:r>
        <w:rPr>
          <w:rFonts w:hint="eastAsia"/>
          <w:lang w:val="en-US" w:eastAsia="zh-CN"/>
        </w:rPr>
        <w:t>量化</w:t>
      </w:r>
      <w:r>
        <w:rPr>
          <w:rFonts w:hint="eastAsia"/>
          <w:lang w:eastAsia="zh-CN"/>
        </w:rPr>
        <w:t>目的</w:t>
      </w:r>
      <w:bookmarkEnd w:id="57"/>
    </w:p>
    <w:p w14:paraId="518B99AB">
      <w:pPr>
        <w:pStyle w:val="38"/>
        <w:rPr>
          <w:rFonts w:hint="default"/>
          <w:highlight w:val="none"/>
          <w:lang w:val="en-US" w:eastAsia="zh-CN"/>
        </w:rPr>
      </w:pPr>
      <w:r>
        <w:rPr>
          <w:rFonts w:hint="eastAsia"/>
          <w:highlight w:val="none"/>
          <w:lang w:val="en-US" w:eastAsia="zh-CN"/>
        </w:rPr>
        <w:t>开展食用菊花产品碳足迹研究的总体目标是结合取舍准则，基于生命周期评价理论，通过量化食用菊花产品系统边界内所有显著的温室气体排放量和消除量，评价食用菊花产品对全球变暖的潜在贡献。</w:t>
      </w:r>
    </w:p>
    <w:p w14:paraId="5B4034DF">
      <w:pPr>
        <w:pStyle w:val="106"/>
        <w:bidi w:val="0"/>
        <w:rPr>
          <w:rFonts w:hint="eastAsia"/>
          <w:highlight w:val="none"/>
          <w:lang w:eastAsia="zh-CN"/>
        </w:rPr>
      </w:pPr>
      <w:bookmarkStart w:id="60" w:name="_Toc3133"/>
      <w:r>
        <w:rPr>
          <w:rFonts w:hint="eastAsia"/>
          <w:highlight w:val="none"/>
          <w:lang w:val="en-US" w:eastAsia="zh-CN"/>
        </w:rPr>
        <w:t>量化</w:t>
      </w:r>
      <w:r>
        <w:rPr>
          <w:rFonts w:hint="eastAsia"/>
          <w:highlight w:val="none"/>
          <w:lang w:eastAsia="zh-CN"/>
        </w:rPr>
        <w:t>范围</w:t>
      </w:r>
      <w:bookmarkEnd w:id="58"/>
      <w:bookmarkEnd w:id="59"/>
      <w:bookmarkEnd w:id="60"/>
    </w:p>
    <w:p w14:paraId="779A0C20">
      <w:pPr>
        <w:pStyle w:val="107"/>
        <w:bidi w:val="0"/>
        <w:rPr>
          <w:rFonts w:hint="eastAsia"/>
          <w:highlight w:val="none"/>
          <w:lang w:eastAsia="zh-CN"/>
        </w:rPr>
      </w:pPr>
      <w:r>
        <w:rPr>
          <w:rFonts w:hint="eastAsia"/>
          <w:highlight w:val="none"/>
          <w:lang w:val="en-US" w:eastAsia="zh-CN"/>
        </w:rPr>
        <w:t>产品描述</w:t>
      </w:r>
    </w:p>
    <w:p w14:paraId="4BC2688A">
      <w:pPr>
        <w:pStyle w:val="38"/>
        <w:rPr>
          <w:rFonts w:hint="eastAsia"/>
          <w:highlight w:val="none"/>
          <w:lang w:eastAsia="zh-CN"/>
        </w:rPr>
      </w:pPr>
      <w:r>
        <w:rPr>
          <w:rFonts w:hint="eastAsia"/>
          <w:highlight w:val="none"/>
          <w:lang w:eastAsia="zh-CN"/>
        </w:rPr>
        <w:t>食用菊花采用</w:t>
      </w:r>
      <w:r>
        <w:rPr>
          <w:rFonts w:hint="eastAsia"/>
          <w:highlight w:val="none"/>
          <w:lang w:val="en-US" w:eastAsia="zh-CN"/>
        </w:rPr>
        <w:t>大棚种植、</w:t>
      </w:r>
      <w:r>
        <w:rPr>
          <w:rFonts w:hint="eastAsia"/>
          <w:highlight w:val="none"/>
          <w:lang w:eastAsia="zh-CN"/>
        </w:rPr>
        <w:t>设施盆栽模式生产，从插穗育苗、扦插苗定植、营养生长、花芽分化到开花采摘的整个种植阶段均在种植袋中完成。自插穗育苗至采收的完整生产周期约6个月，采收期集中于12月至次年1月。反季节生产需遮阳缓苗，同时通过短日照促花、夜间补光抑花、水帘降温等调控手段实现生产。</w:t>
      </w:r>
    </w:p>
    <w:p w14:paraId="2C1E8A10">
      <w:pPr>
        <w:pStyle w:val="38"/>
        <w:rPr>
          <w:rFonts w:hint="default"/>
          <w:highlight w:val="none"/>
          <w:lang w:val="en-US" w:eastAsia="zh-CN"/>
        </w:rPr>
      </w:pPr>
      <w:r>
        <w:rPr>
          <w:rFonts w:hint="eastAsia"/>
          <w:highlight w:val="none"/>
          <w:lang w:val="en-US" w:eastAsia="zh-CN"/>
        </w:rPr>
        <w:t>菊花植株分为母本或生长株，母本仅用作繁育种苗，通常不用于生长菊花，母本不采穗育苗也可正常开花。生长株不采穗，仅用于产出商品菊花。</w:t>
      </w:r>
    </w:p>
    <w:p w14:paraId="04EF193B">
      <w:pPr>
        <w:pStyle w:val="107"/>
        <w:bidi w:val="0"/>
        <w:rPr>
          <w:rFonts w:hint="eastAsia"/>
          <w:highlight w:val="none"/>
          <w:lang w:eastAsia="zh-CN"/>
        </w:rPr>
      </w:pPr>
      <w:bookmarkStart w:id="61" w:name="_Toc16899"/>
      <w:r>
        <w:rPr>
          <w:rFonts w:hint="eastAsia"/>
          <w:highlight w:val="none"/>
          <w:lang w:val="en-US" w:eastAsia="zh-CN"/>
        </w:rPr>
        <w:t>声明</w:t>
      </w:r>
      <w:r>
        <w:rPr>
          <w:rFonts w:hint="eastAsia"/>
          <w:highlight w:val="none"/>
          <w:lang w:eastAsia="zh-CN"/>
        </w:rPr>
        <w:t>单位</w:t>
      </w:r>
      <w:bookmarkEnd w:id="61"/>
    </w:p>
    <w:p w14:paraId="5E14C444">
      <w:pPr>
        <w:pStyle w:val="38"/>
        <w:rPr>
          <w:rFonts w:hint="eastAsia"/>
          <w:highlight w:val="none"/>
          <w:lang w:eastAsia="zh-CN"/>
        </w:rPr>
      </w:pPr>
      <w:r>
        <w:rPr>
          <w:rFonts w:hint="eastAsia"/>
          <w:highlight w:val="none"/>
          <w:lang w:eastAsia="zh-CN"/>
        </w:rPr>
        <w:t>本文件规定功能单位为：1kg食用菊花</w:t>
      </w:r>
      <w:r>
        <w:rPr>
          <w:rFonts w:hint="default" w:ascii="Times New Roman" w:hAnsi="Times New Roman" w:eastAsia="宋体" w:cs="Times New Roman"/>
          <w:b w:val="0"/>
          <w:i w:val="0"/>
          <w:sz w:val="21"/>
          <w:highlight w:val="none"/>
        </w:rPr>
        <w:t>（以完成包装、可供销售的</w:t>
      </w:r>
      <w:r>
        <w:rPr>
          <w:rFonts w:hint="eastAsia" w:cs="Times New Roman"/>
          <w:b w:val="0"/>
          <w:i w:val="0"/>
          <w:sz w:val="21"/>
          <w:highlight w:val="none"/>
          <w:lang w:val="en-US" w:eastAsia="zh-CN"/>
        </w:rPr>
        <w:t>产品</w:t>
      </w:r>
      <w:r>
        <w:rPr>
          <w:rFonts w:hint="default" w:ascii="Times New Roman" w:hAnsi="Times New Roman" w:eastAsia="宋体" w:cs="Times New Roman"/>
          <w:b w:val="0"/>
          <w:i w:val="0"/>
          <w:sz w:val="21"/>
          <w:highlight w:val="none"/>
        </w:rPr>
        <w:t>计）</w:t>
      </w:r>
      <w:r>
        <w:rPr>
          <w:rFonts w:hint="eastAsia"/>
          <w:highlight w:val="none"/>
          <w:lang w:eastAsia="zh-CN"/>
        </w:rPr>
        <w:t>。</w:t>
      </w:r>
    </w:p>
    <w:p w14:paraId="2748CECF">
      <w:pPr>
        <w:pStyle w:val="38"/>
        <w:rPr>
          <w:rFonts w:hint="eastAsia"/>
          <w:highlight w:val="none"/>
          <w:lang w:eastAsia="zh-CN"/>
        </w:rPr>
      </w:pPr>
      <w:r>
        <w:rPr>
          <w:rFonts w:hint="eastAsia"/>
          <w:highlight w:val="none"/>
          <w:lang w:eastAsia="zh-CN"/>
        </w:rPr>
        <w:t>考虑到下游客户按朵采购的行业习惯，核算主体宜同时披露单位产品的平均单朵质量（商品规格宜为50 g/朵～100 g/朵，达标商品规格不宜低于50 g/朵，反季节批次不宜低于30 g/朵）及按“1朵”折算的碳足迹参考值，并在核算报告中说明折算依据。</w:t>
      </w:r>
    </w:p>
    <w:p w14:paraId="00BCD8CD">
      <w:pPr>
        <w:pStyle w:val="107"/>
        <w:bidi w:val="0"/>
        <w:rPr>
          <w:rFonts w:hint="eastAsia"/>
          <w:highlight w:val="none"/>
          <w:lang w:eastAsia="zh-CN"/>
        </w:rPr>
      </w:pPr>
      <w:bookmarkStart w:id="62" w:name="_Toc24858"/>
      <w:r>
        <w:rPr>
          <w:rFonts w:hint="eastAsia"/>
          <w:highlight w:val="none"/>
          <w:lang w:eastAsia="zh-CN"/>
        </w:rPr>
        <w:t>系统边界</w:t>
      </w:r>
      <w:bookmarkEnd w:id="62"/>
    </w:p>
    <w:p w14:paraId="7672924D">
      <w:pPr>
        <w:pStyle w:val="37"/>
        <w:bidi w:val="0"/>
        <w:rPr>
          <w:rFonts w:hint="eastAsia"/>
          <w:highlight w:val="none"/>
          <w:lang w:eastAsia="zh-CN"/>
        </w:rPr>
      </w:pPr>
      <w:r>
        <w:rPr>
          <w:rFonts w:hint="eastAsia"/>
          <w:highlight w:val="none"/>
          <w:lang w:eastAsia="zh-CN"/>
        </w:rPr>
        <w:t>系统边界设置</w:t>
      </w:r>
    </w:p>
    <w:p w14:paraId="49608309">
      <w:pPr>
        <w:pStyle w:val="38"/>
        <w:rPr>
          <w:rFonts w:hint="eastAsia"/>
          <w:highlight w:val="none"/>
          <w:lang w:val="en-US" w:eastAsia="zh-CN"/>
        </w:rPr>
      </w:pPr>
      <w:r>
        <w:rPr>
          <w:rFonts w:hint="eastAsia"/>
          <w:highlight w:val="none"/>
          <w:lang w:val="en-US" w:eastAsia="zh-CN"/>
        </w:rPr>
        <w:t>食用菊花</w:t>
      </w:r>
      <w:r>
        <w:rPr>
          <w:rFonts w:hint="eastAsia"/>
          <w:highlight w:val="none"/>
          <w:lang w:eastAsia="zh-CN"/>
        </w:rPr>
        <w:t>产品碳足迹设定系统边界为“摇篮到大门”，其生命周期阶段包括</w:t>
      </w:r>
      <w:r>
        <w:rPr>
          <w:rFonts w:hint="eastAsia"/>
          <w:highlight w:val="none"/>
          <w:lang w:val="en-US" w:eastAsia="zh-CN"/>
        </w:rPr>
        <w:t>原材料获取与投入、种植、包装3个阶段。农业生产基础设施（如温室、灌溉设施等）、农业机械、农产品存储设施、农产品生产者的通勤等不纳入食用菊花产品碳足迹量化范围。食用菊花碳足迹系统边界见图1所示。</w:t>
      </w:r>
    </w:p>
    <w:p w14:paraId="083DF294">
      <w:pPr>
        <w:pStyle w:val="38"/>
        <w:ind w:left="0" w:leftChars="0" w:firstLine="0" w:firstLineChars="0"/>
        <w:rPr>
          <w:rFonts w:hint="eastAsia"/>
          <w:highlight w:val="none"/>
          <w:lang w:eastAsia="zh-CN"/>
        </w:rPr>
      </w:pPr>
      <w:bookmarkStart w:id="63" w:name="_Toc9614"/>
      <w:r>
        <w:rPr>
          <w:rFonts w:hint="eastAsia"/>
          <w:highlight w:val="none"/>
          <w:lang w:eastAsia="zh-CN"/>
        </w:rPr>
        <w:drawing>
          <wp:inline distT="0" distB="0" distL="114300" distR="114300">
            <wp:extent cx="5939155" cy="3712210"/>
            <wp:effectExtent l="0" t="0" r="4445" b="2540"/>
            <wp:docPr id="4" name="图片 4" descr="食用菊花系统边界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食用菊花系统边界流程图"/>
                    <pic:cNvPicPr>
                      <a:picLocks noChangeAspect="1"/>
                    </pic:cNvPicPr>
                  </pic:nvPicPr>
                  <pic:blipFill>
                    <a:blip r:embed="rId14"/>
                    <a:stretch>
                      <a:fillRect/>
                    </a:stretch>
                  </pic:blipFill>
                  <pic:spPr>
                    <a:xfrm>
                      <a:off x="0" y="0"/>
                      <a:ext cx="5939155" cy="3712210"/>
                    </a:xfrm>
                    <a:prstGeom prst="rect">
                      <a:avLst/>
                    </a:prstGeom>
                  </pic:spPr>
                </pic:pic>
              </a:graphicData>
            </a:graphic>
          </wp:inline>
        </w:drawing>
      </w:r>
    </w:p>
    <w:p w14:paraId="7C01F46B">
      <w:pPr>
        <w:pStyle w:val="116"/>
        <w:bidi w:val="0"/>
        <w:rPr>
          <w:rFonts w:hint="eastAsia"/>
          <w:highlight w:val="none"/>
          <w:lang w:eastAsia="zh-CN"/>
        </w:rPr>
      </w:pPr>
      <w:r>
        <w:rPr>
          <w:rFonts w:hint="eastAsia"/>
          <w:highlight w:val="none"/>
          <w:lang w:val="en-US" w:eastAsia="zh-CN"/>
        </w:rPr>
        <w:t>食用菊花产品系统边界示意图</w:t>
      </w:r>
    </w:p>
    <w:p w14:paraId="696E2F2C">
      <w:pPr>
        <w:pStyle w:val="37"/>
        <w:bidi w:val="0"/>
        <w:rPr>
          <w:rFonts w:hint="eastAsia"/>
          <w:highlight w:val="none"/>
          <w:lang w:eastAsia="zh-CN"/>
        </w:rPr>
      </w:pPr>
      <w:r>
        <w:rPr>
          <w:rFonts w:hint="eastAsia"/>
          <w:highlight w:val="none"/>
          <w:lang w:eastAsia="zh-CN"/>
        </w:rPr>
        <w:t>生命周期阶段说明</w:t>
      </w:r>
    </w:p>
    <w:p w14:paraId="7C420D7B">
      <w:pPr>
        <w:pStyle w:val="39"/>
        <w:bidi w:val="0"/>
        <w:rPr>
          <w:rFonts w:hint="eastAsia"/>
          <w:highlight w:val="none"/>
          <w:lang w:eastAsia="zh-CN"/>
        </w:rPr>
      </w:pPr>
      <w:r>
        <w:rPr>
          <w:rFonts w:hint="eastAsia"/>
          <w:highlight w:val="none"/>
          <w:lang w:val="en-US" w:eastAsia="zh-CN"/>
        </w:rPr>
        <w:t>原材料获取与投入阶段</w:t>
      </w:r>
    </w:p>
    <w:p w14:paraId="3E9113DA">
      <w:pPr>
        <w:pStyle w:val="38"/>
        <w:rPr>
          <w:rFonts w:hint="default"/>
          <w:highlight w:val="none"/>
          <w:lang w:val="en-US" w:eastAsia="zh-CN"/>
        </w:rPr>
      </w:pPr>
      <w:r>
        <w:rPr>
          <w:rFonts w:hint="eastAsia"/>
          <w:highlight w:val="none"/>
          <w:lang w:val="en-US" w:eastAsia="zh-CN"/>
        </w:rPr>
        <w:t>原材料获取与投入阶段，即农业投入品、包装材料等的生产阶段以及从产地到食用菊花种植户的运输单元过程，包括种苗、化肥、有机肥、农药以及塑料袋、包装袋、纸箱、泡沫盒等包装材料的消耗量及运输。</w:t>
      </w:r>
    </w:p>
    <w:p w14:paraId="120D1FBA">
      <w:pPr>
        <w:pStyle w:val="39"/>
        <w:bidi w:val="0"/>
        <w:rPr>
          <w:rFonts w:hint="eastAsia"/>
          <w:highlight w:val="none"/>
          <w:lang w:val="en-US" w:eastAsia="zh-CN"/>
        </w:rPr>
      </w:pPr>
      <w:r>
        <w:rPr>
          <w:rFonts w:hint="eastAsia"/>
          <w:highlight w:val="none"/>
          <w:lang w:val="en-US" w:eastAsia="zh-CN"/>
        </w:rPr>
        <w:t>生产阶段</w:t>
      </w:r>
    </w:p>
    <w:p w14:paraId="09F39639">
      <w:pPr>
        <w:pStyle w:val="134"/>
        <w:bidi w:val="0"/>
        <w:ind w:left="851" w:leftChars="0" w:hanging="426" w:firstLineChars="0"/>
        <w:rPr>
          <w:rFonts w:hint="eastAsia"/>
          <w:highlight w:val="none"/>
          <w:lang w:val="en-US" w:eastAsia="zh-CN"/>
        </w:rPr>
      </w:pPr>
      <w:r>
        <w:rPr>
          <w:rFonts w:hint="eastAsia"/>
          <w:lang w:val="en-US" w:eastAsia="zh-CN"/>
        </w:rPr>
        <w:t>种植阶段</w:t>
      </w:r>
      <w:r>
        <w:rPr>
          <w:rFonts w:hint="eastAsia"/>
          <w:highlight w:val="none"/>
          <w:lang w:val="en-US" w:eastAsia="zh-CN"/>
        </w:rPr>
        <w:t>，即从</w:t>
      </w:r>
      <w:r>
        <w:rPr>
          <w:rFonts w:hint="eastAsia"/>
          <w:highlight w:val="none"/>
          <w:lang w:eastAsia="zh-CN"/>
        </w:rPr>
        <w:t>母本插穗育苗</w:t>
      </w:r>
      <w:r>
        <w:rPr>
          <w:rFonts w:hint="eastAsia"/>
          <w:highlight w:val="none"/>
          <w:lang w:val="en-US" w:eastAsia="zh-CN"/>
        </w:rPr>
        <w:t>至</w:t>
      </w:r>
      <w:r>
        <w:rPr>
          <w:rFonts w:hint="eastAsia"/>
          <w:highlight w:val="none"/>
          <w:lang w:eastAsia="zh-CN"/>
        </w:rPr>
        <w:t>花朵采摘、残体处置止，全过程均在种植袋中完成，</w:t>
      </w:r>
      <w:r>
        <w:rPr>
          <w:rFonts w:hint="eastAsia"/>
          <w:highlight w:val="none"/>
          <w:lang w:val="en-US" w:eastAsia="zh-CN"/>
        </w:rPr>
        <w:t>包括：</w:t>
      </w:r>
      <w:r>
        <w:rPr>
          <w:rFonts w:hint="default"/>
          <w:lang w:val="en-US" w:eastAsia="zh-CN"/>
        </w:rPr>
        <w:t>：</w:t>
      </w:r>
    </w:p>
    <w:p w14:paraId="3B27AD3A">
      <w:pPr>
        <w:pStyle w:val="189"/>
        <w:bidi w:val="0"/>
        <w:rPr>
          <w:rFonts w:hint="eastAsia"/>
          <w:highlight w:val="none"/>
          <w:lang w:val="en-US" w:eastAsia="zh-CN"/>
        </w:rPr>
      </w:pPr>
      <w:r>
        <w:rPr>
          <w:rFonts w:hint="default"/>
          <w:highlight w:val="none"/>
        </w:rPr>
        <w:t>氮肥施用引起的 N₂O 直接排放与间接排放；</w:t>
      </w:r>
    </w:p>
    <w:p w14:paraId="0A8291B5">
      <w:pPr>
        <w:pStyle w:val="189"/>
        <w:bidi w:val="0"/>
        <w:rPr>
          <w:rFonts w:hint="eastAsia"/>
          <w:highlight w:val="none"/>
          <w:lang w:val="en-US" w:eastAsia="zh-CN"/>
        </w:rPr>
      </w:pPr>
      <w:r>
        <w:rPr>
          <w:rFonts w:hint="eastAsia"/>
          <w:highlight w:val="none"/>
          <w:lang w:val="en-US" w:eastAsia="zh-CN"/>
        </w:rPr>
        <w:t>菊花植株残体</w:t>
      </w:r>
      <w:r>
        <w:rPr>
          <w:rFonts w:hint="default"/>
          <w:highlight w:val="none"/>
          <w:lang w:val="en-US" w:eastAsia="zh-CN"/>
        </w:rPr>
        <w:t xml:space="preserve">还田引起的 </w:t>
      </w:r>
      <w:r>
        <w:rPr>
          <w:rFonts w:hint="default"/>
          <w:highlight w:val="none"/>
        </w:rPr>
        <w:t>N₂O</w:t>
      </w:r>
      <w:r>
        <w:rPr>
          <w:rFonts w:hint="default"/>
          <w:highlight w:val="none"/>
          <w:lang w:val="en-US" w:eastAsia="zh-CN"/>
        </w:rPr>
        <w:t xml:space="preserve"> 排放；</w:t>
      </w:r>
    </w:p>
    <w:p w14:paraId="6A56C785">
      <w:pPr>
        <w:pStyle w:val="189"/>
        <w:bidi w:val="0"/>
        <w:rPr>
          <w:rFonts w:hint="eastAsia"/>
          <w:highlight w:val="none"/>
          <w:lang w:val="en-US" w:eastAsia="zh-CN"/>
        </w:rPr>
      </w:pPr>
      <w:r>
        <w:rPr>
          <w:rFonts w:hint="eastAsia"/>
          <w:highlight w:val="none"/>
          <w:lang w:eastAsia="zh-CN"/>
        </w:rPr>
        <w:t>补光、灌溉、遮光调控与水帘降温等作业耗</w:t>
      </w:r>
      <w:r>
        <w:rPr>
          <w:rFonts w:hint="eastAsia"/>
          <w:highlight w:val="none"/>
          <w:lang w:val="en-US" w:eastAsia="zh-CN"/>
        </w:rPr>
        <w:t>能</w:t>
      </w:r>
      <w:r>
        <w:rPr>
          <w:rFonts w:hint="eastAsia"/>
          <w:highlight w:val="none"/>
          <w:lang w:eastAsia="zh-CN"/>
        </w:rPr>
        <w:t>及取水排放；</w:t>
      </w:r>
    </w:p>
    <w:p w14:paraId="78F298D6">
      <w:pPr>
        <w:pStyle w:val="189"/>
        <w:bidi w:val="0"/>
        <w:rPr>
          <w:rFonts w:hint="default"/>
          <w:highlight w:val="none"/>
          <w:lang w:val="en-US" w:eastAsia="zh-CN"/>
        </w:rPr>
      </w:pPr>
      <w:r>
        <w:rPr>
          <w:rFonts w:hint="eastAsia"/>
          <w:highlight w:val="none"/>
          <w:lang w:eastAsia="zh-CN"/>
        </w:rPr>
        <w:t>保鲜库预冷与周转储存的耗</w:t>
      </w:r>
      <w:r>
        <w:rPr>
          <w:rFonts w:hint="eastAsia"/>
          <w:highlight w:val="none"/>
          <w:lang w:val="en-US" w:eastAsia="zh-CN"/>
        </w:rPr>
        <w:t>能</w:t>
      </w:r>
      <w:r>
        <w:rPr>
          <w:rFonts w:hint="eastAsia"/>
          <w:highlight w:val="none"/>
          <w:lang w:eastAsia="zh-CN"/>
        </w:rPr>
        <w:t>排放；</w:t>
      </w:r>
    </w:p>
    <w:p w14:paraId="7A27DD72">
      <w:pPr>
        <w:pStyle w:val="189"/>
        <w:bidi w:val="0"/>
        <w:rPr>
          <w:rFonts w:hint="default"/>
          <w:highlight w:val="none"/>
          <w:lang w:val="en-US" w:eastAsia="zh-CN"/>
        </w:rPr>
      </w:pPr>
      <w:r>
        <w:rPr>
          <w:rFonts w:hint="default"/>
          <w:highlight w:val="none"/>
        </w:rPr>
        <w:t>植株碳汇、枯落物碳汇与土壤碳汇。</w:t>
      </w:r>
    </w:p>
    <w:p w14:paraId="2576972A">
      <w:pPr>
        <w:pStyle w:val="134"/>
        <w:bidi w:val="0"/>
        <w:ind w:left="851" w:leftChars="0" w:hanging="426" w:firstLineChars="0"/>
      </w:pPr>
      <w:r>
        <w:rPr>
          <w:rFonts w:hint="eastAsia"/>
          <w:lang w:val="en-US" w:eastAsia="zh-CN"/>
        </w:rPr>
        <w:t>包装阶段，即</w:t>
      </w:r>
      <w:r>
        <w:t>包装作业耗能排放。</w:t>
      </w:r>
    </w:p>
    <w:p w14:paraId="159B90B4">
      <w:pPr>
        <w:pStyle w:val="37"/>
        <w:bidi w:val="0"/>
        <w:rPr>
          <w:rFonts w:hint="eastAsia"/>
          <w:lang w:eastAsia="zh-CN"/>
        </w:rPr>
      </w:pPr>
      <w:r>
        <w:rPr>
          <w:rFonts w:hint="eastAsia"/>
          <w:lang w:eastAsia="zh-CN"/>
        </w:rPr>
        <w:t>取舍原则</w:t>
      </w:r>
      <w:bookmarkEnd w:id="63"/>
    </w:p>
    <w:p w14:paraId="2F148B20">
      <w:pPr>
        <w:pStyle w:val="38"/>
        <w:bidi w:val="0"/>
        <w:rPr>
          <w:rFonts w:hint="eastAsia"/>
          <w:lang w:eastAsia="zh-CN"/>
        </w:rPr>
      </w:pPr>
      <w:r>
        <w:rPr>
          <w:rFonts w:hint="eastAsia"/>
          <w:lang w:eastAsia="zh-CN"/>
        </w:rPr>
        <w:t>在量化过程中，对影响小于总量1%的环节可予以舍弃；但系统边界内所有被舍弃环节的总影响不应超过碳足迹总量的5%。舍弃的环节及依据应在核算报告中说明。</w:t>
      </w:r>
    </w:p>
    <w:p w14:paraId="46DB5FB1">
      <w:pPr>
        <w:pStyle w:val="37"/>
        <w:bidi w:val="0"/>
        <w:rPr>
          <w:rFonts w:hint="eastAsia"/>
          <w:lang w:eastAsia="zh-CN"/>
        </w:rPr>
      </w:pPr>
      <w:r>
        <w:rPr>
          <w:rFonts w:hint="eastAsia"/>
          <w:lang w:val="en-US" w:eastAsia="zh-CN"/>
        </w:rPr>
        <w:t>分配原则</w:t>
      </w:r>
    </w:p>
    <w:p w14:paraId="4DF9FF5B">
      <w:pPr>
        <w:pStyle w:val="176"/>
        <w:numPr>
          <w:ilvl w:val="0"/>
          <w:numId w:val="0"/>
        </w:numPr>
        <w:bidi w:val="0"/>
        <w:ind w:firstLine="420" w:firstLineChars="200"/>
        <w:rPr>
          <w:rFonts w:hint="eastAsia"/>
          <w:highlight w:val="none"/>
          <w:lang w:eastAsia="zh-CN"/>
        </w:rPr>
      </w:pPr>
      <w:r>
        <w:rPr>
          <w:rFonts w:hint="eastAsia"/>
          <w:highlight w:val="none"/>
          <w:lang w:val="en-US" w:eastAsia="zh-CN"/>
        </w:rPr>
        <w:t>食用菊花种苗通常外购或自繁自用。自繁自用的种苗留作下一轮定植使用，不作为产品产出，不参与净排放量的分配，核算周期内的净排放量全部分配至商品鲜花。</w:t>
      </w:r>
    </w:p>
    <w:p w14:paraId="62AA1254">
      <w:pPr>
        <w:pStyle w:val="176"/>
        <w:numPr>
          <w:ilvl w:val="0"/>
          <w:numId w:val="0"/>
        </w:numPr>
        <w:bidi w:val="0"/>
        <w:ind w:firstLine="420" w:firstLineChars="200"/>
        <w:rPr>
          <w:rFonts w:hint="eastAsia"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分配方法</w:t>
      </w:r>
      <w:bookmarkStart w:id="105" w:name="_GoBack"/>
      <w:bookmarkEnd w:id="105"/>
      <w:r>
        <w:rPr>
          <w:rFonts w:hint="default" w:ascii="Times New Roman" w:hAnsi="Times New Roman" w:eastAsia="宋体" w:cs="Times New Roman"/>
          <w:b w:val="0"/>
          <w:i w:val="0"/>
          <w:sz w:val="21"/>
          <w:lang w:val="en-US" w:eastAsia="zh-CN"/>
        </w:rPr>
        <w:t>及参数应在核算报告中说明。</w:t>
      </w:r>
    </w:p>
    <w:p w14:paraId="02CD3655">
      <w:pPr>
        <w:pStyle w:val="106"/>
        <w:bidi w:val="0"/>
        <w:rPr>
          <w:rFonts w:hint="eastAsia"/>
          <w:lang w:eastAsia="zh-CN"/>
        </w:rPr>
      </w:pPr>
      <w:bookmarkStart w:id="64" w:name="_Toc13523"/>
      <w:bookmarkStart w:id="65" w:name="_Toc18905"/>
      <w:bookmarkStart w:id="66" w:name="_Toc14257"/>
      <w:r>
        <w:rPr>
          <w:rFonts w:hint="eastAsia"/>
          <w:lang w:val="en-US" w:eastAsia="zh-CN"/>
        </w:rPr>
        <w:t>量化</w:t>
      </w:r>
      <w:r>
        <w:rPr>
          <w:rFonts w:hint="eastAsia"/>
          <w:lang w:eastAsia="zh-CN"/>
        </w:rPr>
        <w:t>步骤</w:t>
      </w:r>
      <w:bookmarkEnd w:id="64"/>
      <w:bookmarkEnd w:id="65"/>
      <w:bookmarkEnd w:id="66"/>
    </w:p>
    <w:p w14:paraId="2630C129">
      <w:pPr>
        <w:pStyle w:val="38"/>
        <w:rPr>
          <w:rFonts w:hint="eastAsia"/>
          <w:lang w:eastAsia="zh-CN"/>
        </w:rPr>
      </w:pPr>
      <w:r>
        <w:rPr>
          <w:rFonts w:hint="eastAsia"/>
          <w:lang w:eastAsia="zh-CN"/>
        </w:rPr>
        <w:t>开展食用菊花碳足迹核算，应遵循以下基本步骤：</w:t>
      </w:r>
    </w:p>
    <w:p w14:paraId="2D7DB6C7">
      <w:pPr>
        <w:pStyle w:val="176"/>
        <w:numPr>
          <w:ilvl w:val="0"/>
          <w:numId w:val="32"/>
        </w:numPr>
        <w:bidi w:val="0"/>
        <w:ind w:left="851" w:leftChars="0" w:hanging="426" w:firstLineChars="0"/>
        <w:rPr>
          <w:rFonts w:hint="eastAsia"/>
          <w:lang w:eastAsia="zh-CN"/>
        </w:rPr>
      </w:pPr>
      <w:r>
        <w:rPr>
          <w:rFonts w:hint="eastAsia"/>
          <w:lang w:eastAsia="zh-CN"/>
        </w:rPr>
        <w:t>界定核算系统边界，确定核算主体在原材料获取与投入、种植及包装过程中的典型活动，识别温室气体排放源与类型；</w:t>
      </w:r>
    </w:p>
    <w:p w14:paraId="71E3E1DE">
      <w:pPr>
        <w:pStyle w:val="176"/>
        <w:numPr>
          <w:ilvl w:val="0"/>
          <w:numId w:val="32"/>
        </w:numPr>
        <w:bidi w:val="0"/>
        <w:ind w:left="851" w:leftChars="0" w:hanging="426" w:firstLineChars="0"/>
        <w:rPr>
          <w:rFonts w:hint="eastAsia"/>
          <w:lang w:eastAsia="zh-CN"/>
        </w:rPr>
      </w:pPr>
      <w:r>
        <w:rPr>
          <w:rFonts w:hint="eastAsia"/>
          <w:lang w:eastAsia="zh-CN"/>
        </w:rPr>
        <w:t>采集系统边界内各单元过程的定性活动信息与定量活动数据；</w:t>
      </w:r>
    </w:p>
    <w:p w14:paraId="0847865B">
      <w:pPr>
        <w:pStyle w:val="176"/>
        <w:numPr>
          <w:ilvl w:val="0"/>
          <w:numId w:val="32"/>
        </w:numPr>
        <w:bidi w:val="0"/>
        <w:ind w:left="851" w:leftChars="0" w:hanging="426" w:firstLineChars="0"/>
        <w:rPr>
          <w:rFonts w:hint="eastAsia"/>
          <w:lang w:eastAsia="zh-CN"/>
        </w:rPr>
      </w:pPr>
      <w:r>
        <w:rPr>
          <w:rFonts w:hint="eastAsia"/>
          <w:lang w:eastAsia="zh-CN"/>
        </w:rPr>
        <w:t>筛选并获取适配本区域、本作物的排放因子；</w:t>
      </w:r>
    </w:p>
    <w:p w14:paraId="245156D2">
      <w:pPr>
        <w:pStyle w:val="176"/>
        <w:numPr>
          <w:ilvl w:val="0"/>
          <w:numId w:val="32"/>
        </w:numPr>
        <w:bidi w:val="0"/>
        <w:ind w:left="851" w:leftChars="0" w:hanging="426" w:firstLineChars="0"/>
        <w:rPr>
          <w:rFonts w:hint="eastAsia"/>
          <w:lang w:eastAsia="zh-CN"/>
        </w:rPr>
      </w:pPr>
      <w:r>
        <w:rPr>
          <w:rFonts w:hint="eastAsia"/>
          <w:lang w:eastAsia="zh-CN"/>
        </w:rPr>
        <w:t>分别核算各单元过程的温室气体排放量与清除量；</w:t>
      </w:r>
    </w:p>
    <w:p w14:paraId="1C1F6E70">
      <w:pPr>
        <w:pStyle w:val="176"/>
        <w:numPr>
          <w:ilvl w:val="0"/>
          <w:numId w:val="32"/>
        </w:numPr>
        <w:bidi w:val="0"/>
        <w:ind w:left="851" w:leftChars="0" w:hanging="426" w:firstLineChars="0"/>
        <w:rPr>
          <w:rFonts w:hint="eastAsia"/>
          <w:lang w:eastAsia="zh-CN"/>
        </w:rPr>
      </w:pPr>
      <w:r>
        <w:rPr>
          <w:rFonts w:hint="default" w:ascii="Times New Roman" w:hAnsi="Times New Roman" w:cs="Times New Roman"/>
        </w:rPr>
        <w:t>汇总系统边界内全部温室气体通量，核算</w:t>
      </w:r>
      <w:r>
        <w:rPr>
          <w:rFonts w:hint="eastAsia" w:ascii="Times New Roman" w:cs="Times New Roman"/>
          <w:lang w:eastAsia="zh-CN"/>
        </w:rPr>
        <w:t>食用菊花</w:t>
      </w:r>
      <w:r>
        <w:rPr>
          <w:rFonts w:hint="default" w:ascii="Times New Roman" w:hAnsi="Times New Roman" w:cs="Times New Roman"/>
        </w:rPr>
        <w:t>鲜果的单位产品碳足迹</w:t>
      </w:r>
      <w:r>
        <w:rPr>
          <w:rFonts w:hint="default" w:ascii="Times New Roman" w:hAnsi="Times New Roman" w:cs="Times New Roman"/>
          <w:lang w:eastAsia="zh-CN"/>
        </w:rPr>
        <w:t>；</w:t>
      </w:r>
    </w:p>
    <w:p w14:paraId="7D8943B7">
      <w:pPr>
        <w:pStyle w:val="176"/>
        <w:numPr>
          <w:ilvl w:val="0"/>
          <w:numId w:val="32"/>
        </w:numPr>
        <w:bidi w:val="0"/>
        <w:ind w:left="851" w:leftChars="0" w:hanging="426" w:firstLineChars="0"/>
        <w:rPr>
          <w:rFonts w:hint="eastAsia"/>
          <w:lang w:eastAsia="zh-CN"/>
        </w:rPr>
      </w:pPr>
      <w:r>
        <w:rPr>
          <w:rFonts w:hint="eastAsia"/>
          <w:lang w:eastAsia="zh-CN"/>
        </w:rPr>
        <w:t>开展数据质量评价、不确定性分析与敏感性分析，编制核算报告。</w:t>
      </w:r>
    </w:p>
    <w:p w14:paraId="73C99C56">
      <w:pPr>
        <w:pStyle w:val="106"/>
        <w:bidi w:val="0"/>
        <w:rPr>
          <w:rFonts w:hint="eastAsia"/>
          <w:lang w:eastAsia="zh-CN"/>
        </w:rPr>
      </w:pPr>
      <w:bookmarkStart w:id="67" w:name="_Toc25537"/>
      <w:bookmarkStart w:id="68" w:name="_Toc12954"/>
      <w:bookmarkStart w:id="69" w:name="_Toc11994"/>
      <w:r>
        <w:rPr>
          <w:rFonts w:hint="eastAsia"/>
          <w:lang w:eastAsia="zh-CN"/>
        </w:rPr>
        <w:t>数据</w:t>
      </w:r>
      <w:bookmarkEnd w:id="67"/>
      <w:bookmarkEnd w:id="68"/>
      <w:r>
        <w:rPr>
          <w:rFonts w:hint="eastAsia"/>
          <w:lang w:val="en-US" w:eastAsia="zh-CN"/>
        </w:rPr>
        <w:t>要求</w:t>
      </w:r>
      <w:bookmarkEnd w:id="69"/>
    </w:p>
    <w:p w14:paraId="602D352E">
      <w:pPr>
        <w:pStyle w:val="107"/>
        <w:bidi w:val="0"/>
        <w:rPr>
          <w:rFonts w:hint="default"/>
        </w:rPr>
      </w:pPr>
      <w:r>
        <w:rPr>
          <w:rFonts w:hint="eastAsia"/>
          <w:lang w:val="en-US" w:eastAsia="zh-CN"/>
        </w:rPr>
        <w:t>质量要求</w:t>
      </w:r>
    </w:p>
    <w:p w14:paraId="465402AE">
      <w:pPr>
        <w:pStyle w:val="38"/>
        <w:bidi w:val="0"/>
        <w:rPr>
          <w:rFonts w:hint="eastAsia"/>
          <w:lang w:val="en-US" w:eastAsia="zh-CN"/>
        </w:rPr>
      </w:pPr>
      <w:r>
        <w:rPr>
          <w:rFonts w:hint="eastAsia"/>
          <w:lang w:val="en-US" w:eastAsia="zh-CN"/>
        </w:rPr>
        <w:t>在收集食用菊花产品碳足迹评价所需的初级数据和次级数据时，数据质量宜考虑以下方面：</w:t>
      </w:r>
    </w:p>
    <w:p w14:paraId="112276E3">
      <w:pPr>
        <w:pStyle w:val="176"/>
        <w:numPr>
          <w:ilvl w:val="0"/>
          <w:numId w:val="33"/>
        </w:numPr>
        <w:bidi w:val="0"/>
        <w:ind w:left="851" w:leftChars="0" w:hanging="426" w:firstLineChars="0"/>
        <w:rPr>
          <w:rFonts w:hint="default"/>
          <w:lang w:val="en-US" w:eastAsia="zh-CN"/>
        </w:rPr>
      </w:pPr>
      <w:r>
        <w:rPr>
          <w:rFonts w:hint="eastAsia"/>
          <w:lang w:val="en-US" w:eastAsia="zh-CN"/>
        </w:rPr>
        <w:t>时间边界范围，</w:t>
      </w:r>
      <w:r>
        <w:rPr>
          <w:rFonts w:hint="eastAsia"/>
          <w:highlight w:val="none"/>
          <w:lang w:eastAsia="zh-CN"/>
        </w:rPr>
        <w:t>覆盖12个连续自然月，且至少包含一个完整的栽培茬口（自</w:t>
      </w:r>
      <w:r>
        <w:rPr>
          <w:rFonts w:hint="eastAsia"/>
          <w:highlight w:val="none"/>
          <w:lang w:val="en-US" w:eastAsia="zh-CN"/>
        </w:rPr>
        <w:t>插穗</w:t>
      </w:r>
      <w:r>
        <w:rPr>
          <w:rFonts w:hint="eastAsia"/>
          <w:highlight w:val="none"/>
          <w:lang w:eastAsia="zh-CN"/>
        </w:rPr>
        <w:t>至采收完毕、</w:t>
      </w:r>
      <w:r>
        <w:rPr>
          <w:rFonts w:hint="eastAsia"/>
          <w:highlight w:val="none"/>
          <w:lang w:val="en-US" w:eastAsia="zh-CN"/>
        </w:rPr>
        <w:t>清盆</w:t>
      </w:r>
      <w:r>
        <w:rPr>
          <w:rFonts w:hint="eastAsia"/>
          <w:highlight w:val="none"/>
          <w:lang w:eastAsia="zh-CN"/>
        </w:rPr>
        <w:t>）；</w:t>
      </w:r>
    </w:p>
    <w:p w14:paraId="178C754C">
      <w:pPr>
        <w:pStyle w:val="176"/>
        <w:numPr>
          <w:ilvl w:val="0"/>
          <w:numId w:val="33"/>
        </w:numPr>
        <w:bidi w:val="0"/>
        <w:ind w:left="851" w:leftChars="0" w:hanging="426" w:firstLineChars="0"/>
        <w:rPr>
          <w:rFonts w:hint="default"/>
          <w:lang w:val="en-US" w:eastAsia="zh-CN"/>
        </w:rPr>
      </w:pPr>
      <w:r>
        <w:rPr>
          <w:rFonts w:hint="eastAsia"/>
          <w:highlight w:val="none"/>
          <w:lang w:val="en-US" w:eastAsia="zh-CN"/>
        </w:rPr>
        <w:t>地理覆盖范围，优先考虑收集生产活动所在的地理区域（如国家、区域等）的数据，以及针对具有地理特性的产品的具体数据；</w:t>
      </w:r>
    </w:p>
    <w:p w14:paraId="67B1816B">
      <w:pPr>
        <w:pStyle w:val="176"/>
        <w:numPr>
          <w:ilvl w:val="0"/>
          <w:numId w:val="33"/>
        </w:numPr>
        <w:bidi w:val="0"/>
        <w:ind w:left="851" w:leftChars="0" w:hanging="426" w:firstLineChars="0"/>
        <w:rPr>
          <w:rFonts w:hint="default"/>
          <w:lang w:val="en-US" w:eastAsia="zh-CN"/>
        </w:rPr>
      </w:pPr>
      <w:r>
        <w:rPr>
          <w:rFonts w:hint="eastAsia"/>
          <w:highlight w:val="none"/>
          <w:lang w:val="en-US" w:eastAsia="zh-CN"/>
        </w:rPr>
        <w:t>技术覆盖范围，优先考虑符合产品生产技术水平的具体技术出具；</w:t>
      </w:r>
    </w:p>
    <w:p w14:paraId="7DEED07F">
      <w:pPr>
        <w:pStyle w:val="176"/>
        <w:numPr>
          <w:ilvl w:val="0"/>
          <w:numId w:val="33"/>
        </w:numPr>
        <w:bidi w:val="0"/>
        <w:ind w:left="851" w:leftChars="0" w:hanging="426" w:firstLineChars="0"/>
        <w:rPr>
          <w:rFonts w:hint="default"/>
          <w:lang w:val="en-US" w:eastAsia="zh-CN"/>
        </w:rPr>
      </w:pPr>
      <w:r>
        <w:rPr>
          <w:rFonts w:hint="eastAsia"/>
          <w:highlight w:val="none"/>
          <w:lang w:val="en-US" w:eastAsia="zh-CN"/>
        </w:rPr>
        <w:t>数据收集范围，</w:t>
      </w:r>
      <w:r>
        <w:rPr>
          <w:rFonts w:hint="eastAsia"/>
          <w:lang w:eastAsia="zh-CN"/>
        </w:rPr>
        <w:t>依据系统边界内各单元过程与功能单位确定；</w:t>
      </w:r>
    </w:p>
    <w:p w14:paraId="04E29CA7">
      <w:pPr>
        <w:pStyle w:val="176"/>
        <w:numPr>
          <w:ilvl w:val="0"/>
          <w:numId w:val="33"/>
        </w:numPr>
        <w:bidi w:val="0"/>
        <w:ind w:left="851" w:leftChars="0" w:hanging="426" w:firstLineChars="0"/>
        <w:rPr>
          <w:rFonts w:hint="default"/>
          <w:lang w:val="en-US" w:eastAsia="zh-CN"/>
        </w:rPr>
      </w:pPr>
      <w:r>
        <w:rPr>
          <w:rFonts w:hint="eastAsia"/>
          <w:lang w:eastAsia="zh-CN"/>
        </w:rPr>
        <w:t>当同一参数存在多个来源时，宜按“实测值＞台账统计值＞结算单推算值＞文献缺省值”的优先序取值，并记录取舍理由。</w:t>
      </w:r>
    </w:p>
    <w:p w14:paraId="099B842C">
      <w:pPr>
        <w:pStyle w:val="107"/>
        <w:bidi w:val="0"/>
        <w:rPr>
          <w:rFonts w:hint="eastAsia"/>
          <w:lang w:eastAsia="zh-CN"/>
        </w:rPr>
      </w:pPr>
      <w:bookmarkStart w:id="70" w:name="_Toc30649"/>
      <w:r>
        <w:rPr>
          <w:rFonts w:hint="eastAsia"/>
          <w:lang w:val="en-US" w:eastAsia="zh-CN"/>
        </w:rPr>
        <w:t>初级数据</w:t>
      </w:r>
    </w:p>
    <w:p w14:paraId="3CDEC65A">
      <w:pPr>
        <w:pStyle w:val="167"/>
        <w:bidi w:val="0"/>
        <w:rPr>
          <w:rFonts w:hint="eastAsia"/>
          <w:lang w:eastAsia="zh-CN"/>
        </w:rPr>
      </w:pPr>
      <w:r>
        <w:rPr>
          <w:rFonts w:hint="eastAsia"/>
          <w:lang w:val="en-US" w:eastAsia="zh-CN"/>
        </w:rPr>
        <w:t>食用菊花产品碳足迹量化需要收集初级数据包括：</w:t>
      </w:r>
    </w:p>
    <w:p w14:paraId="4BD26432">
      <w:pPr>
        <w:pStyle w:val="176"/>
        <w:numPr>
          <w:ilvl w:val="0"/>
          <w:numId w:val="34"/>
        </w:numPr>
        <w:bidi w:val="0"/>
        <w:ind w:left="851" w:leftChars="0" w:hanging="426" w:firstLineChars="0"/>
        <w:rPr>
          <w:rFonts w:hint="eastAsia"/>
          <w:lang w:eastAsia="zh-CN"/>
        </w:rPr>
      </w:pPr>
      <w:r>
        <w:rPr>
          <w:rFonts w:hint="eastAsia"/>
          <w:lang w:val="en-US" w:eastAsia="zh-CN"/>
        </w:rPr>
        <w:t>原材料获取与投入阶段：</w:t>
      </w:r>
    </w:p>
    <w:p w14:paraId="644C2CBF">
      <w:pPr>
        <w:pStyle w:val="189"/>
        <w:bidi w:val="0"/>
        <w:rPr>
          <w:rFonts w:hint="eastAsia"/>
          <w:lang w:eastAsia="zh-CN"/>
        </w:rPr>
      </w:pPr>
      <w:r>
        <w:rPr>
          <w:rFonts w:hint="eastAsia"/>
          <w:lang w:eastAsia="zh-CN"/>
        </w:rPr>
        <w:t>种苗</w:t>
      </w:r>
      <w:r>
        <w:rPr>
          <w:rFonts w:hint="eastAsia"/>
          <w:lang w:val="en-US" w:eastAsia="zh-CN"/>
        </w:rPr>
        <w:t>的消耗量；</w:t>
      </w:r>
    </w:p>
    <w:p w14:paraId="44AFFB76">
      <w:pPr>
        <w:pStyle w:val="189"/>
        <w:bidi w:val="0"/>
        <w:rPr>
          <w:rFonts w:hint="eastAsia"/>
          <w:lang w:eastAsia="zh-CN"/>
        </w:rPr>
      </w:pPr>
      <w:r>
        <w:rPr>
          <w:rFonts w:hint="eastAsia"/>
          <w:lang w:eastAsia="zh-CN"/>
        </w:rPr>
        <w:t>化肥、有机肥、农药</w:t>
      </w:r>
      <w:r>
        <w:rPr>
          <w:rFonts w:hint="eastAsia"/>
          <w:lang w:val="en-US" w:eastAsia="zh-CN"/>
        </w:rPr>
        <w:t>等的消耗量；</w:t>
      </w:r>
    </w:p>
    <w:p w14:paraId="49676155">
      <w:pPr>
        <w:pStyle w:val="189"/>
        <w:bidi w:val="0"/>
        <w:rPr>
          <w:rFonts w:hint="eastAsia"/>
          <w:lang w:eastAsia="zh-CN"/>
        </w:rPr>
      </w:pPr>
      <w:r>
        <w:rPr>
          <w:rFonts w:hint="eastAsia"/>
          <w:lang w:val="en-US" w:eastAsia="zh-CN"/>
        </w:rPr>
        <w:t>包装材料（如</w:t>
      </w:r>
      <w:r>
        <w:rPr>
          <w:rFonts w:hint="eastAsia"/>
          <w:lang w:eastAsia="zh-CN"/>
        </w:rPr>
        <w:t>塑料袋、包装袋、纸箱、泡沫盒等）的消耗量；</w:t>
      </w:r>
    </w:p>
    <w:p w14:paraId="1F40F6F9">
      <w:pPr>
        <w:pStyle w:val="189"/>
        <w:bidi w:val="0"/>
        <w:rPr>
          <w:rFonts w:hint="eastAsia"/>
          <w:lang w:eastAsia="zh-CN"/>
        </w:rPr>
      </w:pPr>
      <w:r>
        <w:rPr>
          <w:rFonts w:hint="eastAsia"/>
          <w:lang w:val="en-US" w:eastAsia="zh-CN"/>
        </w:rPr>
        <w:t>所有原材料从购买运输到种植户或加工厂的能源消耗量。</w:t>
      </w:r>
    </w:p>
    <w:p w14:paraId="7BBACF30">
      <w:pPr>
        <w:pStyle w:val="176"/>
        <w:bidi w:val="0"/>
        <w:ind w:left="851" w:leftChars="0" w:hanging="426" w:firstLineChars="0"/>
        <w:rPr>
          <w:rFonts w:hint="eastAsia"/>
          <w:lang w:eastAsia="zh-CN"/>
        </w:rPr>
      </w:pPr>
      <w:r>
        <w:rPr>
          <w:rFonts w:hint="eastAsia"/>
          <w:lang w:val="en-US" w:eastAsia="zh-CN"/>
        </w:rPr>
        <w:t>生产阶段：</w:t>
      </w:r>
    </w:p>
    <w:p w14:paraId="202EF03F">
      <w:pPr>
        <w:pStyle w:val="189"/>
        <w:bidi w:val="0"/>
        <w:rPr>
          <w:rFonts w:hint="eastAsia"/>
          <w:lang w:eastAsia="zh-CN"/>
        </w:rPr>
      </w:pPr>
      <w:r>
        <w:rPr>
          <w:rFonts w:hint="eastAsia"/>
          <w:lang w:eastAsia="zh-CN"/>
        </w:rPr>
        <w:t>氮肥施用引起的N₂O</w:t>
      </w:r>
      <w:r>
        <w:rPr>
          <w:rFonts w:hint="eastAsia"/>
          <w:lang w:val="en-US" w:eastAsia="zh-CN"/>
        </w:rPr>
        <w:t>的排放量</w:t>
      </w:r>
      <w:r>
        <w:rPr>
          <w:rFonts w:hint="eastAsia"/>
          <w:lang w:eastAsia="zh-CN"/>
        </w:rPr>
        <w:t>；</w:t>
      </w:r>
    </w:p>
    <w:p w14:paraId="158927CB">
      <w:pPr>
        <w:pStyle w:val="189"/>
        <w:bidi w:val="0"/>
        <w:rPr>
          <w:rFonts w:hint="eastAsia"/>
          <w:lang w:eastAsia="zh-CN"/>
        </w:rPr>
      </w:pPr>
      <w:r>
        <w:rPr>
          <w:rFonts w:hint="eastAsia"/>
          <w:lang w:eastAsia="zh-CN"/>
        </w:rPr>
        <w:t>菊花植株残体还田引起的N₂O排放</w:t>
      </w:r>
      <w:r>
        <w:rPr>
          <w:rFonts w:hint="eastAsia"/>
          <w:lang w:val="en-US" w:eastAsia="zh-CN"/>
        </w:rPr>
        <w:t>量</w:t>
      </w:r>
      <w:r>
        <w:rPr>
          <w:rFonts w:hint="eastAsia"/>
          <w:lang w:eastAsia="zh-CN"/>
        </w:rPr>
        <w:t>；</w:t>
      </w:r>
    </w:p>
    <w:p w14:paraId="04B8D035">
      <w:pPr>
        <w:pStyle w:val="189"/>
        <w:bidi w:val="0"/>
        <w:rPr>
          <w:rFonts w:hint="eastAsia"/>
          <w:lang w:eastAsia="zh-CN"/>
        </w:rPr>
      </w:pPr>
      <w:r>
        <w:rPr>
          <w:rFonts w:hint="eastAsia"/>
          <w:lang w:eastAsia="zh-CN"/>
        </w:rPr>
        <w:t>补光、灌溉、遮光调控与水帘降温等作业耗能及取水</w:t>
      </w:r>
      <w:r>
        <w:rPr>
          <w:rFonts w:hint="eastAsia"/>
          <w:lang w:val="en-US" w:eastAsia="zh-CN"/>
        </w:rPr>
        <w:t>量</w:t>
      </w:r>
      <w:r>
        <w:rPr>
          <w:rFonts w:hint="eastAsia"/>
          <w:lang w:eastAsia="zh-CN"/>
        </w:rPr>
        <w:t>；</w:t>
      </w:r>
    </w:p>
    <w:p w14:paraId="31D4B8ED">
      <w:pPr>
        <w:pStyle w:val="189"/>
        <w:bidi w:val="0"/>
        <w:rPr>
          <w:rFonts w:hint="eastAsia"/>
          <w:lang w:eastAsia="zh-CN"/>
        </w:rPr>
      </w:pPr>
      <w:r>
        <w:rPr>
          <w:rFonts w:hint="eastAsia"/>
          <w:lang w:eastAsia="zh-CN"/>
        </w:rPr>
        <w:t>保鲜库预冷与周转储存的</w:t>
      </w:r>
      <w:r>
        <w:rPr>
          <w:rFonts w:hint="eastAsia"/>
          <w:lang w:val="en-US" w:eastAsia="zh-CN"/>
        </w:rPr>
        <w:t>能源消耗量</w:t>
      </w:r>
      <w:r>
        <w:rPr>
          <w:rFonts w:hint="eastAsia"/>
          <w:lang w:eastAsia="zh-CN"/>
        </w:rPr>
        <w:t>；</w:t>
      </w:r>
    </w:p>
    <w:p w14:paraId="574AEF8E">
      <w:pPr>
        <w:pStyle w:val="189"/>
        <w:bidi w:val="0"/>
        <w:rPr>
          <w:rFonts w:hint="eastAsia"/>
          <w:lang w:eastAsia="zh-CN"/>
        </w:rPr>
      </w:pPr>
      <w:r>
        <w:rPr>
          <w:rFonts w:hint="eastAsia"/>
          <w:lang w:eastAsia="zh-CN"/>
        </w:rPr>
        <w:t>植株碳汇、枯落物碳汇与土壤碳汇；</w:t>
      </w:r>
    </w:p>
    <w:p w14:paraId="0252D25F">
      <w:pPr>
        <w:pStyle w:val="189"/>
        <w:bidi w:val="0"/>
        <w:rPr>
          <w:rFonts w:hint="eastAsia"/>
          <w:lang w:eastAsia="zh-CN"/>
        </w:rPr>
      </w:pPr>
      <w:r>
        <w:rPr>
          <w:rFonts w:hint="eastAsia"/>
          <w:lang w:val="en-US" w:eastAsia="zh-CN"/>
        </w:rPr>
        <w:t>包装作业过程的能源消耗量；</w:t>
      </w:r>
    </w:p>
    <w:p w14:paraId="6BB58A86">
      <w:pPr>
        <w:pStyle w:val="167"/>
        <w:bidi w:val="0"/>
        <w:rPr>
          <w:rFonts w:hint="eastAsia"/>
          <w:lang w:eastAsia="zh-CN"/>
        </w:rPr>
      </w:pPr>
      <w:r>
        <w:rPr>
          <w:rFonts w:hint="eastAsia"/>
          <w:lang w:val="en-US" w:eastAsia="zh-CN"/>
        </w:rPr>
        <w:t>初级数据主要从企业拥有、运行或控制的种植和生产过程中收集，并对数据的有效性进行检查，包括建立物料平衡和能量平衡等，以确保数据质量符合要求。</w:t>
      </w:r>
    </w:p>
    <w:p w14:paraId="7429CDED">
      <w:pPr>
        <w:pStyle w:val="107"/>
        <w:bidi w:val="0"/>
        <w:rPr>
          <w:rFonts w:hint="eastAsia"/>
          <w:lang w:eastAsia="zh-CN"/>
        </w:rPr>
      </w:pPr>
      <w:r>
        <w:rPr>
          <w:rFonts w:hint="eastAsia"/>
          <w:lang w:val="en-US" w:eastAsia="zh-CN"/>
        </w:rPr>
        <w:t>次级数据</w:t>
      </w:r>
    </w:p>
    <w:p w14:paraId="68B3F0CA">
      <w:pPr>
        <w:pStyle w:val="167"/>
        <w:bidi w:val="0"/>
        <w:rPr>
          <w:rFonts w:hint="eastAsia"/>
          <w:lang w:eastAsia="zh-CN"/>
        </w:rPr>
      </w:pPr>
      <w:r>
        <w:rPr>
          <w:rFonts w:hint="eastAsia"/>
          <w:lang w:val="en-US" w:eastAsia="zh-CN"/>
        </w:rPr>
        <w:t>食用菊花产品碳足迹量化需要收集的次级数据包括：</w:t>
      </w:r>
    </w:p>
    <w:p w14:paraId="0E76B47E">
      <w:pPr>
        <w:pStyle w:val="176"/>
        <w:numPr>
          <w:ilvl w:val="0"/>
          <w:numId w:val="35"/>
        </w:numPr>
        <w:bidi w:val="0"/>
        <w:ind w:left="851" w:leftChars="0" w:hanging="426" w:firstLineChars="0"/>
        <w:rPr>
          <w:rFonts w:hint="eastAsia"/>
          <w:lang w:eastAsia="zh-CN"/>
        </w:rPr>
      </w:pPr>
      <w:r>
        <w:rPr>
          <w:rFonts w:hint="eastAsia"/>
          <w:lang w:val="en-US" w:eastAsia="zh-CN"/>
        </w:rPr>
        <w:t>各类原材料生产的温室气体排放因子；</w:t>
      </w:r>
    </w:p>
    <w:p w14:paraId="064E9E0E">
      <w:pPr>
        <w:pStyle w:val="176"/>
        <w:numPr>
          <w:ilvl w:val="0"/>
          <w:numId w:val="35"/>
        </w:numPr>
        <w:bidi w:val="0"/>
        <w:ind w:left="851" w:leftChars="0" w:hanging="426" w:firstLineChars="0"/>
        <w:rPr>
          <w:rFonts w:hint="eastAsia"/>
          <w:lang w:eastAsia="zh-CN"/>
        </w:rPr>
      </w:pPr>
      <w:r>
        <w:rPr>
          <w:rFonts w:hint="eastAsia"/>
          <w:lang w:val="en-US" w:eastAsia="zh-CN"/>
        </w:rPr>
        <w:t>各类能源生产、运输和使用的温室气体排放因子；</w:t>
      </w:r>
    </w:p>
    <w:p w14:paraId="7FDB4309">
      <w:pPr>
        <w:pStyle w:val="176"/>
        <w:numPr>
          <w:ilvl w:val="0"/>
          <w:numId w:val="35"/>
        </w:numPr>
        <w:bidi w:val="0"/>
        <w:ind w:left="851" w:leftChars="0" w:hanging="426" w:firstLineChars="0"/>
        <w:rPr>
          <w:rFonts w:hint="eastAsia"/>
          <w:lang w:eastAsia="zh-CN"/>
        </w:rPr>
      </w:pPr>
      <w:r>
        <w:rPr>
          <w:rFonts w:hint="eastAsia"/>
          <w:lang w:val="en-US" w:eastAsia="zh-CN"/>
        </w:rPr>
        <w:t>各类运输方式的温室气体排放源因子；</w:t>
      </w:r>
    </w:p>
    <w:p w14:paraId="3C40C41F">
      <w:pPr>
        <w:pStyle w:val="167"/>
        <w:bidi w:val="0"/>
        <w:rPr>
          <w:rFonts w:hint="eastAsia"/>
          <w:lang w:eastAsia="zh-CN"/>
        </w:rPr>
      </w:pPr>
      <w:r>
        <w:rPr>
          <w:rFonts w:hint="eastAsia"/>
          <w:lang w:val="en-US" w:eastAsia="zh-CN"/>
        </w:rPr>
        <w:t>用于碳足迹核算的各类原辅材料、能源排放因子应优先采用基于生命周期评价或产品碳足迹评价得到的“从摇篮到大门”原辅材料和能源资源碳足迹。若不可获取，则宜从官方出版物、行业报告和文献等收集符合本文件7.1数据质量要求的次级数据，并分析次级数据包括的具体过程。</w:t>
      </w:r>
    </w:p>
    <w:p w14:paraId="6B0D5602">
      <w:pPr>
        <w:pStyle w:val="107"/>
        <w:bidi w:val="0"/>
        <w:rPr>
          <w:rFonts w:hint="eastAsia"/>
          <w:lang w:eastAsia="zh-CN"/>
        </w:rPr>
      </w:pPr>
      <w:r>
        <w:rPr>
          <w:rFonts w:hint="eastAsia"/>
          <w:lang w:eastAsia="zh-CN"/>
        </w:rPr>
        <w:t>数据保存</w:t>
      </w:r>
    </w:p>
    <w:p w14:paraId="51808D9A">
      <w:pPr>
        <w:pStyle w:val="38"/>
        <w:bidi w:val="0"/>
        <w:rPr>
          <w:rFonts w:hint="eastAsia"/>
          <w:lang w:eastAsia="zh-CN"/>
        </w:rPr>
      </w:pPr>
      <w:r>
        <w:rPr>
          <w:rFonts w:hint="eastAsia"/>
          <w:lang w:eastAsia="zh-CN"/>
        </w:rPr>
        <w:t>用于碳足迹评价的所有初级和次级数据，应形成文件记录，并以便于分析和核查的格式进行保存，记录数据来源、获取时间与责任人，保存年限不少于3年。</w:t>
      </w:r>
    </w:p>
    <w:bookmarkEnd w:id="70"/>
    <w:p w14:paraId="115D5DEE">
      <w:pPr>
        <w:pStyle w:val="106"/>
        <w:bidi w:val="0"/>
        <w:rPr>
          <w:rFonts w:hint="eastAsia"/>
          <w:lang w:eastAsia="zh-CN"/>
        </w:rPr>
      </w:pPr>
      <w:bookmarkStart w:id="71" w:name="_Toc21560"/>
      <w:bookmarkStart w:id="72" w:name="_Toc8066"/>
      <w:bookmarkStart w:id="73" w:name="_Toc5767"/>
      <w:r>
        <w:rPr>
          <w:rFonts w:hint="eastAsia"/>
          <w:lang w:val="en-US" w:eastAsia="zh-CN"/>
        </w:rPr>
        <w:t>量化</w:t>
      </w:r>
      <w:r>
        <w:rPr>
          <w:rFonts w:hint="eastAsia"/>
          <w:lang w:eastAsia="zh-CN"/>
        </w:rPr>
        <w:t>方法</w:t>
      </w:r>
      <w:bookmarkEnd w:id="71"/>
      <w:bookmarkEnd w:id="72"/>
      <w:bookmarkEnd w:id="73"/>
    </w:p>
    <w:p w14:paraId="4B99C201">
      <w:pPr>
        <w:pStyle w:val="107"/>
        <w:bidi w:val="0"/>
        <w:rPr>
          <w:rFonts w:hint="eastAsia"/>
          <w:lang w:eastAsia="zh-CN"/>
        </w:rPr>
      </w:pPr>
      <w:bookmarkStart w:id="74" w:name="_Toc14928"/>
      <w:r>
        <w:rPr>
          <w:rFonts w:hint="eastAsia"/>
          <w:lang w:eastAsia="zh-CN"/>
        </w:rPr>
        <w:t>一般规定</w:t>
      </w:r>
      <w:bookmarkEnd w:id="74"/>
    </w:p>
    <w:p w14:paraId="55D5A3D9">
      <w:pPr>
        <w:pStyle w:val="38"/>
        <w:rPr>
          <w:rFonts w:hint="default" w:ascii="Times New Roman" w:hAnsi="Times New Roman" w:cs="Times New Roman"/>
          <w:lang w:eastAsia="zh-CN"/>
        </w:rPr>
      </w:pPr>
      <w:r>
        <w:rPr>
          <w:rFonts w:hint="default" w:ascii="Times New Roman" w:hAnsi="Times New Roman" w:cs="Times New Roman"/>
          <w:lang w:eastAsia="zh-CN"/>
        </w:rPr>
        <w:t>食用菊花碳足迹核算采用IPCC温室气体清单方法，以</w:t>
      </w:r>
      <w:r>
        <w:rPr>
          <w:rFonts w:hint="eastAsia" w:ascii="Times New Roman" w:hAnsi="Times New Roman" w:cs="Times New Roman"/>
          <w:lang w:eastAsia="zh-CN"/>
        </w:rPr>
        <w:t>“</w:t>
      </w:r>
      <w:r>
        <w:rPr>
          <w:rFonts w:hint="default" w:ascii="Times New Roman" w:hAnsi="Times New Roman" w:cs="Times New Roman"/>
          <w:lang w:eastAsia="zh-CN"/>
        </w:rPr>
        <w:t>活动数据（AD）×排放因子（EF）</w:t>
      </w:r>
      <w:r>
        <w:rPr>
          <w:rFonts w:hint="eastAsia" w:ascii="Times New Roman" w:hAnsi="Times New Roman" w:cs="Times New Roman"/>
          <w:lang w:eastAsia="zh-CN"/>
        </w:rPr>
        <w:t>”</w:t>
      </w:r>
      <w:r>
        <w:rPr>
          <w:rFonts w:hint="default" w:ascii="Times New Roman" w:hAnsi="Times New Roman" w:cs="Times New Roman"/>
          <w:lang w:eastAsia="zh-CN"/>
        </w:rPr>
        <w:t>计算各过程排放量。活动数据优先采用区域特定值，其次国家通用值，最后为IPCC推荐值。</w:t>
      </w:r>
    </w:p>
    <w:p w14:paraId="02B6B192">
      <w:pPr>
        <w:pStyle w:val="107"/>
        <w:bidi w:val="0"/>
        <w:rPr>
          <w:rFonts w:hint="eastAsia"/>
          <w:lang w:eastAsia="zh-CN"/>
        </w:rPr>
      </w:pPr>
      <w:bookmarkStart w:id="75" w:name="_Toc1956"/>
      <w:r>
        <w:rPr>
          <w:rFonts w:hint="eastAsia"/>
          <w:lang w:eastAsia="zh-CN"/>
        </w:rPr>
        <w:t>单位产品碳足迹</w:t>
      </w:r>
      <w:bookmarkEnd w:id="75"/>
    </w:p>
    <w:p w14:paraId="4840008D">
      <w:pPr>
        <w:pStyle w:val="38"/>
        <w:bidi w:val="0"/>
        <w:rPr>
          <w:highlight w:val="none"/>
          <w:lang w:val="en-US" w:eastAsia="zh-CN"/>
        </w:rPr>
      </w:pPr>
      <w:r>
        <w:rPr>
          <w:rFonts w:hint="eastAsia"/>
          <w:highlight w:val="none"/>
          <w:lang w:val="en-US" w:eastAsia="zh-CN"/>
        </w:rPr>
        <w:t>食用菊花</w:t>
      </w:r>
      <w:r>
        <w:rPr>
          <w:highlight w:val="none"/>
          <w:lang w:val="en-US" w:eastAsia="zh-CN"/>
        </w:rPr>
        <w:t>全生命周期单位产品碳足迹（CF）按下式汇总：</w:t>
      </w:r>
    </w:p>
    <w:p w14:paraId="47A54029">
      <w:pPr>
        <w:pStyle w:val="115"/>
        <w:bidi w:val="0"/>
        <w:rPr>
          <w:rFonts w:hint="eastAsia"/>
          <w:highlight w:val="none"/>
          <w:lang w:val="en-US" w:eastAsia="zh-CN"/>
        </w:rPr>
      </w:pPr>
      <w:r>
        <w:rPr>
          <w:rFonts w:hint="eastAsia"/>
          <w:highlight w:val="none"/>
          <w:lang w:val="en-US" w:eastAsia="zh-CN"/>
        </w:rPr>
        <w:tab/>
      </w:r>
      <m:oMath>
        <m:r>
          <m:rPr>
            <m:sty m:val="p"/>
          </m:rPr>
          <w:rPr>
            <w:rFonts w:hint="default" w:ascii="Times New Roman" w:hAnsi="Times New Roman" w:eastAsia="宋体" w:cs="Times New Roman"/>
            <w:sz w:val="21"/>
            <w:highlight w:val="none"/>
          </w:rPr>
          <m:t>CF=(</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material</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production</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Y</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product</m:t>
            </m:r>
            <m:ctrlPr>
              <w:rPr>
                <w:rFonts w:hint="default" w:ascii="Cambria Math" w:hAnsi="Cambria Math" w:cs="Times New Roman"/>
                <w:i w:val="0"/>
                <w:iCs w:val="0"/>
                <w:sz w:val="21"/>
                <w:highlight w:val="none"/>
              </w:rPr>
            </m:ctrlPr>
          </m:sub>
        </m:sSub>
      </m:oMath>
      <w:r>
        <w:rPr>
          <w:rFonts w:hint="eastAsia" w:ascii="微软雅黑" w:hAnsi="微软雅黑" w:eastAsia="微软雅黑" w:cs="微软雅黑"/>
          <w:highlight w:val="none"/>
          <w:lang w:val="en-US" w:eastAsia="zh-CN"/>
        </w:rPr>
        <w:tab/>
      </w:r>
      <w:r>
        <w:rPr>
          <w:rFonts w:hint="eastAsia"/>
          <w:highlight w:val="none"/>
          <w:lang w:val="en-US" w:eastAsia="zh-CN"/>
        </w:rPr>
        <w:t>(</w:t>
      </w:r>
      <w:r>
        <w:rPr>
          <w:rFonts w:hint="eastAsia"/>
          <w:highlight w:val="none"/>
          <w:lang w:val="en-US" w:eastAsia="zh-CN"/>
        </w:rPr>
        <w:fldChar w:fldCharType="begin"/>
      </w:r>
      <w:r>
        <w:rPr>
          <w:rFonts w:hint="eastAsia"/>
          <w:highlight w:val="none"/>
          <w:lang w:val="en-US" w:eastAsia="zh-CN"/>
        </w:rPr>
        <w:instrText xml:space="preserve"> SEQ 公式 \* ARABIC </w:instrText>
      </w:r>
      <w:r>
        <w:rPr>
          <w:rFonts w:hint="eastAsia"/>
          <w:highlight w:val="none"/>
          <w:lang w:val="en-US" w:eastAsia="zh-CN"/>
        </w:rPr>
        <w:fldChar w:fldCharType="separate"/>
      </w:r>
      <w:r>
        <w:rPr>
          <w:rFonts w:hint="eastAsia"/>
          <w:highlight w:val="none"/>
          <w:lang w:val="en-US" w:eastAsia="zh-CN"/>
        </w:rPr>
        <w:t>1</w:t>
      </w:r>
      <w:r>
        <w:rPr>
          <w:rFonts w:hint="eastAsia"/>
          <w:highlight w:val="none"/>
          <w:lang w:val="en-US" w:eastAsia="zh-CN"/>
        </w:rPr>
        <w:fldChar w:fldCharType="end"/>
      </w:r>
      <w:r>
        <w:rPr>
          <w:rFonts w:hint="eastAsia"/>
          <w:highlight w:val="none"/>
          <w:lang w:val="en-US" w:eastAsia="zh-CN"/>
        </w:rPr>
        <w:t>)</w:t>
      </w:r>
    </w:p>
    <w:p w14:paraId="199882C5">
      <w:pPr>
        <w:pStyle w:val="38"/>
        <w:bidi w:val="0"/>
        <w:rPr>
          <w:rFonts w:hint="eastAsia"/>
          <w:highlight w:val="none"/>
          <w:lang w:val="en-US" w:eastAsia="zh-CN"/>
        </w:rPr>
      </w:pPr>
      <w:r>
        <w:rPr>
          <w:rFonts w:hint="eastAsia"/>
          <w:highlight w:val="none"/>
          <w:lang w:val="en-US" w:eastAsia="zh-CN"/>
        </w:rPr>
        <w:t>式中：</w:t>
      </w:r>
    </w:p>
    <w:p w14:paraId="1D317C09">
      <w:pPr>
        <w:pStyle w:val="38"/>
        <w:bidi w:val="0"/>
        <w:rPr>
          <w:rFonts w:hint="default" w:ascii="Times New Roman" w:hAnsi="Times New Roman" w:cs="Times New Roman"/>
          <w:highlight w:val="none"/>
          <w:lang w:val="en-US" w:eastAsia="zh-CN"/>
        </w:rPr>
      </w:pPr>
      <m:oMath>
        <m:r>
          <m:rPr>
            <m:nor/>
            <m:sty m:val="p"/>
          </m:rPr>
          <w:rPr>
            <w:rFonts w:hint="default" w:ascii="Times New Roman" w:hAnsi="Times New Roman" w:cs="Times New Roman"/>
            <w:b w:val="0"/>
            <w:i w:val="0"/>
            <w:highlight w:val="none"/>
            <w:lang w:val="en-US" w:eastAsia="zh-CN"/>
          </w:rPr>
          <m:t>CF</m:t>
        </m:r>
      </m:oMath>
      <w:r>
        <w:rPr>
          <w:rFonts w:hint="default" w:ascii="Times New Roman" w:hAnsi="Times New Roman" w:cs="Times New Roman"/>
          <w:highlight w:val="none"/>
          <w:lang w:val="en-US" w:eastAsia="zh-CN"/>
        </w:rPr>
        <w:t>——功能单位碳足迹（kg CO₂e/kg）；</w:t>
      </w:r>
    </w:p>
    <w:p w14:paraId="1CBD92F6">
      <w:pPr>
        <w:pStyle w:val="38"/>
        <w:bidi w:val="0"/>
        <w:rPr>
          <w:rFonts w:hint="default" w:ascii="Times New Roman" w:hAnsi="Times New Roman" w:cs="Times New Roman"/>
          <w:highlight w:val="none"/>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material</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——原材料获取与投入阶段 GHG 排放量（kg CO₂e）；</w:t>
      </w:r>
    </w:p>
    <w:p w14:paraId="4B0311EE">
      <w:pPr>
        <w:pStyle w:val="38"/>
        <w:bidi w:val="0"/>
        <w:rPr>
          <w:rFonts w:hint="default" w:ascii="Times New Roman" w:hAnsi="Times New Roman" w:cs="Times New Roman"/>
          <w:highlight w:val="none"/>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production</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——生产阶段 GHG 排放量（kg CO₂e）；</w:t>
      </w:r>
    </w:p>
    <w:p w14:paraId="32328CC9">
      <w:pPr>
        <w:pStyle w:val="38"/>
        <w:bidi w:val="0"/>
        <w:rPr>
          <w:rFonts w:hint="default" w:ascii="Times New Roman" w:hAnsi="Times New Roman" w:eastAsia="宋体" w:cs="Times New Roman"/>
          <w:i w:val="0"/>
          <w:iCs/>
          <w:szCs w:val="21"/>
          <w:highlight w:val="none"/>
          <w:lang w:eastAsia="zh-CN"/>
        </w:rPr>
      </w:pPr>
      <m:oMath>
        <m:sSub>
          <m:sSubPr>
            <m:ctrlPr>
              <w:rPr>
                <w:rFonts w:hint="default" w:ascii="Cambria Math" w:hAnsi="Cambria Math" w:cs="Times New Roman"/>
                <w:highlight w:val="none"/>
              </w:rPr>
            </m:ctrlPr>
          </m:sSubPr>
          <m:e>
            <m:r>
              <m:rPr>
                <m:nor/>
                <m:sty m:val="p"/>
              </m:rPr>
              <w:rPr>
                <w:rFonts w:hint="default" w:ascii="Times New Roman" w:hAnsi="Times New Roman" w:cs="Times New Roman"/>
                <w:b w:val="0"/>
                <w:i w:val="0"/>
                <w:highlight w:val="none"/>
                <w:lang w:val="en-US" w:eastAsia="zh-CN"/>
              </w:rPr>
              <m:t>Y</m:t>
            </m:r>
            <m:ctrlPr>
              <w:rPr>
                <w:rFonts w:hint="default" w:ascii="Cambria Math" w:hAnsi="Cambria Math" w:cs="Times New Roman"/>
                <w:highlight w:val="none"/>
              </w:rPr>
            </m:ctrlPr>
          </m:e>
          <m:sub>
            <m:r>
              <m:rPr>
                <m:nor/>
                <m:sty m:val="p"/>
              </m:rPr>
              <w:rPr>
                <w:rFonts w:hint="default" w:ascii="Times New Roman" w:hAnsi="Times New Roman" w:cs="Times New Roman"/>
                <w:b w:val="0"/>
                <w:i w:val="0"/>
                <w:highlight w:val="none"/>
                <w:lang w:val="en-US" w:eastAsia="zh-CN"/>
              </w:rPr>
              <m:t>product</m:t>
            </m:r>
            <m:ctrlPr>
              <w:rPr>
                <w:rFonts w:hint="default" w:ascii="Cambria Math" w:hAnsi="Cambria Math" w:cs="Times New Roman"/>
                <w:highlight w:val="none"/>
              </w:rPr>
            </m:ctrlPr>
          </m:sub>
        </m:sSub>
      </m:oMath>
      <w:r>
        <w:rPr>
          <w:rFonts w:hint="default" w:ascii="Times New Roman" w:hAnsi="Times New Roman" w:cs="Times New Roman"/>
          <w:highlight w:val="none"/>
          <w:lang w:val="en-US" w:eastAsia="zh-CN"/>
        </w:rPr>
        <w:t>——食用菊花鲜花</w:t>
      </w:r>
      <w:r>
        <w:rPr>
          <w:rFonts w:hint="default" w:ascii="Times New Roman" w:hAnsi="Times New Roman" w:cs="Times New Roman"/>
          <w:highlight w:val="none"/>
        </w:rPr>
        <w:t>产量（kg）</w:t>
      </w:r>
      <w:r>
        <w:rPr>
          <w:rFonts w:hint="default" w:ascii="Times New Roman" w:hAnsi="Times New Roman" w:cs="Times New Roman"/>
          <w:highlight w:val="none"/>
          <w:lang w:eastAsia="zh-CN"/>
        </w:rPr>
        <w:t>。</w:t>
      </w:r>
    </w:p>
    <w:p w14:paraId="4E37590E">
      <w:pPr>
        <w:pStyle w:val="107"/>
        <w:bidi w:val="0"/>
        <w:rPr>
          <w:rFonts w:hint="eastAsia"/>
          <w:highlight w:val="none"/>
          <w:lang w:eastAsia="zh-CN"/>
        </w:rPr>
      </w:pPr>
      <w:bookmarkStart w:id="76" w:name="_Toc26713"/>
      <w:r>
        <w:rPr>
          <w:rFonts w:hint="eastAsia"/>
          <w:highlight w:val="none"/>
          <w:lang w:eastAsia="zh-CN"/>
        </w:rPr>
        <w:t>原材料获取与投入阶段 GHG 排放量</w:t>
      </w:r>
    </w:p>
    <w:p w14:paraId="5CB646C1">
      <w:pPr>
        <w:pStyle w:val="38"/>
        <w:ind w:left="0" w:leftChars="0" w:firstLine="420" w:firstLineChars="200"/>
        <w:rPr>
          <w:rFonts w:hint="eastAsia"/>
          <w:highlight w:val="none"/>
          <w:lang w:eastAsia="zh-CN"/>
        </w:rPr>
      </w:pPr>
      <w:r>
        <w:rPr>
          <w:rFonts w:hint="eastAsia"/>
          <w:highlight w:val="none"/>
          <w:lang w:eastAsia="zh-CN"/>
        </w:rPr>
        <w:t>食用菊花原材料获取与投入阶段 GHG 排放源包括：外购扦插苗、肥料、农药、栽培基质、种植袋、无纺布地布、遮阳网、支撑材料等农业投入品的上游生产端排放，薄膜袋、瓦楞纸箱、无纺布袋等包装材料的生产端排放，以及上述原材料运抵种植户的运输排放。原材料获取与投入阶段 GHG 排放量按下式计算：</w:t>
      </w:r>
    </w:p>
    <w:p w14:paraId="5F8091A4">
      <w:pPr>
        <w:pStyle w:val="115"/>
        <w:bidi w:val="0"/>
        <w:rPr>
          <w:rFonts w:hint="eastAsia"/>
          <w:highlight w:val="none"/>
          <w:lang w:eastAsia="zh-CN"/>
        </w:rPr>
      </w:pPr>
      <w:r>
        <w:rPr>
          <w:rFonts w:hint="eastAsia"/>
          <w:highlight w:val="none"/>
          <w:lang w:eastAsia="zh-CN"/>
        </w:rPr>
        <w:tab/>
      </w: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material</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input</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material,package</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transport</m:t>
            </m:r>
            <m:ctrlPr>
              <w:rPr>
                <w:rFonts w:hint="default" w:ascii="Cambria Math" w:hAnsi="Cambria Math" w:cs="Times New Roman"/>
                <w:i w:val="0"/>
                <w:iCs w:val="0"/>
                <w:sz w:val="21"/>
                <w:highlight w:val="none"/>
              </w:rPr>
            </m:ctrlPr>
          </m:sub>
        </m:sSub>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2</w:t>
      </w:r>
      <w:r>
        <w:rPr>
          <w:rFonts w:hint="eastAsia"/>
          <w:highlight w:val="none"/>
          <w:lang w:eastAsia="zh-CN"/>
        </w:rPr>
        <w:fldChar w:fldCharType="end"/>
      </w:r>
      <w:r>
        <w:rPr>
          <w:rFonts w:hint="eastAsia"/>
          <w:highlight w:val="none"/>
          <w:lang w:eastAsia="zh-CN"/>
        </w:rPr>
        <w:t>)</w:t>
      </w:r>
    </w:p>
    <w:p w14:paraId="1F8BC97E">
      <w:pPr>
        <w:pStyle w:val="62"/>
        <w:rPr>
          <w:rFonts w:hint="eastAsia"/>
          <w:highlight w:val="none"/>
          <w:lang w:eastAsia="zh-CN"/>
        </w:rPr>
      </w:pPr>
      <w:r>
        <w:rPr>
          <w:rFonts w:hint="eastAsia"/>
          <w:highlight w:val="none"/>
          <w:lang w:eastAsia="zh-CN"/>
        </w:rPr>
        <w:t>式中：</w:t>
      </w:r>
    </w:p>
    <w:p w14:paraId="39659443">
      <w:pPr>
        <w:pStyle w:val="38"/>
        <w:bidi w:val="0"/>
        <w:rPr>
          <w:rFonts w:hint="default"/>
          <w:highlight w:val="none"/>
          <w:lang w:eastAsia="zh-CN"/>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input</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——农业投入品</w:t>
      </w:r>
      <w:r>
        <w:rPr>
          <w:rFonts w:hint="eastAsia" w:cs="Times New Roman"/>
          <w:b w:val="0"/>
          <w:i w:val="0"/>
          <w:iCs/>
          <w:sz w:val="21"/>
          <w:szCs w:val="21"/>
          <w:highlight w:val="none"/>
          <w:lang w:val="en-US" w:eastAsia="zh-CN"/>
        </w:rPr>
        <w:t>（</w:t>
      </w:r>
      <w:r>
        <w:rPr>
          <w:rFonts w:hint="default" w:ascii="Times New Roman" w:hAnsi="Times New Roman" w:cs="Times New Roman"/>
          <w:b w:val="0"/>
          <w:i w:val="0"/>
          <w:iCs/>
          <w:sz w:val="21"/>
          <w:szCs w:val="21"/>
          <w:highlight w:val="none"/>
          <w:lang w:val="en-US" w:eastAsia="zh-CN"/>
        </w:rPr>
        <w:t>外购扦插苗、肥料、农药、栽培基质、种植袋、无纺布地布、遮阳网、支撑材料等</w:t>
      </w:r>
      <w:r>
        <w:rPr>
          <w:rFonts w:hint="eastAsia" w:cs="Times New Roman"/>
          <w:b w:val="0"/>
          <w:i w:val="0"/>
          <w:iCs/>
          <w:sz w:val="21"/>
          <w:szCs w:val="21"/>
          <w:highlight w:val="none"/>
          <w:lang w:val="en-US" w:eastAsia="zh-CN"/>
        </w:rPr>
        <w:t>）</w:t>
      </w:r>
      <w:r>
        <w:rPr>
          <w:rFonts w:hint="default" w:ascii="Times New Roman" w:hAnsi="Times New Roman" w:cs="Times New Roman"/>
          <w:b w:val="0"/>
          <w:i w:val="0"/>
          <w:iCs/>
          <w:sz w:val="21"/>
          <w:szCs w:val="21"/>
          <w:highlight w:val="none"/>
          <w:lang w:val="en-US" w:eastAsia="zh-CN"/>
        </w:rPr>
        <w:t>生产端产生的 GHG 排放量（kg CO2e）；</w:t>
      </w:r>
    </w:p>
    <w:p w14:paraId="188ABCA9">
      <w:pPr>
        <w:ind w:firstLine="420" w:firstLineChars="200"/>
        <w:rPr>
          <w:rFonts w:hint="default" w:ascii="Times New Roman" w:hAnsi="Times New Roman" w:cs="Times New Roman"/>
          <w:highlight w:val="none"/>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material,package</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——包装材料（薄膜袋、瓦楞纸箱、无纺布袋等）上游生产端产生的 GHG 排放量（kg CO₂e）；</w:t>
      </w:r>
    </w:p>
    <w:p w14:paraId="772B3650">
      <w:pPr>
        <w:pStyle w:val="38"/>
        <w:bidi w:val="0"/>
        <w:rPr>
          <w:rFonts w:hint="default"/>
          <w:highlight w:val="none"/>
          <w:lang w:eastAsia="zh-CN"/>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transport</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——农业投入品及包装材料运抵种植户的运输产生的 GHG 排放量（kg CO2e）；</w:t>
      </w:r>
    </w:p>
    <w:p w14:paraId="70875BCE">
      <w:pPr>
        <w:pStyle w:val="37"/>
        <w:bidi w:val="0"/>
        <w:rPr>
          <w:rFonts w:hint="eastAsia"/>
          <w:highlight w:val="none"/>
          <w:lang w:eastAsia="zh-CN"/>
        </w:rPr>
      </w:pPr>
      <w:r>
        <w:rPr>
          <w:rFonts w:hint="eastAsia"/>
          <w:highlight w:val="none"/>
        </w:rPr>
        <w:t>农业投入品上游生产端 GHG 排放量</w:t>
      </w:r>
    </w:p>
    <w:p w14:paraId="79687263">
      <w:pPr>
        <w:pStyle w:val="38"/>
        <w:rPr>
          <w:rFonts w:hint="eastAsia"/>
          <w:highlight w:val="none"/>
          <w:lang w:eastAsia="zh-CN"/>
        </w:rPr>
      </w:pPr>
      <w:r>
        <w:rPr>
          <w:rFonts w:hint="eastAsia"/>
          <w:highlight w:val="none"/>
          <w:lang w:eastAsia="zh-CN"/>
        </w:rPr>
        <w:t>外购扦插苗、肥料、农药、栽培基质、种植袋、无纺布地布、遮阳网、支撑材料等农业投入品上游生产端排放计算公式如下：</w:t>
      </w:r>
    </w:p>
    <w:p w14:paraId="613A0332">
      <w:pPr>
        <w:pStyle w:val="115"/>
        <w:bidi w:val="0"/>
        <w:rPr>
          <w:rFonts w:hint="eastAsia"/>
          <w:highlight w:val="none"/>
          <w:lang w:eastAsia="zh-CN"/>
        </w:rPr>
      </w:pPr>
      <w:r>
        <w:rPr>
          <w:rFonts w:hint="eastAsia"/>
          <w:highlight w:val="none"/>
          <w:lang w:eastAsia="zh-CN"/>
        </w:rPr>
        <w:tab/>
      </w:r>
      <m:oMath>
        <m:sSub>
          <m:sSubPr>
            <m:ctrlPr>
              <w:rPr>
                <w:rFonts w:hint="eastAsia" w:ascii="Cambria Math" w:hAnsi="Cambria Math"/>
                <w:highlight w:val="none"/>
                <w:lang w:val="en-US" w:eastAsia="zh-CN"/>
              </w:rPr>
            </m:ctrlPr>
          </m:sSubPr>
          <m:e>
            <m:r>
              <m:rPr>
                <m:sty m:val="p"/>
              </m:rPr>
              <w:rPr>
                <w:rFonts w:hint="default" w:ascii="Times New Roman" w:hAnsi="Times New Roman"/>
                <w:highlight w:val="none"/>
              </w:rPr>
              <m:t>CE</m:t>
            </m:r>
            <m:ctrlPr>
              <w:rPr>
                <w:rFonts w:hint="eastAsia" w:ascii="Cambria Math" w:hAnsi="Cambria Math"/>
                <w:highlight w:val="none"/>
                <w:lang w:val="en-US" w:eastAsia="zh-CN"/>
              </w:rPr>
            </m:ctrlPr>
          </m:e>
          <m:sub>
            <m:r>
              <m:rPr>
                <m:sty m:val="p"/>
              </m:rPr>
              <w:rPr>
                <w:rFonts w:hint="default" w:ascii="Times New Roman" w:hAnsi="Times New Roman"/>
                <w:highlight w:val="none"/>
              </w:rPr>
              <m:t>input</m:t>
            </m:r>
            <m:ctrlPr>
              <w:rPr>
                <w:rFonts w:hint="eastAsia" w:ascii="Cambria Math" w:hAnsi="Cambria Math"/>
                <w:highlight w:val="none"/>
                <w:lang w:val="en-US" w:eastAsia="zh-CN"/>
              </w:rPr>
            </m:ctrlPr>
          </m:sub>
        </m:sSub>
        <m:r>
          <m:rPr>
            <m:sty m:val="p"/>
          </m:rPr>
          <w:rPr>
            <w:rFonts w:hint="default" w:ascii="Times New Roman" w:hAnsi="Times New Roman"/>
            <w:highlight w:val="none"/>
          </w:rPr>
          <m:t>=</m:t>
        </m:r>
        <m:nary>
          <m:naryPr>
            <m:chr m:val="∑"/>
            <m:limLoc m:val="undOvr"/>
            <m:subHide m:val="1"/>
            <m:supHide m:val="1"/>
            <m:ctrlPr>
              <w:rPr>
                <w:rFonts w:hint="default" w:ascii="Cambria Math" w:hAnsi="Cambria Math"/>
                <w:highlight w:val="none"/>
              </w:rPr>
            </m:ctrlPr>
          </m:naryPr>
          <m:sub>
            <m:ctrlPr>
              <w:rPr>
                <w:rFonts w:hint="default" w:ascii="Cambria Math" w:hAnsi="Cambria Math"/>
                <w:highlight w:val="none"/>
              </w:rPr>
            </m:ctrlPr>
          </m:sub>
          <m:sup>
            <m:ctrlPr>
              <w:rPr>
                <w:rFonts w:hint="default" w:ascii="Cambria Math" w:hAnsi="Cambria Math"/>
                <w:highlight w:val="none"/>
              </w:rPr>
            </m:ctrlPr>
          </m:sup>
          <m:e>
            <m:r>
              <m:rPr>
                <m:sty m:val="p"/>
              </m:rPr>
              <w:rPr>
                <w:rFonts w:hint="default"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AD</m:t>
                </m:r>
                <m:ctrlPr>
                  <w:rPr>
                    <w:rFonts w:ascii="Cambria Math" w:hAnsi="Cambria Math"/>
                    <w:highlight w:val="none"/>
                  </w:rPr>
                </m:ctrlPr>
              </m:e>
              <m:sub>
                <m:r>
                  <m:rPr>
                    <m:sty m:val="p"/>
                  </m:rPr>
                  <w:rPr>
                    <w:rFonts w:hint="default" w:ascii="Times New Roman" w:hAnsi="Times New Roman"/>
                    <w:highlight w:val="none"/>
                    <w:lang w:val="en-US" w:eastAsia="zh-CN"/>
                  </w:rPr>
                  <m:t>input</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EF</m:t>
                </m:r>
                <m:ctrlPr>
                  <w:rPr>
                    <w:rFonts w:ascii="Cambria Math" w:hAnsi="Cambria Math"/>
                    <w:highlight w:val="none"/>
                  </w:rPr>
                </m:ctrlPr>
              </m:e>
              <m:sub>
                <m:r>
                  <m:rPr>
                    <m:sty m:val="p"/>
                  </m:rPr>
                  <w:rPr>
                    <w:rFonts w:hint="default" w:ascii="Times New Roman" w:hAnsi="Times New Roman"/>
                    <w:highlight w:val="none"/>
                    <w:lang w:val="en-US" w:eastAsia="zh-CN"/>
                  </w:rPr>
                  <m:t>input</m:t>
                </m:r>
                <m:ctrlPr>
                  <w:rPr>
                    <w:rFonts w:ascii="Cambria Math" w:hAnsi="Cambria Math"/>
                    <w:highlight w:val="none"/>
                  </w:rPr>
                </m:ctrlPr>
              </m:sub>
            </m:sSub>
            <m:r>
              <m:rPr>
                <m:sty m:val="p"/>
              </m:rPr>
              <w:rPr>
                <w:rFonts w:hint="default" w:ascii="Times New Roman" w:hAnsi="Times New Roman"/>
                <w:highlight w:val="none"/>
                <w:lang w:val="en-US" w:eastAsia="zh-CN"/>
              </w:rPr>
              <m:t>/</m:t>
            </m:r>
            <m:sSub>
              <m:sSubPr>
                <m:ctrlPr>
                  <w:rPr>
                    <w:rFonts w:hint="default" w:ascii="Cambria Math" w:hAnsi="Cambria Math"/>
                    <w:highlight w:val="none"/>
                    <w:lang w:val="en-US" w:eastAsia="zh-CN"/>
                  </w:rPr>
                </m:ctrlPr>
              </m:sSubPr>
              <m:e>
                <m:r>
                  <m:rPr>
                    <m:sty m:val="p"/>
                  </m:rPr>
                  <w:rPr>
                    <w:rFonts w:hint="eastAsia" w:ascii="Times New Roman" w:hAnsi="Times New Roman"/>
                    <w:highlight w:val="none"/>
                    <w:lang w:val="en-US" w:eastAsia="zh-CN"/>
                  </w:rPr>
                  <m:t>n</m:t>
                </m:r>
                <m:ctrlPr>
                  <w:rPr>
                    <w:rFonts w:hint="default" w:ascii="Cambria Math" w:hAnsi="Cambria Math"/>
                    <w:highlight w:val="none"/>
                    <w:lang w:val="en-US" w:eastAsia="zh-CN"/>
                  </w:rPr>
                </m:ctrlPr>
              </m:e>
              <m:sub>
                <m:r>
                  <m:rPr>
                    <m:sty m:val="p"/>
                  </m:rPr>
                  <w:rPr>
                    <w:rFonts w:hint="eastAsia" w:ascii="Times New Roman" w:hAnsi="Times New Roman"/>
                    <w:highlight w:val="none"/>
                    <w:lang w:val="en-US" w:eastAsia="zh-CN"/>
                  </w:rPr>
                  <m:t>input</m:t>
                </m:r>
                <m:ctrlPr>
                  <w:rPr>
                    <w:rFonts w:hint="default" w:ascii="Cambria Math" w:hAnsi="Cambria Math"/>
                    <w:highlight w:val="none"/>
                    <w:lang w:val="en-US" w:eastAsia="zh-CN"/>
                  </w:rPr>
                </m:ctrlPr>
              </m:sub>
            </m:sSub>
            <m:r>
              <m:rPr>
                <m:sty m:val="p"/>
              </m:rPr>
              <w:rPr>
                <w:rFonts w:ascii="Times New Roman" w:hAnsi="Times New Roman"/>
                <w:highlight w:val="none"/>
              </w:rPr>
              <m:t>)</m:t>
            </m:r>
            <m:ctrlPr>
              <w:rPr>
                <w:rFonts w:hint="default" w:ascii="Cambria Math" w:hAnsi="Cambria Math"/>
                <w:highlight w:val="none"/>
              </w:rPr>
            </m:ctrlPr>
          </m:e>
        </m:nary>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3</w:t>
      </w:r>
      <w:r>
        <w:rPr>
          <w:rFonts w:hint="eastAsia"/>
          <w:highlight w:val="none"/>
          <w:lang w:eastAsia="zh-CN"/>
        </w:rPr>
        <w:fldChar w:fldCharType="end"/>
      </w:r>
      <w:r>
        <w:rPr>
          <w:rFonts w:hint="eastAsia"/>
          <w:highlight w:val="none"/>
          <w:lang w:eastAsia="zh-CN"/>
        </w:rPr>
        <w:t>)</w:t>
      </w:r>
    </w:p>
    <w:p w14:paraId="47B94F60">
      <w:pPr>
        <w:pStyle w:val="62"/>
        <w:rPr>
          <w:rFonts w:hint="eastAsia"/>
          <w:highlight w:val="none"/>
          <w:lang w:eastAsia="zh-CN"/>
        </w:rPr>
      </w:pPr>
      <w:r>
        <w:rPr>
          <w:rFonts w:hint="eastAsia"/>
          <w:highlight w:val="none"/>
          <w:lang w:eastAsia="zh-CN"/>
        </w:rPr>
        <w:t>式中：</w:t>
      </w:r>
    </w:p>
    <w:p w14:paraId="7357A471">
      <w:pPr>
        <w:pStyle w:val="38"/>
        <w:bidi w:val="0"/>
        <w:rPr>
          <w:rFonts w:hint="default"/>
          <w:highlight w:val="none"/>
          <w:lang w:val="en-US"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AD</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input</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各</w:t>
      </w:r>
      <w:r>
        <w:rPr>
          <w:rFonts w:hint="default"/>
          <w:highlight w:val="none"/>
          <w:lang w:eastAsia="zh-CN"/>
        </w:rPr>
        <w:t>项投入品的活动数据（肥料以kg N、kg P</w:t>
      </w:r>
      <w:r>
        <w:rPr>
          <w:rFonts w:hint="default"/>
          <w:highlight w:val="none"/>
          <w:lang w:val="en-US" w:eastAsia="zh-CN"/>
        </w:rPr>
        <w:t>2</w:t>
      </w:r>
      <w:r>
        <w:rPr>
          <w:rFonts w:hint="default"/>
          <w:highlight w:val="none"/>
          <w:lang w:eastAsia="zh-CN"/>
        </w:rPr>
        <w:t>O</w:t>
      </w:r>
      <w:r>
        <w:rPr>
          <w:rFonts w:hint="default"/>
          <w:highlight w:val="none"/>
          <w:lang w:val="en-US" w:eastAsia="zh-CN"/>
        </w:rPr>
        <w:t>5</w:t>
      </w:r>
      <w:r>
        <w:rPr>
          <w:rFonts w:hint="default"/>
          <w:highlight w:val="none"/>
          <w:lang w:eastAsia="zh-CN"/>
        </w:rPr>
        <w:t>、kg K</w:t>
      </w:r>
      <w:r>
        <w:rPr>
          <w:rFonts w:hint="default"/>
          <w:highlight w:val="none"/>
          <w:lang w:val="en-US" w:eastAsia="zh-CN"/>
        </w:rPr>
        <w:t>2</w:t>
      </w:r>
      <w:r>
        <w:rPr>
          <w:rFonts w:hint="default"/>
          <w:highlight w:val="none"/>
          <w:lang w:eastAsia="zh-CN"/>
        </w:rPr>
        <w:t>O计，农药以kg或L计，基质、种植袋、无纺布地布、遮阳网、支撑材料以kg或m²计）；</w:t>
      </w:r>
    </w:p>
    <w:p w14:paraId="66E74CBB">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EF</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input</m:t>
            </m:r>
            <m:ctrlPr>
              <w:rPr>
                <w:rFonts w:hint="default" w:ascii="Cambria Math" w:hAnsi="Cambria Math"/>
                <w:highlight w:val="none"/>
              </w:rPr>
            </m:ctrlPr>
          </m:sub>
        </m:sSub>
      </m:oMath>
      <w:r>
        <w:rPr>
          <w:rFonts w:hint="default"/>
          <w:highlight w:val="none"/>
          <w:lang w:eastAsia="zh-CN"/>
        </w:rPr>
        <w:t>——投入品的排放因子（kg CO</w:t>
      </w:r>
      <w:r>
        <w:rPr>
          <w:rFonts w:hint="default"/>
          <w:highlight w:val="none"/>
          <w:lang w:val="en-US" w:eastAsia="zh-CN"/>
        </w:rPr>
        <w:t>2</w:t>
      </w:r>
      <w:r>
        <w:rPr>
          <w:rFonts w:hint="default"/>
          <w:highlight w:val="none"/>
          <w:lang w:eastAsia="zh-CN"/>
        </w:rPr>
        <w:t>e/kg或kg CO</w:t>
      </w:r>
      <w:r>
        <w:rPr>
          <w:rFonts w:hint="default"/>
          <w:highlight w:val="none"/>
          <w:lang w:val="en-US" w:eastAsia="zh-CN"/>
        </w:rPr>
        <w:t>2</w:t>
      </w:r>
      <w:r>
        <w:rPr>
          <w:rFonts w:hint="default"/>
          <w:highlight w:val="none"/>
          <w:lang w:eastAsia="zh-CN"/>
        </w:rPr>
        <w:t>e/L），推荐值见附录B；</w:t>
      </w:r>
    </w:p>
    <w:p w14:paraId="09B6A5F4">
      <w:pPr>
        <w:pStyle w:val="38"/>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n</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input</m:t>
            </m:r>
            <m:ctrlPr>
              <w:rPr>
                <w:rFonts w:hint="default" w:ascii="Cambria Math" w:hAnsi="Cambria Math"/>
                <w:highlight w:val="none"/>
              </w:rPr>
            </m:ctrlPr>
          </m:sub>
        </m:sSub>
      </m:oMath>
      <w:r>
        <w:rPr>
          <w:rFonts w:hint="default"/>
          <w:highlight w:val="none"/>
          <w:lang w:eastAsia="zh-CN"/>
        </w:rPr>
        <w:t>——投入品</w:t>
      </w:r>
      <w:r>
        <w:rPr>
          <w:rFonts w:hint="default"/>
          <w:highlight w:val="none"/>
          <w:lang w:val="en-US" w:eastAsia="zh-CN"/>
        </w:rPr>
        <w:t>使用年限（a）或可循环次数</w:t>
      </w:r>
      <w:r>
        <w:rPr>
          <w:rFonts w:hint="default"/>
          <w:highlight w:val="none"/>
          <w:lang w:eastAsia="zh-CN"/>
        </w:rPr>
        <w:t>，</w:t>
      </w:r>
      <w:r>
        <w:rPr>
          <w:rFonts w:hint="default"/>
          <w:highlight w:val="none"/>
          <w:lang w:val="en-US" w:eastAsia="zh-CN"/>
        </w:rPr>
        <w:t>一次性使用取1。</w:t>
      </w:r>
    </w:p>
    <w:p w14:paraId="41AA272F">
      <w:pPr>
        <w:pStyle w:val="38"/>
        <w:rPr>
          <w:rFonts w:hint="default"/>
          <w:highlight w:val="none"/>
          <w:lang w:eastAsia="zh-CN"/>
        </w:rPr>
      </w:pPr>
      <w:r>
        <w:rPr>
          <w:rFonts w:hint="default"/>
          <w:highlight w:val="none"/>
          <w:lang w:eastAsia="zh-CN"/>
        </w:rPr>
        <w:t>无纺布地布铺于畦面下方隔绝杂草、可长期使用，应按使用年限分摊；无纺布种植袋在多次轮作中循环使用，应按实际使用年限（一般2a～3a）或可循环使用次数分摊；</w:t>
      </w:r>
      <w:r>
        <w:rPr>
          <w:rFonts w:hint="default"/>
          <w:highlight w:val="none"/>
          <w:lang w:val="en-US" w:eastAsia="zh-CN"/>
        </w:rPr>
        <w:t>其他循环使用材料</w:t>
      </w:r>
      <w:r>
        <w:rPr>
          <w:rFonts w:hint="default"/>
          <w:highlight w:val="none"/>
          <w:lang w:eastAsia="zh-CN"/>
        </w:rPr>
        <w:t>按</w:t>
      </w:r>
      <w:r>
        <w:rPr>
          <w:rFonts w:hint="default"/>
          <w:highlight w:val="none"/>
          <w:lang w:val="en-US" w:eastAsia="zh-CN"/>
        </w:rPr>
        <w:t>实际</w:t>
      </w:r>
      <w:r>
        <w:rPr>
          <w:rFonts w:hint="default"/>
          <w:highlight w:val="none"/>
          <w:lang w:eastAsia="zh-CN"/>
        </w:rPr>
        <w:t>使用年限分摊。</w:t>
      </w:r>
    </w:p>
    <w:p w14:paraId="2FDFDF88">
      <w:pPr>
        <w:pStyle w:val="37"/>
        <w:bidi w:val="0"/>
        <w:rPr>
          <w:rFonts w:hint="default"/>
          <w:highlight w:val="none"/>
          <w:lang w:eastAsia="zh-CN"/>
        </w:rPr>
      </w:pPr>
      <w:r>
        <w:rPr>
          <w:rFonts w:hint="default"/>
          <w:highlight w:val="none"/>
          <w:lang w:val="en-US" w:eastAsia="zh-CN"/>
        </w:rPr>
        <w:t>包装材料生产 GHG 排放量</w:t>
      </w:r>
    </w:p>
    <w:p w14:paraId="564DDE66">
      <w:pPr>
        <w:pStyle w:val="38"/>
        <w:rPr>
          <w:rFonts w:hint="default" w:ascii="Times New Roman" w:hAnsi="Times New Roman" w:cs="Times New Roman"/>
          <w:highlight w:val="none"/>
          <w:lang w:eastAsia="zh-CN"/>
        </w:rPr>
      </w:pPr>
      <w:r>
        <w:rPr>
          <w:rFonts w:hint="default" w:ascii="Times New Roman" w:hAnsi="Times New Roman" w:cs="Times New Roman"/>
          <w:highlight w:val="none"/>
          <w:lang w:eastAsia="zh-CN"/>
        </w:rPr>
        <w:t>包装材料包括薄膜袋、瓦楞纸箱、无纺布袋等，其上游生产端排放计算公式如下：</w:t>
      </w:r>
    </w:p>
    <w:p w14:paraId="37BECBA5">
      <w:pPr>
        <w:pStyle w:val="115"/>
        <w:bidi w:val="0"/>
        <w:rPr>
          <w:rFonts w:hint="eastAsia"/>
          <w:highlight w:val="none"/>
          <w:lang w:eastAsia="zh-CN"/>
        </w:rPr>
      </w:pPr>
      <w:r>
        <w:rPr>
          <w:rFonts w:hint="eastAsia"/>
          <w:highlight w:val="none"/>
          <w:lang w:eastAsia="zh-CN"/>
        </w:rPr>
        <w:tab/>
      </w:r>
      <m:oMath>
        <m:sSub>
          <m:sSubPr>
            <m:ctrlPr>
              <w:rPr>
                <w:rFonts w:ascii="Cambria Math" w:hAnsi="Cambria Math" w:eastAsia="宋体"/>
                <w:b w:val="0"/>
                <w:i w:val="0"/>
                <w:iCs w:val="0"/>
                <w:sz w:val="21"/>
                <w:highlight w:val="none"/>
              </w:rPr>
            </m:ctrlPr>
          </m:sSubPr>
          <m:e>
            <m:r>
              <m:rPr>
                <m:sty m:val="p"/>
              </m:rPr>
              <w:rPr>
                <w:rFonts w:hint="default" w:ascii="Cambria Math" w:hAnsi="Cambria Math" w:eastAsia="宋体"/>
                <w:sz w:val="21"/>
                <w:highlight w:val="none"/>
              </w:rPr>
              <m:t>CE</m:t>
            </m:r>
            <m:ctrlPr>
              <w:rPr>
                <w:rFonts w:ascii="Cambria Math" w:hAnsi="Cambria Math" w:eastAsia="宋体"/>
                <w:b w:val="0"/>
                <w:i w:val="0"/>
                <w:iCs w:val="0"/>
                <w:sz w:val="21"/>
                <w:highlight w:val="none"/>
              </w:rPr>
            </m:ctrlPr>
          </m:e>
          <m:sub>
            <m:r>
              <m:rPr>
                <m:sty m:val="p"/>
              </m:rPr>
              <w:rPr>
                <w:rFonts w:hint="default" w:ascii="Cambria Math" w:hAnsi="Cambria Math" w:eastAsia="宋体"/>
                <w:sz w:val="21"/>
                <w:highlight w:val="none"/>
              </w:rPr>
              <m:t>material</m:t>
            </m:r>
            <m:r>
              <m:rPr>
                <m:sty m:val="p"/>
              </m:rPr>
              <w:rPr>
                <w:rFonts w:hint="default" w:ascii="Cambria Math" w:hAnsi="Cambria Math"/>
                <w:sz w:val="21"/>
                <w:highlight w:val="none"/>
                <w:lang w:val="en-US" w:eastAsia="zh-CN"/>
              </w:rPr>
              <m:t>,package</m:t>
            </m:r>
            <m:ctrlPr>
              <w:rPr>
                <w:rFonts w:ascii="Cambria Math" w:hAnsi="Cambria Math" w:eastAsia="宋体"/>
                <w:b w:val="0"/>
                <w:i w:val="0"/>
                <w:iCs w:val="0"/>
                <w:sz w:val="21"/>
                <w:highlight w:val="none"/>
              </w:rPr>
            </m:ctrlPr>
          </m:sub>
        </m:sSub>
        <m:r>
          <m:rPr>
            <m:sty m:val="p"/>
          </m:rPr>
          <w:rPr>
            <w:rFonts w:ascii="Cambria Math" w:hAnsi="Cambria Math" w:eastAsia="宋体"/>
            <w:sz w:val="21"/>
            <w:highlight w:val="none"/>
          </w:rPr>
          <m:t>=</m:t>
        </m:r>
        <m:nary>
          <m:naryPr>
            <m:chr m:val="∑"/>
            <m:limLoc m:val="undOvr"/>
            <m:subHide m:val="1"/>
            <m:supHide m:val="1"/>
            <m:ctrlPr>
              <w:rPr>
                <w:rFonts w:ascii="Cambria Math" w:hAnsi="Cambria Math" w:eastAsia="宋体"/>
                <w:b w:val="0"/>
                <w:i w:val="0"/>
                <w:sz w:val="21"/>
                <w:highlight w:val="none"/>
              </w:rPr>
            </m:ctrlPr>
          </m:naryPr>
          <m:sub>
            <m:ctrlPr>
              <w:rPr>
                <w:rFonts w:ascii="Cambria Math" w:hAnsi="Cambria Math" w:eastAsia="宋体"/>
                <w:b w:val="0"/>
                <w:i w:val="0"/>
                <w:sz w:val="21"/>
                <w:highlight w:val="none"/>
              </w:rPr>
            </m:ctrlPr>
          </m:sub>
          <m:sup>
            <m:ctrlPr>
              <w:rPr>
                <w:rFonts w:ascii="Cambria Math" w:hAnsi="Cambria Math" w:eastAsia="宋体"/>
                <w:b w:val="0"/>
                <w:i w:val="0"/>
                <w:sz w:val="21"/>
                <w:highlight w:val="none"/>
              </w:rPr>
            </m:ctrlPr>
          </m:sup>
          <m:e>
            <m:r>
              <m:rPr>
                <m:sty m:val="p"/>
              </m:rPr>
              <w:rPr>
                <w:rFonts w:hint="default" w:ascii="Cambria Math" w:hAnsi="Cambria Math"/>
                <w:sz w:val="21"/>
                <w:highlight w:val="none"/>
                <w:lang w:val="en-US" w:eastAsia="zh-CN"/>
              </w:rPr>
              <m:t>(</m:t>
            </m:r>
            <m:sSub>
              <m:sSubPr>
                <m:ctrlPr>
                  <w:rPr>
                    <w:rFonts w:ascii="Cambria Math" w:hAnsi="Cambria Math" w:eastAsia="宋体"/>
                    <w:b w:val="0"/>
                    <w:i w:val="0"/>
                    <w:iCs w:val="0"/>
                    <w:sz w:val="21"/>
                    <w:highlight w:val="none"/>
                  </w:rPr>
                </m:ctrlPr>
              </m:sSubPr>
              <m:e>
                <m:r>
                  <m:rPr>
                    <m:sty m:val="p"/>
                  </m:rPr>
                  <w:rPr>
                    <w:rFonts w:hint="default" w:ascii="Cambria Math" w:hAnsi="Cambria Math" w:eastAsia="宋体"/>
                    <w:sz w:val="21"/>
                    <w:highlight w:val="none"/>
                  </w:rPr>
                  <m:t>AD</m:t>
                </m:r>
                <m:ctrlPr>
                  <w:rPr>
                    <w:rFonts w:ascii="Cambria Math" w:hAnsi="Cambria Math" w:eastAsia="宋体"/>
                    <w:b w:val="0"/>
                    <w:i w:val="0"/>
                    <w:iCs w:val="0"/>
                    <w:sz w:val="21"/>
                    <w:highlight w:val="none"/>
                  </w:rPr>
                </m:ctrlPr>
              </m:e>
              <m:sub>
                <m:r>
                  <m:rPr>
                    <m:sty m:val="p"/>
                  </m:rPr>
                  <w:rPr>
                    <w:rFonts w:hint="default" w:ascii="Cambria Math" w:hAnsi="Cambria Math" w:eastAsia="宋体"/>
                    <w:sz w:val="21"/>
                    <w:highlight w:val="none"/>
                  </w:rPr>
                  <m:t>m</m:t>
                </m:r>
                <m:ctrlPr>
                  <w:rPr>
                    <w:rFonts w:ascii="Cambria Math" w:hAnsi="Cambria Math" w:eastAsia="宋体"/>
                    <w:b w:val="0"/>
                    <w:i w:val="0"/>
                    <w:iCs w:val="0"/>
                    <w:sz w:val="21"/>
                    <w:highlight w:val="none"/>
                  </w:rPr>
                </m:ctrlPr>
              </m:sub>
            </m:sSub>
            <m:r>
              <m:rPr>
                <m:sty m:val="p"/>
              </m:rPr>
              <w:rPr>
                <w:rFonts w:ascii="Cambria Math" w:hAnsi="Cambria Math" w:eastAsia="宋体"/>
                <w:sz w:val="21"/>
                <w:highlight w:val="none"/>
              </w:rPr>
              <m:t>×</m:t>
            </m:r>
            <m:sSub>
              <m:sSubPr>
                <m:ctrlPr>
                  <w:rPr>
                    <w:rFonts w:ascii="Cambria Math" w:hAnsi="Cambria Math" w:eastAsia="宋体"/>
                    <w:b w:val="0"/>
                    <w:i w:val="0"/>
                    <w:iCs w:val="0"/>
                    <w:sz w:val="21"/>
                    <w:highlight w:val="none"/>
                  </w:rPr>
                </m:ctrlPr>
              </m:sSubPr>
              <m:e>
                <m:r>
                  <m:rPr>
                    <m:sty m:val="p"/>
                  </m:rPr>
                  <w:rPr>
                    <w:rFonts w:hint="default" w:ascii="Cambria Math" w:hAnsi="Cambria Math" w:eastAsia="宋体"/>
                    <w:sz w:val="21"/>
                    <w:highlight w:val="none"/>
                  </w:rPr>
                  <m:t>EF</m:t>
                </m:r>
                <m:ctrlPr>
                  <w:rPr>
                    <w:rFonts w:ascii="Cambria Math" w:hAnsi="Cambria Math" w:eastAsia="宋体"/>
                    <w:b w:val="0"/>
                    <w:i w:val="0"/>
                    <w:iCs w:val="0"/>
                    <w:sz w:val="21"/>
                    <w:highlight w:val="none"/>
                  </w:rPr>
                </m:ctrlPr>
              </m:e>
              <m:sub>
                <m:r>
                  <m:rPr>
                    <m:sty m:val="p"/>
                  </m:rPr>
                  <w:rPr>
                    <w:rFonts w:hint="default" w:ascii="Cambria Math" w:hAnsi="Cambria Math" w:eastAsia="宋体"/>
                    <w:sz w:val="21"/>
                    <w:highlight w:val="none"/>
                  </w:rPr>
                  <m:t>m</m:t>
                </m:r>
                <m:ctrlPr>
                  <w:rPr>
                    <w:rFonts w:ascii="Cambria Math" w:hAnsi="Cambria Math" w:eastAsia="宋体"/>
                    <w:b w:val="0"/>
                    <w:i w:val="0"/>
                    <w:iCs w:val="0"/>
                    <w:sz w:val="21"/>
                    <w:highlight w:val="none"/>
                  </w:rPr>
                </m:ctrlPr>
              </m:sub>
            </m:sSub>
            <m:r>
              <m:rPr>
                <m:sty m:val="p"/>
              </m:rPr>
              <w:rPr>
                <w:rFonts w:hint="default" w:ascii="Cambria Math" w:hAnsi="Cambria Math"/>
                <w:sz w:val="21"/>
                <w:highlight w:val="none"/>
                <w:lang w:val="en-US" w:eastAsia="zh-CN"/>
              </w:rPr>
              <m:t>)</m:t>
            </m:r>
            <m:ctrlPr>
              <w:rPr>
                <w:rFonts w:ascii="Cambria Math" w:hAnsi="Cambria Math" w:eastAsia="宋体"/>
                <w:b w:val="0"/>
                <w:i w:val="0"/>
                <w:sz w:val="21"/>
                <w:highlight w:val="none"/>
              </w:rPr>
            </m:ctrlPr>
          </m:e>
        </m:nary>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4</w:t>
      </w:r>
      <w:r>
        <w:rPr>
          <w:rFonts w:hint="eastAsia"/>
          <w:highlight w:val="none"/>
          <w:lang w:eastAsia="zh-CN"/>
        </w:rPr>
        <w:fldChar w:fldCharType="end"/>
      </w:r>
      <w:r>
        <w:rPr>
          <w:rFonts w:hint="eastAsia"/>
          <w:highlight w:val="none"/>
          <w:lang w:eastAsia="zh-CN"/>
        </w:rPr>
        <w:t>)</w:t>
      </w:r>
    </w:p>
    <w:p w14:paraId="36ECA521">
      <w:pPr>
        <w:pStyle w:val="62"/>
        <w:rPr>
          <w:rFonts w:hint="default"/>
          <w:highlight w:val="none"/>
          <w:lang w:eastAsia="zh-CN"/>
        </w:rPr>
      </w:pPr>
      <w:r>
        <w:rPr>
          <w:rFonts w:hint="eastAsia"/>
          <w:highlight w:val="none"/>
          <w:lang w:eastAsia="zh-CN"/>
        </w:rPr>
        <w:t>式中：</w:t>
      </w:r>
    </w:p>
    <w:p w14:paraId="00FB6EA0">
      <w:pPr>
        <w:ind w:firstLine="420" w:firstLineChars="200"/>
        <w:rPr>
          <w:highlight w:val="none"/>
        </w:rPr>
      </w:pPr>
      <m:oMath>
        <m:sSub>
          <m:sSubPr>
            <m:ctrlPr>
              <w:rPr>
                <w:rFonts w:hint="eastAsia" w:ascii="Cambria Math" w:hAnsi="Cambria Math"/>
                <w:i w:val="0"/>
                <w:iCs w:val="0"/>
                <w:highlight w:val="none"/>
                <w:lang w:val="en-US" w:eastAsia="zh-CN"/>
              </w:rPr>
            </m:ctrlPr>
          </m:sSubPr>
          <m:e>
            <m:r>
              <m:rPr>
                <m:sty m:val="p"/>
              </m:rPr>
              <w:rPr>
                <w:rFonts w:hint="default" w:ascii="Cambria Math" w:hAnsi="Cambria Math" w:eastAsia="宋体"/>
                <w:sz w:val="21"/>
                <w:highlight w:val="none"/>
              </w:rPr>
              <m:t>AD</m:t>
            </m:r>
            <m:ctrlPr>
              <w:rPr>
                <w:rFonts w:hint="eastAsia" w:ascii="Cambria Math" w:hAnsi="Cambria Math"/>
                <w:i w:val="0"/>
                <w:iCs w:val="0"/>
                <w:highlight w:val="none"/>
                <w:lang w:val="en-US" w:eastAsia="zh-CN"/>
              </w:rPr>
            </m:ctrlPr>
          </m:e>
          <m:sub>
            <m:r>
              <m:rPr>
                <m:sty m:val="p"/>
              </m:rPr>
              <w:rPr>
                <w:rFonts w:hint="default" w:ascii="Cambria Math" w:hAnsi="Cambria Math" w:eastAsia="宋体"/>
                <w:sz w:val="21"/>
                <w:highlight w:val="none"/>
              </w:rPr>
              <m:t>m</m:t>
            </m:r>
            <m:ctrlPr>
              <w:rPr>
                <w:rFonts w:hint="eastAsia" w:ascii="Cambria Math" w:hAnsi="Cambria Math"/>
                <w:i w:val="0"/>
                <w:iCs w:val="0"/>
                <w:highlight w:val="none"/>
                <w:lang w:val="en-US" w:eastAsia="zh-CN"/>
              </w:rPr>
            </m:ctrlPr>
          </m:sub>
        </m:sSub>
      </m:oMath>
      <w:r>
        <w:rPr>
          <w:rFonts w:hint="eastAsia" w:ascii="Times New Roman" w:hAnsi="Times New Roman" w:eastAsia="宋体" w:cs="Times New Roman"/>
          <w:b w:val="0"/>
          <w:i w:val="0"/>
          <w:sz w:val="21"/>
          <w:szCs w:val="21"/>
          <w:highlight w:val="none"/>
          <w:lang w:val="en-US" w:eastAsia="zh-CN"/>
        </w:rPr>
        <w:t>——包装材料用量（kg）；</w:t>
      </w:r>
    </w:p>
    <w:p w14:paraId="7C0FA951">
      <w:pPr>
        <w:pStyle w:val="38"/>
        <w:rPr>
          <w:rFonts w:hint="default"/>
          <w:highlight w:val="none"/>
          <w:lang w:eastAsia="zh-CN"/>
        </w:rPr>
      </w:pPr>
      <m:oMath>
        <m:sSub>
          <m:sSubPr>
            <m:ctrlPr>
              <w:rPr>
                <w:rFonts w:hint="eastAsia" w:ascii="Cambria Math" w:hAnsi="Cambria Math"/>
                <w:i w:val="0"/>
                <w:iCs w:val="0"/>
                <w:highlight w:val="none"/>
                <w:lang w:val="en-US" w:eastAsia="zh-CN"/>
              </w:rPr>
            </m:ctrlPr>
          </m:sSubPr>
          <m:e>
            <m:r>
              <m:rPr>
                <m:sty m:val="p"/>
              </m:rPr>
              <w:rPr>
                <w:rFonts w:hint="default" w:ascii="Cambria Math" w:hAnsi="Cambria Math" w:eastAsia="宋体"/>
                <w:sz w:val="21"/>
                <w:highlight w:val="none"/>
              </w:rPr>
              <m:t>EF</m:t>
            </m:r>
            <m:ctrlPr>
              <w:rPr>
                <w:rFonts w:hint="eastAsia" w:ascii="Cambria Math" w:hAnsi="Cambria Math"/>
                <w:i w:val="0"/>
                <w:iCs w:val="0"/>
                <w:highlight w:val="none"/>
                <w:lang w:val="en-US" w:eastAsia="zh-CN"/>
              </w:rPr>
            </m:ctrlPr>
          </m:e>
          <m:sub>
            <m:r>
              <m:rPr>
                <m:sty m:val="p"/>
              </m:rPr>
              <w:rPr>
                <w:rFonts w:hint="default" w:ascii="Cambria Math" w:hAnsi="Cambria Math" w:eastAsia="宋体"/>
                <w:sz w:val="21"/>
                <w:highlight w:val="none"/>
              </w:rPr>
              <m:t>m</m:t>
            </m:r>
            <m:ctrlPr>
              <w:rPr>
                <w:rFonts w:hint="eastAsia" w:ascii="Cambria Math" w:hAnsi="Cambria Math"/>
                <w:i w:val="0"/>
                <w:iCs w:val="0"/>
                <w:highlight w:val="none"/>
                <w:lang w:val="en-US" w:eastAsia="zh-CN"/>
              </w:rPr>
            </m:ctrlPr>
          </m:sub>
        </m:sSub>
      </m:oMath>
      <w:r>
        <w:rPr>
          <w:rFonts w:hint="eastAsia" w:ascii="Times New Roman" w:hAnsi="Times New Roman" w:eastAsia="宋体" w:cs="Times New Roman"/>
          <w:b w:val="0"/>
          <w:i w:val="0"/>
          <w:sz w:val="21"/>
          <w:szCs w:val="21"/>
          <w:highlight w:val="none"/>
          <w:lang w:val="en-US" w:eastAsia="zh-CN"/>
        </w:rPr>
        <w:t>——包装材料的排放因子（kg CO₂e/kg），推荐值见附录B。</w:t>
      </w:r>
    </w:p>
    <w:p w14:paraId="7A3479E9">
      <w:pPr>
        <w:pStyle w:val="37"/>
        <w:bidi w:val="0"/>
        <w:rPr>
          <w:rFonts w:hint="default"/>
          <w:highlight w:val="none"/>
          <w:lang w:eastAsia="zh-CN"/>
        </w:rPr>
      </w:pPr>
      <w:r>
        <w:rPr>
          <w:rFonts w:hint="default"/>
          <w:highlight w:val="none"/>
          <w:lang w:eastAsia="zh-CN"/>
        </w:rPr>
        <w:t>原材料及包装材料运输 GHG 排放量</w:t>
      </w:r>
    </w:p>
    <w:p w14:paraId="79E56A80">
      <w:pPr>
        <w:pStyle w:val="38"/>
        <w:rPr>
          <w:rFonts w:hint="default"/>
          <w:highlight w:val="none"/>
          <w:lang w:eastAsia="zh-CN"/>
        </w:rPr>
      </w:pPr>
      <w:r>
        <w:rPr>
          <w:rFonts w:hint="default" w:ascii="Times New Roman" w:hAnsi="Times New Roman" w:cs="Times New Roman"/>
          <w:highlight w:val="none"/>
          <w:lang w:eastAsia="zh-CN"/>
        </w:rPr>
        <w:t>原材料获取与投入阶段的运输排放包括农业投入品与包装材料运抵种植户的运输，以及采收残体等农业废弃物和包装废弃物的外送运输。计算公式如下：</w:t>
      </w:r>
    </w:p>
    <w:p w14:paraId="7CAFBBE1">
      <w:pPr>
        <w:pStyle w:val="115"/>
        <w:bidi w:val="0"/>
        <w:rPr>
          <w:rFonts w:hint="eastAsia"/>
          <w:highlight w:val="none"/>
          <w:lang w:eastAsia="zh-CN"/>
        </w:rPr>
      </w:pPr>
      <w:r>
        <w:rPr>
          <w:rFonts w:hint="eastAsia"/>
          <w:highlight w:val="none"/>
          <w:lang w:eastAsia="zh-CN"/>
        </w:rPr>
        <w:tab/>
      </w:r>
      <m:oMath>
        <m:sSub>
          <m:sSubPr>
            <m:ctrlPr>
              <w:rPr>
                <w:rFonts w:hint="default" w:ascii="Cambria Math" w:hAnsi="Cambria Math"/>
                <w:highlight w:val="none"/>
                <w:lang w:val="en-US" w:eastAsia="zh-CN"/>
              </w:rPr>
            </m:ctrlPr>
          </m:sSubPr>
          <m:e>
            <m:r>
              <m:rPr>
                <m:nor/>
                <m:sty m:val="p"/>
              </m:rPr>
              <w:rPr>
                <w:rFonts w:hint="default" w:ascii="Times New Roman" w:hAnsi="Times New Roman"/>
                <w:b w:val="0"/>
                <w:i w:val="0"/>
                <w:highlight w:val="none"/>
                <w:lang w:val="en-US" w:eastAsia="zh-CN"/>
              </w:rPr>
              <m:t>CE</m:t>
            </m:r>
            <m:ctrlPr>
              <w:rPr>
                <w:rFonts w:hint="default" w:ascii="Cambria Math" w:hAnsi="Cambria Math"/>
                <w:highlight w:val="none"/>
                <w:lang w:val="en-US" w:eastAsia="zh-CN"/>
              </w:rPr>
            </m:ctrlPr>
          </m:e>
          <m:sub>
            <m:r>
              <m:rPr>
                <m:sty m:val="p"/>
              </m:rPr>
              <w:rPr>
                <w:rFonts w:hint="default" w:ascii="Times New Roman" w:hAnsi="Times New Roman"/>
                <w:highlight w:val="none"/>
                <w:lang w:val="en-US" w:eastAsia="zh-CN"/>
              </w:rPr>
              <m:t>transport</m:t>
            </m:r>
            <m:ctrlPr>
              <w:rPr>
                <w:rFonts w:hint="default" w:ascii="Cambria Math" w:hAnsi="Cambria Math"/>
                <w:highlight w:val="none"/>
                <w:lang w:val="en-US" w:eastAsia="zh-CN"/>
              </w:rPr>
            </m:ctrlPr>
          </m:sub>
        </m:sSub>
        <m:r>
          <m:rPr>
            <m:sty m:val="p"/>
          </m:rPr>
          <w:rPr>
            <w:rFonts w:hint="default" w:ascii="Times New Roman" w:hAnsi="Times New Roman"/>
            <w:highlight w:val="none"/>
            <w:lang w:val="en-US" w:eastAsia="zh-CN"/>
          </w:rPr>
          <m:t>=</m:t>
        </m:r>
        <m:nary>
          <m:naryPr>
            <m:chr m:val="∑"/>
            <m:limLoc m:val="undOvr"/>
            <m:subHide m:val="1"/>
            <m:supHide m:val="1"/>
            <m:ctrlPr>
              <w:rPr>
                <w:rFonts w:hint="default" w:ascii="Cambria Math" w:hAnsi="Cambria Math"/>
                <w:highlight w:val="none"/>
                <w:lang w:val="en-US" w:eastAsia="zh-CN"/>
              </w:rPr>
            </m:ctrlPr>
          </m:naryPr>
          <m:sub>
            <m:ctrlPr>
              <w:rPr>
                <w:rFonts w:hint="default" w:ascii="Cambria Math" w:hAnsi="Cambria Math"/>
                <w:highlight w:val="none"/>
                <w:lang w:val="en-US" w:eastAsia="zh-CN"/>
              </w:rPr>
            </m:ctrlPr>
          </m:sub>
          <m:sup>
            <m:ctrlPr>
              <w:rPr>
                <w:rFonts w:hint="default" w:ascii="Cambria Math" w:hAnsi="Cambria Math"/>
                <w:highlight w:val="none"/>
                <w:lang w:val="en-US" w:eastAsia="zh-CN"/>
              </w:rPr>
            </m:ctrlPr>
          </m:sup>
          <m:e>
            <m:sSub>
              <m:sSubPr>
                <m:ctrlPr>
                  <w:rPr>
                    <w:rFonts w:hint="default" w:ascii="Cambria Math" w:hAnsi="Cambria Math"/>
                    <w:highlight w:val="none"/>
                    <w:lang w:val="en-US" w:eastAsia="zh-CN"/>
                  </w:rPr>
                </m:ctrlPr>
              </m:sSubPr>
              <m:e>
                <m:r>
                  <m:rPr>
                    <m:sty m:val="p"/>
                  </m:rPr>
                  <w:rPr>
                    <w:rFonts w:hint="default" w:ascii="Times New Roman" w:hAnsi="Times New Roman"/>
                    <w:highlight w:val="none"/>
                    <w:lang w:val="en-US" w:eastAsia="zh-CN"/>
                  </w:rPr>
                  <m:t>(M</m:t>
                </m:r>
                <m:ctrlPr>
                  <w:rPr>
                    <w:rFonts w:hint="default" w:ascii="Cambria Math" w:hAnsi="Cambria Math"/>
                    <w:highlight w:val="none"/>
                    <w:lang w:val="en-US" w:eastAsia="zh-CN"/>
                  </w:rPr>
                </m:ctrlPr>
              </m:e>
              <m:sub>
                <m:r>
                  <m:rPr>
                    <m:sty m:val="p"/>
                  </m:rPr>
                  <w:rPr>
                    <w:rFonts w:hint="default" w:ascii="Times New Roman" w:hAnsi="Times New Roman"/>
                    <w:highlight w:val="none"/>
                    <w:lang w:val="en-US" w:eastAsia="zh-CN"/>
                  </w:rPr>
                  <m:t>transport</m:t>
                </m:r>
                <m:ctrlPr>
                  <w:rPr>
                    <w:rFonts w:hint="default" w:ascii="Cambria Math" w:hAnsi="Cambria Math"/>
                    <w:highlight w:val="none"/>
                    <w:lang w:val="en-US" w:eastAsia="zh-CN"/>
                  </w:rPr>
                </m:ctrlPr>
              </m:sub>
            </m:sSub>
            <m:r>
              <m:rPr>
                <m:nor/>
                <m:sty m:val="p"/>
              </m:rPr>
              <w:rPr>
                <w:rFonts w:hint="default" w:ascii="Times New Roman" w:hAnsi="Times New Roman"/>
                <w:b w:val="0"/>
                <w:i w:val="0"/>
                <w:highlight w:val="none"/>
                <w:lang w:val="en-US" w:eastAsia="zh-CN"/>
              </w:rPr>
              <m:t xml:space="preserve"> </m:t>
            </m:r>
            <m:r>
              <m:rPr>
                <m:sty m:val="p"/>
              </m:rPr>
              <w:rPr>
                <w:rFonts w:hint="default" w:ascii="Times New Roman" w:hAnsi="Times New Roman"/>
                <w:highlight w:val="none"/>
                <w:lang w:val="en-US" w:eastAsia="zh-CN"/>
              </w:rPr>
              <m:t>×</m:t>
            </m:r>
            <m:sSub>
              <m:sSubPr>
                <m:ctrlPr>
                  <w:rPr>
                    <w:rFonts w:hint="default" w:ascii="Cambria Math" w:hAnsi="Cambria Math"/>
                    <w:highlight w:val="none"/>
                    <w:lang w:val="en-US" w:eastAsia="zh-CN"/>
                  </w:rPr>
                </m:ctrlPr>
              </m:sSubPr>
              <m:e>
                <m:r>
                  <m:rPr>
                    <m:sty m:val="p"/>
                  </m:rPr>
                  <w:rPr>
                    <w:rFonts w:hint="default" w:ascii="Times New Roman" w:hAnsi="Times New Roman"/>
                    <w:highlight w:val="none"/>
                    <w:lang w:val="en-US" w:eastAsia="zh-CN"/>
                  </w:rPr>
                  <m:t>D</m:t>
                </m:r>
                <m:ctrlPr>
                  <w:rPr>
                    <w:rFonts w:hint="default" w:ascii="Cambria Math" w:hAnsi="Cambria Math"/>
                    <w:highlight w:val="none"/>
                    <w:lang w:val="en-US" w:eastAsia="zh-CN"/>
                  </w:rPr>
                </m:ctrlPr>
              </m:e>
              <m:sub>
                <m:r>
                  <m:rPr>
                    <m:sty m:val="p"/>
                  </m:rPr>
                  <w:rPr>
                    <w:rFonts w:hint="default" w:ascii="Times New Roman" w:hAnsi="Times New Roman"/>
                    <w:highlight w:val="none"/>
                    <w:lang w:val="en-US" w:eastAsia="zh-CN"/>
                  </w:rPr>
                  <m:t>transport</m:t>
                </m:r>
                <m:ctrlPr>
                  <w:rPr>
                    <w:rFonts w:hint="default" w:ascii="Cambria Math" w:hAnsi="Cambria Math"/>
                    <w:highlight w:val="none"/>
                    <w:lang w:val="en-US" w:eastAsia="zh-CN"/>
                  </w:rPr>
                </m:ctrlPr>
              </m:sub>
            </m:sSub>
            <m:r>
              <m:rPr>
                <m:sty m:val="p"/>
              </m:rPr>
              <w:rPr>
                <w:rFonts w:hint="default" w:ascii="Times New Roman" w:hAnsi="Times New Roman"/>
                <w:highlight w:val="none"/>
                <w:lang w:val="en-US" w:eastAsia="zh-CN"/>
              </w:rPr>
              <m:t>×</m:t>
            </m:r>
            <m:sSub>
              <m:sSubPr>
                <m:ctrlPr>
                  <w:rPr>
                    <w:rFonts w:hint="default" w:ascii="Cambria Math" w:hAnsi="Cambria Math"/>
                    <w:highlight w:val="none"/>
                    <w:lang w:val="en-US" w:eastAsia="zh-CN"/>
                  </w:rPr>
                </m:ctrlPr>
              </m:sSubPr>
              <m:e>
                <m:r>
                  <m:rPr>
                    <m:sty m:val="p"/>
                  </m:rPr>
                  <w:rPr>
                    <w:rFonts w:hint="default" w:ascii="Times New Roman" w:hAnsi="Times New Roman"/>
                    <w:highlight w:val="none"/>
                    <w:lang w:val="en-US" w:eastAsia="zh-CN"/>
                  </w:rPr>
                  <m:t>EF</m:t>
                </m:r>
                <m:ctrlPr>
                  <w:rPr>
                    <w:rFonts w:hint="default" w:ascii="Cambria Math" w:hAnsi="Cambria Math"/>
                    <w:highlight w:val="none"/>
                    <w:lang w:val="en-US" w:eastAsia="zh-CN"/>
                  </w:rPr>
                </m:ctrlPr>
              </m:e>
              <m:sub>
                <m:r>
                  <m:rPr>
                    <m:sty m:val="p"/>
                  </m:rPr>
                  <w:rPr>
                    <w:rFonts w:hint="default" w:ascii="Times New Roman" w:hAnsi="Times New Roman"/>
                    <w:highlight w:val="none"/>
                    <w:lang w:val="en-US" w:eastAsia="zh-CN"/>
                  </w:rPr>
                  <m:t>transport</m:t>
                </m:r>
                <m:ctrlPr>
                  <w:rPr>
                    <w:rFonts w:hint="default" w:ascii="Cambria Math" w:hAnsi="Cambria Math"/>
                    <w:highlight w:val="none"/>
                    <w:lang w:val="en-US" w:eastAsia="zh-CN"/>
                  </w:rPr>
                </m:ctrlPr>
              </m:sub>
            </m:sSub>
            <m:r>
              <m:rPr>
                <m:sty m:val="p"/>
              </m:rPr>
              <w:rPr>
                <w:rFonts w:hint="default" w:ascii="Times New Roman" w:hAnsi="Times New Roman"/>
                <w:highlight w:val="none"/>
                <w:lang w:val="en-US" w:eastAsia="zh-CN"/>
              </w:rPr>
              <m:t>)</m:t>
            </m:r>
            <m:ctrlPr>
              <w:rPr>
                <w:rFonts w:hint="default" w:ascii="Cambria Math" w:hAnsi="Cambria Math"/>
                <w:highlight w:val="none"/>
                <w:lang w:val="en-US" w:eastAsia="zh-CN"/>
              </w:rPr>
            </m:ctrlPr>
          </m:e>
        </m:nary>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5</w:t>
      </w:r>
      <w:r>
        <w:rPr>
          <w:rFonts w:hint="eastAsia"/>
          <w:highlight w:val="none"/>
          <w:lang w:eastAsia="zh-CN"/>
        </w:rPr>
        <w:fldChar w:fldCharType="end"/>
      </w:r>
      <w:r>
        <w:rPr>
          <w:rFonts w:hint="eastAsia"/>
          <w:highlight w:val="none"/>
          <w:lang w:eastAsia="zh-CN"/>
        </w:rPr>
        <w:t>)</w:t>
      </w:r>
    </w:p>
    <w:p w14:paraId="19E36197">
      <w:pPr>
        <w:pStyle w:val="62"/>
        <w:rPr>
          <w:rFonts w:hint="default"/>
          <w:highlight w:val="none"/>
          <w:lang w:eastAsia="zh-CN"/>
        </w:rPr>
      </w:pPr>
      <w:r>
        <w:rPr>
          <w:rFonts w:hint="eastAsia"/>
          <w:highlight w:val="none"/>
          <w:lang w:eastAsia="zh-CN"/>
        </w:rPr>
        <w:t>式中：</w:t>
      </w:r>
    </w:p>
    <w:p w14:paraId="74735422">
      <w:pPr>
        <w:pStyle w:val="38"/>
        <w:bidi w:val="0"/>
        <w:rPr>
          <w:rFonts w:hint="default"/>
          <w:highlight w:val="none"/>
          <w:lang w:val="en-US" w:eastAsia="zh-CN"/>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M</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transport</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——农业投入品、包装材料及废弃物的运输量（t）；</w:t>
      </w:r>
    </w:p>
    <w:p w14:paraId="54E85FF7">
      <w:pPr>
        <w:pStyle w:val="38"/>
        <w:bidi w:val="0"/>
        <w:rPr>
          <w:rFonts w:hint="default"/>
          <w:highlight w:val="none"/>
          <w:lang w:val="en-US" w:eastAsia="zh-CN"/>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D</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transport</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——农业投入品、包装材料及废弃物的运输距离（km）；</w:t>
      </w:r>
    </w:p>
    <w:p w14:paraId="5B5BB4D7">
      <w:pPr>
        <w:pStyle w:val="38"/>
        <w:bidi w:val="0"/>
        <w:rPr>
          <w:rFonts w:hint="default"/>
          <w:highlight w:val="none"/>
          <w:lang w:val="en-US" w:eastAsia="zh-CN"/>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EF</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transport</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——相应运输方式的排放因子（kg CO</w:t>
      </w:r>
      <w:r>
        <w:rPr>
          <w:rFonts w:hint="default" w:ascii="Times New Roman" w:hAnsi="Times New Roman" w:cs="Times New Roman"/>
          <w:b w:val="0"/>
          <w:i w:val="0"/>
          <w:iCs/>
          <w:sz w:val="21"/>
          <w:szCs w:val="21"/>
          <w:highlight w:val="none"/>
          <w:vertAlign w:val="subscript"/>
          <w:lang w:val="en-US" w:eastAsia="zh-CN"/>
        </w:rPr>
        <w:t>2</w:t>
      </w:r>
      <w:r>
        <w:rPr>
          <w:rFonts w:hint="default" w:ascii="Times New Roman" w:hAnsi="Times New Roman" w:cs="Times New Roman"/>
          <w:b w:val="0"/>
          <w:i w:val="0"/>
          <w:iCs/>
          <w:sz w:val="21"/>
          <w:szCs w:val="21"/>
          <w:highlight w:val="none"/>
          <w:lang w:val="en-US" w:eastAsia="zh-CN"/>
        </w:rPr>
        <w:t>e/t·km）；</w:t>
      </w:r>
    </w:p>
    <w:p w14:paraId="3F4AB31F">
      <w:pPr>
        <w:pStyle w:val="107"/>
        <w:bidi w:val="0"/>
        <w:rPr>
          <w:rFonts w:hint="eastAsia"/>
          <w:highlight w:val="none"/>
          <w:lang w:eastAsia="zh-CN"/>
        </w:rPr>
      </w:pPr>
      <w:r>
        <w:rPr>
          <w:rFonts w:hint="eastAsia"/>
          <w:highlight w:val="none"/>
          <w:lang w:val="en-US" w:eastAsia="zh-CN"/>
        </w:rPr>
        <w:t>生产阶段 GHG 排放量</w:t>
      </w:r>
      <w:bookmarkEnd w:id="76"/>
    </w:p>
    <w:p w14:paraId="12930EF9">
      <w:pPr>
        <w:pStyle w:val="38"/>
        <w:bidi w:val="0"/>
        <w:rPr>
          <w:rFonts w:hint="eastAsia"/>
          <w:highlight w:val="none"/>
          <w:lang w:eastAsia="zh-CN"/>
        </w:rPr>
      </w:pPr>
      <w:r>
        <w:rPr>
          <w:rFonts w:hint="default" w:ascii="Times New Roman" w:hAnsi="Times New Roman" w:cs="Times New Roman"/>
          <w:highlight w:val="none"/>
          <w:lang w:eastAsia="zh-CN"/>
        </w:rPr>
        <w:t>食用菊花生产阶段包括种植阶段与包装阶段，其 GHG 排放总量按式汇总：</w:t>
      </w:r>
    </w:p>
    <w:p w14:paraId="50C40714">
      <w:pPr>
        <w:pStyle w:val="115"/>
        <w:bidi w:val="0"/>
        <w:rPr>
          <w:rFonts w:hint="eastAsia"/>
          <w:highlight w:val="none"/>
          <w:lang w:eastAsia="zh-CN"/>
        </w:rPr>
      </w:pPr>
      <w:r>
        <w:rPr>
          <w:rFonts w:hint="eastAsia"/>
          <w:highlight w:val="none"/>
          <w:lang w:eastAsia="zh-CN"/>
        </w:rPr>
        <w:tab/>
      </w: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production</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planting</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package</m:t>
            </m:r>
            <m:ctrlPr>
              <w:rPr>
                <w:rFonts w:hint="default" w:ascii="Cambria Math" w:hAnsi="Cambria Math" w:cs="Times New Roman"/>
                <w:i w:val="0"/>
                <w:iCs w:val="0"/>
                <w:sz w:val="21"/>
                <w:highlight w:val="none"/>
              </w:rPr>
            </m:ctrlPr>
          </m:sub>
        </m:sSub>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6</w:t>
      </w:r>
      <w:r>
        <w:rPr>
          <w:rFonts w:hint="eastAsia"/>
          <w:highlight w:val="none"/>
          <w:lang w:eastAsia="zh-CN"/>
        </w:rPr>
        <w:fldChar w:fldCharType="end"/>
      </w:r>
      <w:r>
        <w:rPr>
          <w:rFonts w:hint="eastAsia"/>
          <w:highlight w:val="none"/>
          <w:lang w:eastAsia="zh-CN"/>
        </w:rPr>
        <w:t>)</w:t>
      </w:r>
    </w:p>
    <w:p w14:paraId="1F3708E8">
      <w:pPr>
        <w:pStyle w:val="62"/>
        <w:rPr>
          <w:rFonts w:hint="eastAsia"/>
          <w:highlight w:val="none"/>
          <w:lang w:eastAsia="zh-CN"/>
        </w:rPr>
      </w:pPr>
      <w:r>
        <w:rPr>
          <w:rFonts w:hint="eastAsia"/>
          <w:highlight w:val="none"/>
          <w:lang w:eastAsia="zh-CN"/>
        </w:rPr>
        <w:t>式中：</w:t>
      </w:r>
    </w:p>
    <w:p w14:paraId="14FF7FAB">
      <w:pPr>
        <w:ind w:firstLine="420" w:firstLineChars="200"/>
        <w:rPr>
          <w:rFonts w:hint="default" w:ascii="Times New Roman" w:hAnsi="Times New Roman" w:cs="Times New Roman"/>
          <w:highlight w:val="none"/>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planting</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——种植阶段 GHG 排放量（kg CO₂e）；</w:t>
      </w:r>
    </w:p>
    <w:p w14:paraId="771AD7A8">
      <w:pPr>
        <w:pStyle w:val="38"/>
        <w:bidi w:val="0"/>
        <w:rPr>
          <w:rFonts w:hint="eastAsia"/>
          <w:highlight w:val="none"/>
          <w:lang w:eastAsia="zh-CN"/>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package</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——包装阶段 GHG 排放量（kg CO₂e）；</w:t>
      </w:r>
    </w:p>
    <w:p w14:paraId="005788F0">
      <w:pPr>
        <w:pStyle w:val="37"/>
        <w:bidi w:val="0"/>
        <w:rPr>
          <w:rFonts w:hint="eastAsia"/>
          <w:highlight w:val="none"/>
          <w:lang w:eastAsia="zh-CN"/>
        </w:rPr>
      </w:pPr>
      <w:r>
        <w:rPr>
          <w:rFonts w:hint="eastAsia"/>
          <w:highlight w:val="none"/>
          <w:lang w:eastAsia="zh-CN"/>
        </w:rPr>
        <w:t>种植阶段 GHG 排放量</w:t>
      </w:r>
    </w:p>
    <w:p w14:paraId="06CA3914">
      <w:pPr>
        <w:pStyle w:val="38"/>
        <w:bidi w:val="0"/>
        <w:rPr>
          <w:rFonts w:hint="eastAsia"/>
          <w:highlight w:val="none"/>
          <w:lang w:eastAsia="zh-CN"/>
        </w:rPr>
      </w:pPr>
      <w:r>
        <w:rPr>
          <w:rFonts w:hint="eastAsia"/>
          <w:highlight w:val="none"/>
          <w:lang w:eastAsia="zh-CN"/>
        </w:rPr>
        <w:t>食用菊花种植阶段</w:t>
      </w:r>
      <w:r>
        <w:rPr>
          <w:rFonts w:hint="eastAsia"/>
          <w:highlight w:val="none"/>
          <w:lang w:val="en-US" w:eastAsia="zh-CN"/>
        </w:rPr>
        <w:t xml:space="preserve"> GHG </w:t>
      </w:r>
      <w:r>
        <w:rPr>
          <w:rFonts w:hint="eastAsia"/>
          <w:highlight w:val="none"/>
          <w:lang w:eastAsia="zh-CN"/>
        </w:rPr>
        <w:t>排放源包括</w:t>
      </w:r>
      <w:r>
        <w:rPr>
          <w:rFonts w:hint="eastAsia"/>
          <w:highlight w:val="none"/>
          <w:lang w:val="en-US" w:eastAsia="zh-CN"/>
        </w:rPr>
        <w:t>：</w:t>
      </w:r>
      <w:r>
        <w:rPr>
          <w:rFonts w:hint="eastAsia"/>
          <w:highlight w:val="none"/>
          <w:lang w:eastAsia="zh-CN"/>
        </w:rPr>
        <w:t>肥料施用与残体还田引起的N</w:t>
      </w:r>
      <w:r>
        <w:rPr>
          <w:rFonts w:hint="eastAsia"/>
          <w:highlight w:val="none"/>
          <w:vertAlign w:val="subscript"/>
          <w:lang w:eastAsia="zh-CN"/>
        </w:rPr>
        <w:t>2</w:t>
      </w:r>
      <w:r>
        <w:rPr>
          <w:rFonts w:hint="eastAsia"/>
          <w:highlight w:val="none"/>
          <w:lang w:eastAsia="zh-CN"/>
        </w:rPr>
        <w:t>O排放、生产作业耗能排放（含补光、灌溉、遮光调控、水帘降温、保鲜库预冷与周转储存）；</w:t>
      </w:r>
      <w:r>
        <w:rPr>
          <w:rFonts w:hint="eastAsia"/>
          <w:highlight w:val="none"/>
          <w:lang w:val="en-US" w:eastAsia="zh-CN"/>
        </w:rPr>
        <w:t>同时计入碳汇量</w:t>
      </w:r>
      <w:r>
        <w:rPr>
          <w:rFonts w:hint="eastAsia"/>
          <w:highlight w:val="none"/>
          <w:lang w:eastAsia="zh-CN"/>
        </w:rPr>
        <w:t>。种植阶段</w:t>
      </w:r>
      <w:r>
        <w:rPr>
          <w:rFonts w:hint="eastAsia"/>
          <w:highlight w:val="none"/>
          <w:lang w:val="en-US" w:eastAsia="zh-CN"/>
        </w:rPr>
        <w:t xml:space="preserve"> GHG </w:t>
      </w:r>
      <w:r>
        <w:rPr>
          <w:rFonts w:hint="eastAsia"/>
          <w:highlight w:val="none"/>
          <w:lang w:eastAsia="zh-CN"/>
        </w:rPr>
        <w:t>排放量按下式计算：</w:t>
      </w:r>
    </w:p>
    <w:p w14:paraId="3D991DA8">
      <w:pPr>
        <w:pStyle w:val="115"/>
        <w:bidi w:val="0"/>
        <w:rPr>
          <w:rFonts w:hint="eastAsia"/>
          <w:highlight w:val="none"/>
          <w:lang w:eastAsia="zh-CN"/>
        </w:rPr>
      </w:pPr>
      <w:r>
        <w:rPr>
          <w:rFonts w:hint="eastAsia"/>
          <w:highlight w:val="none"/>
          <w:lang w:eastAsia="zh-CN"/>
        </w:rPr>
        <w:tab/>
      </w:r>
      <m:oMath>
        <m:sSub>
          <m:sSubPr>
            <m:ctrlPr>
              <w:rPr>
                <w:rFonts w:ascii="Cambria Math" w:hAnsi="Cambria Math"/>
                <w:highlight w:val="none"/>
              </w:rPr>
            </m:ctrlPr>
          </m:sSubPr>
          <m:e>
            <m:r>
              <m:rPr>
                <m:sty m:val="p"/>
              </m:rPr>
              <w:rPr>
                <w:rFonts w:hint="default" w:ascii="Times New Roman" w:hAnsi="Times New Roman"/>
                <w:highlight w:val="none"/>
                <w:lang w:val="en-US" w:eastAsia="zh-CN"/>
              </w:rPr>
              <m:t>CE</m:t>
            </m:r>
            <m:ctrlPr>
              <w:rPr>
                <w:rFonts w:ascii="Cambria Math" w:hAnsi="Cambria Math"/>
                <w:highlight w:val="none"/>
              </w:rPr>
            </m:ctrlPr>
          </m:e>
          <m:sub>
            <m:r>
              <m:rPr>
                <m:sty m:val="p"/>
              </m:rPr>
              <w:rPr>
                <w:rFonts w:hint="default" w:ascii="Times New Roman" w:hAnsi="Times New Roman"/>
                <w:highlight w:val="none"/>
                <w:lang w:val="en-US" w:eastAsia="zh-CN"/>
              </w:rPr>
              <m:t>planting</m:t>
            </m:r>
            <m:ctrlPr>
              <w:rPr>
                <w:rFonts w:ascii="Cambria Math" w:hAnsi="Cambria Math"/>
                <w:highlight w:val="none"/>
              </w:rPr>
            </m:ctrlPr>
          </m:sub>
        </m:sSub>
        <m:r>
          <m:rPr>
            <m:sty m:val="p"/>
          </m:rPr>
          <w:rPr>
            <w:rFonts w:hint="default" w:ascii="Times New Roman" w:hAnsi="Times New Roman"/>
            <w:highlight w:val="none"/>
            <w:lang w:val="en-US" w:eastAsia="zh-CN"/>
          </w:rPr>
          <m:t>=</m:t>
        </m:r>
        <m:sSub>
          <m:sSubPr>
            <m:ctrlPr>
              <w:rPr>
                <w:rFonts w:ascii="Cambria Math" w:hAnsi="Cambria Math"/>
                <w:highlight w:val="none"/>
              </w:rPr>
            </m:ctrlPr>
          </m:sSubPr>
          <m:e>
            <m:r>
              <m:rPr>
                <m:sty m:val="p"/>
              </m:rPr>
              <w:rPr>
                <w:rFonts w:hint="default" w:ascii="Times New Roman" w:hAnsi="Times New Roman"/>
                <w:highlight w:val="none"/>
              </w:rPr>
              <m:t>CE</m:t>
            </m:r>
            <m:ctrlPr>
              <w:rPr>
                <w:rFonts w:ascii="Cambria Math" w:hAnsi="Cambria Math"/>
                <w:highlight w:val="none"/>
              </w:rPr>
            </m:ctrlPr>
          </m:e>
          <m:sub>
            <m:sSub>
              <m:sSubPr>
                <m:ctrlPr>
                  <w:rPr>
                    <w:rFonts w:ascii="Cambria Math" w:hAnsi="Cambria Math"/>
                    <w:highlight w:val="none"/>
                  </w:rPr>
                </m:ctrlPr>
              </m:sSubPr>
              <m:e>
                <m:r>
                  <m:rPr>
                    <m:sty m:val="p"/>
                  </m:rPr>
                  <w:rPr>
                    <w:rFonts w:hint="default" w:ascii="Times New Roman" w:hAnsi="Times New Roman"/>
                    <w:highlight w:val="none"/>
                  </w:rPr>
                  <m:t>N</m:t>
                </m:r>
                <m:ctrlPr>
                  <w:rPr>
                    <w:rFonts w:ascii="Cambria Math" w:hAnsi="Cambria Math"/>
                    <w:highlight w:val="none"/>
                  </w:rPr>
                </m:ctrlPr>
              </m:e>
              <m:sub>
                <m:r>
                  <m:rPr>
                    <m:sty m:val="p"/>
                  </m:rPr>
                  <w:rPr>
                    <w:rFonts w:ascii="Times New Roman" w:hAnsi="Times New Roman"/>
                    <w:highlight w:val="none"/>
                  </w:rPr>
                  <m:t>2</m:t>
                </m:r>
                <m:ctrlPr>
                  <w:rPr>
                    <w:rFonts w:ascii="Cambria Math" w:hAnsi="Cambria Math"/>
                    <w:highlight w:val="none"/>
                  </w:rPr>
                </m:ctrlPr>
              </m:sub>
            </m:sSub>
            <m:r>
              <m:rPr>
                <m:sty m:val="p"/>
              </m:rPr>
              <w:rPr>
                <w:rFonts w:hint="default" w:ascii="Times New Roman" w:hAnsi="Times New Roman"/>
                <w:highlight w:val="none"/>
              </w:rPr>
              <m:t>O</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CE</m:t>
            </m:r>
            <m:ctrlPr>
              <w:rPr>
                <w:rFonts w:ascii="Cambria Math" w:hAnsi="Cambria Math"/>
                <w:highlight w:val="none"/>
              </w:rPr>
            </m:ctrlPr>
          </m:e>
          <m:sub>
            <m:r>
              <m:rPr>
                <m:sty m:val="p"/>
              </m:rPr>
              <w:rPr>
                <w:rFonts w:hint="eastAsia" w:ascii="Times New Roman" w:hAnsi="Times New Roman"/>
                <w:highlight w:val="none"/>
                <w:lang w:val="en-US" w:eastAsia="zh-CN"/>
              </w:rPr>
              <m:t>energy</m:t>
            </m:r>
            <m:ctrlPr>
              <w:rPr>
                <w:rFonts w:ascii="Cambria Math" w:hAnsi="Cambria Math"/>
                <w:highlight w:val="none"/>
              </w:rPr>
            </m:ctrlPr>
          </m:sub>
        </m:sSub>
        <m:r>
          <m:rPr>
            <m:sty m:val="p"/>
          </m:rPr>
          <w:rPr>
            <w:rFonts w:hint="default" w:ascii="Times New Roman" w:hAnsi="Times New Roman"/>
            <w:highlight w:val="none"/>
            <w:lang w:val="en-US" w:eastAsia="zh-CN"/>
          </w:rPr>
          <m:t>−CS</m:t>
        </m:r>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7</w:t>
      </w:r>
      <w:r>
        <w:rPr>
          <w:rFonts w:hint="eastAsia"/>
          <w:highlight w:val="none"/>
          <w:lang w:eastAsia="zh-CN"/>
        </w:rPr>
        <w:fldChar w:fldCharType="end"/>
      </w:r>
      <w:r>
        <w:rPr>
          <w:rFonts w:hint="eastAsia"/>
          <w:highlight w:val="none"/>
          <w:lang w:eastAsia="zh-CN"/>
        </w:rPr>
        <w:t>)</w:t>
      </w:r>
    </w:p>
    <w:p w14:paraId="02547625">
      <w:pPr>
        <w:pStyle w:val="38"/>
        <w:bidi w:val="0"/>
        <w:rPr>
          <w:rFonts w:hint="eastAsia"/>
          <w:highlight w:val="none"/>
          <w:lang w:eastAsia="zh-CN"/>
        </w:rPr>
      </w:pPr>
      <w:r>
        <w:rPr>
          <w:rFonts w:hint="eastAsia"/>
          <w:highlight w:val="none"/>
          <w:lang w:eastAsia="zh-CN"/>
        </w:rPr>
        <w:t>式中：</w:t>
      </w:r>
    </w:p>
    <w:p w14:paraId="4B150FE1">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rPr>
              <m:t>CE</m:t>
            </m:r>
            <m:ctrlPr>
              <w:rPr>
                <w:rFonts w:hint="default" w:ascii="Cambria Math" w:hAnsi="Cambria Math"/>
                <w:highlight w:val="none"/>
              </w:rPr>
            </m:ctrlPr>
          </m:e>
          <m:sub>
            <m:sSub>
              <m:sSubPr>
                <m:ctrlPr>
                  <w:rPr>
                    <w:rFonts w:hint="default" w:ascii="Cambria Math" w:hAnsi="Cambria Math"/>
                    <w:highlight w:val="none"/>
                  </w:rPr>
                </m:ctrlPr>
              </m:sSubPr>
              <m:e>
                <m:r>
                  <m:rPr>
                    <m:nor/>
                    <m:sty m:val="p"/>
                  </m:rPr>
                  <w:rPr>
                    <w:rFonts w:hint="default" w:ascii="Times New Roman" w:hAnsi="Times New Roman"/>
                    <w:b w:val="0"/>
                    <w:i w:val="0"/>
                    <w:highlight w:val="none"/>
                  </w:rPr>
                  <m:t>N</m:t>
                </m:r>
                <m:ctrlPr>
                  <w:rPr>
                    <w:rFonts w:hint="default" w:ascii="Cambria Math" w:hAnsi="Cambria Math"/>
                    <w:highlight w:val="none"/>
                  </w:rPr>
                </m:ctrlPr>
              </m:e>
              <m:sub>
                <m:r>
                  <m:rPr>
                    <m:nor/>
                    <m:sty m:val="p"/>
                  </m:rPr>
                  <w:rPr>
                    <w:rFonts w:hint="default" w:ascii="Times New Roman" w:hAnsi="Times New Roman"/>
                    <w:b w:val="0"/>
                    <w:i w:val="0"/>
                    <w:highlight w:val="none"/>
                  </w:rPr>
                  <m:t>2</m:t>
                </m:r>
                <m:ctrlPr>
                  <w:rPr>
                    <w:rFonts w:hint="default" w:ascii="Cambria Math" w:hAnsi="Cambria Math"/>
                    <w:highlight w:val="none"/>
                  </w:rPr>
                </m:ctrlPr>
              </m:sub>
            </m:sSub>
            <m:r>
              <m:rPr>
                <m:nor/>
                <m:sty m:val="p"/>
              </m:rPr>
              <w:rPr>
                <w:rFonts w:hint="default" w:ascii="Times New Roman" w:hAnsi="Times New Roman"/>
                <w:b w:val="0"/>
                <w:i w:val="0"/>
                <w:highlight w:val="none"/>
              </w:rPr>
              <m:t>O</m:t>
            </m:r>
            <m:ctrlPr>
              <w:rPr>
                <w:rFonts w:hint="default" w:ascii="Cambria Math" w:hAnsi="Cambria Math"/>
                <w:highlight w:val="none"/>
              </w:rPr>
            </m:ctrlPr>
          </m:sub>
        </m:sSub>
      </m:oMath>
      <w:r>
        <w:rPr>
          <w:rFonts w:hint="default"/>
          <w:highlight w:val="none"/>
          <w:lang w:eastAsia="zh-CN"/>
        </w:rPr>
        <w:t>——</w:t>
      </w:r>
      <w:r>
        <w:rPr>
          <w:rFonts w:hint="default"/>
          <w:highlight w:val="none"/>
        </w:rPr>
        <w:t>种植过程中的</w:t>
      </w:r>
      <w:r>
        <w:rPr>
          <w:rFonts w:hint="default"/>
          <w:highlight w:val="none"/>
          <w:lang w:val="en-US" w:eastAsia="zh-CN"/>
        </w:rPr>
        <w:t xml:space="preserve"> </w:t>
      </w:r>
      <w:r>
        <w:rPr>
          <w:rFonts w:hint="default"/>
          <w:highlight w:val="none"/>
        </w:rPr>
        <w:t>N2O</w:t>
      </w:r>
      <w:r>
        <w:rPr>
          <w:rFonts w:hint="default"/>
          <w:highlight w:val="none"/>
          <w:lang w:val="en-US" w:eastAsia="zh-CN"/>
        </w:rPr>
        <w:t xml:space="preserve"> </w:t>
      </w:r>
      <w:r>
        <w:rPr>
          <w:rFonts w:hint="default"/>
          <w:highlight w:val="none"/>
        </w:rPr>
        <w:t>排放量，</w:t>
      </w:r>
      <w:r>
        <w:rPr>
          <w:rFonts w:hint="default"/>
          <w:highlight w:val="none"/>
          <w:lang w:val="en-US" w:eastAsia="zh-CN"/>
        </w:rPr>
        <w:t>包括肥料（氮素）施用和残体还田引起的 N₂O 排放</w:t>
      </w:r>
      <w:r>
        <w:rPr>
          <w:rFonts w:hint="default"/>
          <w:highlight w:val="none"/>
          <w:lang w:eastAsia="zh-CN"/>
        </w:rPr>
        <w:t>（</w:t>
      </w:r>
      <w:r>
        <w:rPr>
          <w:rFonts w:hint="default"/>
          <w:highlight w:val="none"/>
        </w:rPr>
        <w:t>kg</w:t>
      </w:r>
      <w:r>
        <w:rPr>
          <w:rFonts w:hint="default"/>
          <w:highlight w:val="none"/>
          <w:lang w:val="en-US" w:eastAsia="zh-CN"/>
        </w:rPr>
        <w:t xml:space="preserve"> </w:t>
      </w:r>
      <w:r>
        <w:rPr>
          <w:rFonts w:hint="default"/>
          <w:highlight w:val="none"/>
        </w:rPr>
        <w:t>CO2e</w:t>
      </w:r>
      <w:r>
        <w:rPr>
          <w:rFonts w:hint="default"/>
          <w:highlight w:val="none"/>
          <w:lang w:eastAsia="zh-CN"/>
        </w:rPr>
        <w:t>）；</w:t>
      </w:r>
    </w:p>
    <w:p w14:paraId="6778FF6A">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rPr>
              <m:t>CE</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energy</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农机设备、灌溉设备、补光设备、保鲜库等各类设备</w:t>
      </w:r>
      <w:r>
        <w:rPr>
          <w:rFonts w:hint="default"/>
          <w:highlight w:val="none"/>
        </w:rPr>
        <w:t>耗能产生的</w:t>
      </w:r>
      <w:r>
        <w:rPr>
          <w:rFonts w:hint="default"/>
          <w:highlight w:val="none"/>
          <w:lang w:val="en-US" w:eastAsia="zh-CN"/>
        </w:rPr>
        <w:t xml:space="preserve"> </w:t>
      </w:r>
      <w:r>
        <w:rPr>
          <w:rFonts w:hint="default"/>
          <w:highlight w:val="none"/>
        </w:rPr>
        <w:t>GHG</w:t>
      </w:r>
      <w:r>
        <w:rPr>
          <w:rFonts w:hint="default"/>
          <w:highlight w:val="none"/>
          <w:lang w:val="en-US" w:eastAsia="zh-CN"/>
        </w:rPr>
        <w:t xml:space="preserve"> </w:t>
      </w:r>
      <w:r>
        <w:rPr>
          <w:rFonts w:hint="default"/>
          <w:highlight w:val="none"/>
        </w:rPr>
        <w:t>排放量</w:t>
      </w:r>
      <w:r>
        <w:rPr>
          <w:rFonts w:hint="default"/>
          <w:highlight w:val="none"/>
          <w:lang w:eastAsia="zh-CN"/>
        </w:rPr>
        <w:t>（</w:t>
      </w:r>
      <w:r>
        <w:rPr>
          <w:rFonts w:hint="default"/>
          <w:highlight w:val="none"/>
        </w:rPr>
        <w:t>kg</w:t>
      </w:r>
      <w:r>
        <w:rPr>
          <w:rFonts w:hint="default"/>
          <w:highlight w:val="none"/>
          <w:lang w:val="en-US" w:eastAsia="zh-CN"/>
        </w:rPr>
        <w:t xml:space="preserve"> </w:t>
      </w:r>
      <w:r>
        <w:rPr>
          <w:rFonts w:hint="default"/>
          <w:highlight w:val="none"/>
        </w:rPr>
        <w:t>CO2e</w:t>
      </w:r>
      <w:r>
        <w:rPr>
          <w:rFonts w:hint="default"/>
          <w:highlight w:val="none"/>
          <w:lang w:eastAsia="zh-CN"/>
        </w:rPr>
        <w:t>）；</w:t>
      </w:r>
    </w:p>
    <w:p w14:paraId="1022192F">
      <w:pPr>
        <w:pStyle w:val="38"/>
        <w:bidi w:val="0"/>
        <w:rPr>
          <w:rFonts w:hint="default" w:ascii="Times New Roman" w:hAnsi="Times New Roman" w:cs="Times New Roman"/>
          <w:b w:val="0"/>
          <w:i w:val="0"/>
          <w:iCs/>
          <w:szCs w:val="21"/>
          <w:highlight w:val="none"/>
          <w:lang w:val="en-US" w:eastAsia="zh-CN"/>
        </w:rPr>
      </w:pPr>
      <m:oMath>
        <m:r>
          <m:rPr>
            <m:nor/>
            <m:sty m:val="p"/>
          </m:rPr>
          <w:rPr>
            <w:rFonts w:hint="default" w:ascii="Times New Roman" w:hAnsi="Times New Roman"/>
            <w:b w:val="0"/>
            <w:i w:val="0"/>
            <w:highlight w:val="none"/>
            <w:lang w:val="en-US" w:eastAsia="zh-CN"/>
          </w:rPr>
          <m:t>CS</m:t>
        </m:r>
      </m:oMath>
      <w:r>
        <w:rPr>
          <w:rFonts w:hint="default"/>
          <w:highlight w:val="none"/>
          <w:lang w:eastAsia="zh-CN"/>
        </w:rPr>
        <w:t>——</w:t>
      </w:r>
      <w:r>
        <w:rPr>
          <w:rFonts w:hint="default"/>
          <w:highlight w:val="none"/>
          <w:lang w:val="en-US" w:eastAsia="zh-CN"/>
        </w:rPr>
        <w:t>碳汇量</w:t>
      </w:r>
      <w:r>
        <w:rPr>
          <w:rFonts w:hint="default"/>
          <w:highlight w:val="none"/>
          <w:lang w:eastAsia="zh-CN"/>
        </w:rPr>
        <w:t>（</w:t>
      </w:r>
      <w:r>
        <w:rPr>
          <w:rFonts w:hint="default"/>
          <w:highlight w:val="none"/>
        </w:rPr>
        <w:t>kg</w:t>
      </w:r>
      <w:r>
        <w:rPr>
          <w:rFonts w:hint="default"/>
          <w:highlight w:val="none"/>
          <w:lang w:val="en-US" w:eastAsia="zh-CN"/>
        </w:rPr>
        <w:t xml:space="preserve"> </w:t>
      </w:r>
      <w:r>
        <w:rPr>
          <w:rFonts w:hint="default"/>
          <w:highlight w:val="none"/>
        </w:rPr>
        <w:t>CO2e</w:t>
      </w:r>
      <w:r>
        <w:rPr>
          <w:rFonts w:hint="default"/>
          <w:highlight w:val="none"/>
          <w:lang w:eastAsia="zh-CN"/>
        </w:rPr>
        <w:t>），</w:t>
      </w:r>
      <w:r>
        <w:rPr>
          <w:rFonts w:hint="default"/>
          <w:highlight w:val="none"/>
          <w:lang w:val="en-US" w:eastAsia="zh-CN"/>
        </w:rPr>
        <w:t>不满足扣减条件时取值为0</w:t>
      </w:r>
      <w:r>
        <w:rPr>
          <w:rFonts w:hint="default"/>
          <w:highlight w:val="none"/>
          <w:lang w:eastAsia="zh-CN"/>
        </w:rPr>
        <w:t>；</w:t>
      </w:r>
    </w:p>
    <w:p w14:paraId="3B7B79EB">
      <w:pPr>
        <w:pStyle w:val="39"/>
        <w:bidi w:val="0"/>
        <w:rPr>
          <w:highlight w:val="none"/>
        </w:rPr>
      </w:pPr>
      <w:r>
        <w:rPr>
          <w:rFonts w:hint="eastAsia"/>
          <w:highlight w:val="none"/>
        </w:rPr>
        <w:t xml:space="preserve"> N</w:t>
      </w:r>
      <w:r>
        <w:rPr>
          <w:rFonts w:hint="eastAsia"/>
          <w:highlight w:val="none"/>
          <w:vertAlign w:val="subscript"/>
          <w:lang w:val="en-US" w:eastAsia="zh-CN"/>
        </w:rPr>
        <w:t>2</w:t>
      </w:r>
      <w:r>
        <w:rPr>
          <w:rFonts w:hint="eastAsia"/>
          <w:highlight w:val="none"/>
        </w:rPr>
        <w:t>O 排放量</w:t>
      </w:r>
    </w:p>
    <w:p w14:paraId="5B1EFCF9">
      <w:pPr>
        <w:pStyle w:val="38"/>
        <w:bidi w:val="0"/>
        <w:rPr>
          <w:rFonts w:hint="eastAsia"/>
          <w:highlight w:val="none"/>
          <w:lang w:eastAsia="zh-CN"/>
        </w:rPr>
      </w:pPr>
      <w:r>
        <w:rPr>
          <w:rFonts w:hint="eastAsia"/>
          <w:highlight w:val="none"/>
          <w:lang w:eastAsia="zh-CN"/>
        </w:rPr>
        <w:t>根据IPCC 2006指南，N</w:t>
      </w:r>
      <w:r>
        <w:rPr>
          <w:rFonts w:hint="eastAsia"/>
          <w:highlight w:val="none"/>
          <w:lang w:val="en-US" w:eastAsia="zh-CN"/>
        </w:rPr>
        <w:t>2</w:t>
      </w:r>
      <w:r>
        <w:rPr>
          <w:rFonts w:hint="eastAsia"/>
          <w:highlight w:val="none"/>
          <w:lang w:eastAsia="zh-CN"/>
        </w:rPr>
        <w:t>O排放分为直接与间接两部分。</w:t>
      </w:r>
      <w:r>
        <w:rPr>
          <w:rFonts w:hint="eastAsia"/>
          <w:highlight w:val="none"/>
          <w:lang w:val="en-US" w:eastAsia="zh-CN"/>
        </w:rPr>
        <w:t>计算公式如下</w:t>
      </w:r>
      <w:r>
        <w:rPr>
          <w:rFonts w:hint="eastAsia"/>
          <w:highlight w:val="none"/>
          <w:lang w:eastAsia="zh-CN"/>
        </w:rPr>
        <w:t>：</w:t>
      </w:r>
    </w:p>
    <w:p w14:paraId="21A3A334">
      <w:pPr>
        <w:pStyle w:val="115"/>
        <w:bidi w:val="0"/>
        <w:rPr>
          <w:rFonts w:hint="eastAsia"/>
          <w:highlight w:val="none"/>
          <w:lang w:eastAsia="zh-CN"/>
        </w:rPr>
      </w:pPr>
      <w:r>
        <w:rPr>
          <w:rFonts w:hint="eastAsia"/>
          <w:highlight w:val="none"/>
          <w:lang w:eastAsia="zh-CN"/>
        </w:rPr>
        <w:tab/>
      </w:r>
      <m:oMath>
        <m:sSub>
          <m:sSubPr>
            <m:ctrlPr>
              <w:rPr>
                <w:rFonts w:hint="eastAsia" w:ascii="Cambria Math" w:hAnsi="Cambria Math"/>
                <w:highlight w:val="none"/>
                <w:lang w:val="en-US" w:eastAsia="zh-CN"/>
              </w:rPr>
            </m:ctrlPr>
          </m:sSubPr>
          <m:e>
            <m:r>
              <m:rPr>
                <m:sty m:val="p"/>
              </m:rPr>
              <w:rPr>
                <w:rFonts w:hint="default" w:ascii="Times New Roman" w:hAnsi="Times New Roman"/>
                <w:highlight w:val="none"/>
              </w:rPr>
              <m:t>CE</m:t>
            </m:r>
            <m:ctrlPr>
              <w:rPr>
                <w:rFonts w:hint="eastAsia" w:ascii="Cambria Math" w:hAnsi="Cambria Math"/>
                <w:highlight w:val="none"/>
                <w:lang w:val="en-US" w:eastAsia="zh-CN"/>
              </w:rPr>
            </m:ctrlPr>
          </m:e>
          <m:sub>
            <m:sSub>
              <m:sSubPr>
                <m:ctrlPr>
                  <w:rPr>
                    <w:rFonts w:hint="eastAsia" w:ascii="Cambria Math" w:hAnsi="Cambria Math"/>
                    <w:highlight w:val="none"/>
                    <w:lang w:val="en-US" w:eastAsia="zh-CN"/>
                  </w:rPr>
                </m:ctrlPr>
              </m:sSubPr>
              <m:e>
                <m:r>
                  <m:rPr>
                    <m:sty m:val="p"/>
                  </m:rPr>
                  <w:rPr>
                    <w:rFonts w:hint="default" w:ascii="Times New Roman" w:hAnsi="Times New Roman"/>
                    <w:highlight w:val="none"/>
                  </w:rPr>
                  <m:t>N</m:t>
                </m:r>
                <m:ctrlPr>
                  <w:rPr>
                    <w:rFonts w:hint="eastAsia" w:ascii="Cambria Math" w:hAnsi="Cambria Math"/>
                    <w:highlight w:val="none"/>
                    <w:lang w:val="en-US" w:eastAsia="zh-CN"/>
                  </w:rPr>
                </m:ctrlPr>
              </m:e>
              <m:sub>
                <m:r>
                  <m:rPr>
                    <m:sty m:val="p"/>
                  </m:rPr>
                  <w:rPr>
                    <w:rFonts w:ascii="Times New Roman" w:hAnsi="Times New Roman"/>
                    <w:highlight w:val="none"/>
                  </w:rPr>
                  <m:t>2</m:t>
                </m:r>
                <m:ctrlPr>
                  <w:rPr>
                    <w:rFonts w:hint="eastAsia" w:ascii="Cambria Math" w:hAnsi="Cambria Math"/>
                    <w:highlight w:val="none"/>
                    <w:lang w:val="en-US" w:eastAsia="zh-CN"/>
                  </w:rPr>
                </m:ctrlPr>
              </m:sub>
            </m:sSub>
            <m:r>
              <m:rPr>
                <m:sty m:val="p"/>
              </m:rPr>
              <w:rPr>
                <w:rFonts w:hint="default" w:ascii="Times New Roman" w:hAnsi="Times New Roman"/>
                <w:highlight w:val="none"/>
              </w:rPr>
              <m:t>O</m:t>
            </m:r>
            <m:ctrlPr>
              <w:rPr>
                <w:rFonts w:hint="eastAsia" w:ascii="Cambria Math" w:hAnsi="Cambria Math"/>
                <w:highlight w:val="none"/>
                <w:lang w:val="en-US" w:eastAsia="zh-CN"/>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CE</m:t>
            </m:r>
            <m:ctrlPr>
              <w:rPr>
                <w:rFonts w:ascii="Cambria Math" w:hAnsi="Cambria Math"/>
                <w:highlight w:val="none"/>
              </w:rPr>
            </m:ctrlPr>
          </m:e>
          <m:sub>
            <m:r>
              <m:rPr>
                <m:sty m:val="p"/>
              </m:rPr>
              <w:rPr>
                <w:rFonts w:hint="default" w:ascii="Times New Roman" w:hAnsi="Times New Roman"/>
                <w:highlight w:val="none"/>
              </w:rPr>
              <m:t>dir</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CE</m:t>
            </m:r>
            <m:ctrlPr>
              <w:rPr>
                <w:rFonts w:ascii="Cambria Math" w:hAnsi="Cambria Math"/>
                <w:highlight w:val="none"/>
              </w:rPr>
            </m:ctrlPr>
          </m:e>
          <m:sub>
            <m:r>
              <m:rPr>
                <m:sty m:val="p"/>
              </m:rPr>
              <w:rPr>
                <w:rFonts w:hint="default" w:ascii="Times New Roman" w:hAnsi="Times New Roman"/>
                <w:highlight w:val="none"/>
              </w:rPr>
              <m:t>indir</m:t>
            </m:r>
            <m:ctrlPr>
              <w:rPr>
                <w:rFonts w:ascii="Cambria Math" w:hAnsi="Cambria Math"/>
                <w:highlight w:val="none"/>
              </w:rPr>
            </m:ctrlPr>
          </m:sub>
        </m:sSub>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8</w:t>
      </w:r>
      <w:r>
        <w:rPr>
          <w:rFonts w:hint="eastAsia"/>
          <w:highlight w:val="none"/>
          <w:lang w:eastAsia="zh-CN"/>
        </w:rPr>
        <w:fldChar w:fldCharType="end"/>
      </w:r>
      <w:r>
        <w:rPr>
          <w:rFonts w:hint="eastAsia"/>
          <w:highlight w:val="none"/>
          <w:lang w:eastAsia="zh-CN"/>
        </w:rPr>
        <w:t>)</w:t>
      </w:r>
    </w:p>
    <w:p w14:paraId="3A4A7A20">
      <w:pPr>
        <w:pStyle w:val="62"/>
        <w:rPr>
          <w:rFonts w:hint="eastAsia"/>
          <w:highlight w:val="none"/>
          <w:lang w:eastAsia="zh-CN"/>
        </w:rPr>
      </w:pPr>
      <w:r>
        <w:rPr>
          <w:rFonts w:hint="eastAsia"/>
          <w:highlight w:val="none"/>
          <w:lang w:eastAsia="zh-CN"/>
        </w:rPr>
        <w:t>式中：</w:t>
      </w:r>
    </w:p>
    <w:p w14:paraId="53DA5AE1">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rPr>
              <m:t>CE</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dir</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 xml:space="preserve">土壤 </w:t>
      </w:r>
      <w:r>
        <w:rPr>
          <w:rFonts w:hint="default"/>
          <w:highlight w:val="none"/>
        </w:rPr>
        <w:t>N</w:t>
      </w:r>
      <w:r>
        <w:rPr>
          <w:rFonts w:hint="default"/>
          <w:highlight w:val="none"/>
          <w:vertAlign w:val="subscript"/>
        </w:rPr>
        <w:t>2</w:t>
      </w:r>
      <w:r>
        <w:rPr>
          <w:rFonts w:hint="default"/>
          <w:highlight w:val="none"/>
        </w:rPr>
        <w:t>O</w:t>
      </w:r>
      <w:r>
        <w:rPr>
          <w:rFonts w:hint="default"/>
          <w:highlight w:val="none"/>
          <w:lang w:val="en-US" w:eastAsia="zh-CN"/>
        </w:rPr>
        <w:t xml:space="preserve"> 直接</w:t>
      </w:r>
      <w:r>
        <w:rPr>
          <w:rFonts w:hint="default"/>
          <w:highlight w:val="none"/>
        </w:rPr>
        <w:t>排放量</w:t>
      </w:r>
      <w:r>
        <w:rPr>
          <w:rFonts w:hint="default"/>
          <w:highlight w:val="none"/>
          <w:lang w:eastAsia="zh-CN"/>
        </w:rPr>
        <w:t>（</w:t>
      </w:r>
      <w:r>
        <w:rPr>
          <w:rFonts w:hint="default"/>
          <w:highlight w:val="none"/>
        </w:rPr>
        <w:t>kg</w:t>
      </w:r>
      <w:r>
        <w:rPr>
          <w:rFonts w:hint="default"/>
          <w:highlight w:val="none"/>
          <w:lang w:val="en-US" w:eastAsia="zh-CN"/>
        </w:rPr>
        <w:t xml:space="preserve"> </w:t>
      </w:r>
      <w:r>
        <w:rPr>
          <w:rFonts w:hint="default"/>
          <w:highlight w:val="none"/>
        </w:rPr>
        <w:t>CO2e</w:t>
      </w:r>
      <w:r>
        <w:rPr>
          <w:rFonts w:hint="default"/>
          <w:highlight w:val="none"/>
          <w:lang w:eastAsia="zh-CN"/>
        </w:rPr>
        <w:t>）；</w:t>
      </w:r>
    </w:p>
    <w:p w14:paraId="3556A071">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rPr>
              <m:t>CE</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indir</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 xml:space="preserve">土壤 </w:t>
      </w:r>
      <w:r>
        <w:rPr>
          <w:rFonts w:hint="default"/>
          <w:highlight w:val="none"/>
        </w:rPr>
        <w:t>N</w:t>
      </w:r>
      <w:r>
        <w:rPr>
          <w:rFonts w:hint="default"/>
          <w:highlight w:val="none"/>
          <w:vertAlign w:val="subscript"/>
        </w:rPr>
        <w:t>2</w:t>
      </w:r>
      <w:r>
        <w:rPr>
          <w:rFonts w:hint="default"/>
          <w:highlight w:val="none"/>
        </w:rPr>
        <w:t>O</w:t>
      </w:r>
      <w:r>
        <w:rPr>
          <w:rFonts w:hint="default"/>
          <w:highlight w:val="none"/>
          <w:lang w:val="en-US" w:eastAsia="zh-CN"/>
        </w:rPr>
        <w:t xml:space="preserve"> 间接</w:t>
      </w:r>
      <w:r>
        <w:rPr>
          <w:rFonts w:hint="default"/>
          <w:highlight w:val="none"/>
        </w:rPr>
        <w:t>排放量</w:t>
      </w:r>
      <w:r>
        <w:rPr>
          <w:rFonts w:hint="default"/>
          <w:highlight w:val="none"/>
          <w:lang w:eastAsia="zh-CN"/>
        </w:rPr>
        <w:t>（</w:t>
      </w:r>
      <w:r>
        <w:rPr>
          <w:rFonts w:hint="default"/>
          <w:highlight w:val="none"/>
        </w:rPr>
        <w:t>kg</w:t>
      </w:r>
      <w:r>
        <w:rPr>
          <w:rFonts w:hint="default"/>
          <w:highlight w:val="none"/>
          <w:lang w:val="en-US" w:eastAsia="zh-CN"/>
        </w:rPr>
        <w:t xml:space="preserve"> </w:t>
      </w:r>
      <w:r>
        <w:rPr>
          <w:rFonts w:hint="default"/>
          <w:highlight w:val="none"/>
        </w:rPr>
        <w:t>CO2e</w:t>
      </w:r>
      <w:r>
        <w:rPr>
          <w:rFonts w:hint="default"/>
          <w:highlight w:val="none"/>
          <w:lang w:eastAsia="zh-CN"/>
        </w:rPr>
        <w:t>）。</w:t>
      </w:r>
    </w:p>
    <w:p w14:paraId="3B424510">
      <w:pPr>
        <w:pStyle w:val="38"/>
        <w:bidi w:val="0"/>
        <w:rPr>
          <w:rFonts w:hint="eastAsia"/>
          <w:highlight w:val="none"/>
          <w:lang w:val="en-US" w:eastAsia="zh-CN"/>
        </w:rPr>
      </w:pPr>
      <w:r>
        <w:rPr>
          <w:rFonts w:hint="eastAsia"/>
          <w:highlight w:val="none"/>
          <w:lang w:val="en-US" w:eastAsia="zh-CN"/>
        </w:rPr>
        <w:t>直接排放包括化肥氮、有机肥氮及残体还田氮的排放。计算公式如下：</w:t>
      </w:r>
    </w:p>
    <w:p w14:paraId="63270576">
      <w:pPr>
        <w:pStyle w:val="115"/>
        <w:bidi w:val="0"/>
        <w:rPr>
          <w:rFonts w:hint="eastAsia"/>
          <w:highlight w:val="none"/>
          <w:lang w:val="en-US" w:eastAsia="zh-CN"/>
        </w:rPr>
      </w:pPr>
      <w:r>
        <w:rPr>
          <w:rFonts w:hint="eastAsia"/>
          <w:highlight w:val="none"/>
          <w:lang w:val="en-US" w:eastAsia="zh-CN"/>
        </w:rPr>
        <w:tab/>
      </w:r>
      <m:oMath>
        <m:sSub>
          <m:sSubPr>
            <m:ctrlPr>
              <w:rPr>
                <w:rFonts w:hint="eastAsia" w:ascii="Cambria Math" w:hAnsi="Cambria Math"/>
                <w:highlight w:val="none"/>
                <w:lang w:eastAsia="zh-CN"/>
              </w:rPr>
            </m:ctrlPr>
          </m:sSubPr>
          <m:e>
            <m:r>
              <m:rPr>
                <m:sty m:val="p"/>
              </m:rPr>
              <w:rPr>
                <w:rFonts w:hint="default" w:ascii="Times New Roman" w:hAnsi="Times New Roman"/>
                <w:highlight w:val="none"/>
              </w:rPr>
              <m:t>CE</m:t>
            </m:r>
            <m:ctrlPr>
              <w:rPr>
                <w:rFonts w:hint="eastAsia" w:ascii="Cambria Math" w:hAnsi="Cambria Math"/>
                <w:highlight w:val="none"/>
                <w:lang w:eastAsia="zh-CN"/>
              </w:rPr>
            </m:ctrlPr>
          </m:e>
          <m:sub>
            <m:r>
              <m:rPr>
                <m:sty m:val="p"/>
              </m:rPr>
              <w:rPr>
                <w:rFonts w:hint="default" w:ascii="Times New Roman" w:hAnsi="Times New Roman"/>
                <w:highlight w:val="none"/>
              </w:rPr>
              <m:t>dir</m:t>
            </m:r>
            <m:ctrlPr>
              <w:rPr>
                <w:rFonts w:hint="eastAsia" w:ascii="Cambria Math" w:hAnsi="Cambria Math"/>
                <w:highlight w:val="none"/>
                <w:lang w:eastAsia="zh-CN"/>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F</m:t>
            </m:r>
            <m:ctrlPr>
              <w:rPr>
                <w:rFonts w:ascii="Cambria Math" w:hAnsi="Cambria Math"/>
                <w:highlight w:val="none"/>
              </w:rPr>
            </m:ctrlPr>
          </m:e>
          <m:sub>
            <m:r>
              <m:rPr>
                <m:sty m:val="p"/>
              </m:rPr>
              <w:rPr>
                <w:rFonts w:hint="default" w:ascii="Times New Roman" w:hAnsi="Times New Roman"/>
                <w:highlight w:val="none"/>
              </w:rPr>
              <m:t>SN</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F</m:t>
            </m:r>
            <m:ctrlPr>
              <w:rPr>
                <w:rFonts w:ascii="Cambria Math" w:hAnsi="Cambria Math"/>
                <w:highlight w:val="none"/>
              </w:rPr>
            </m:ctrlPr>
          </m:e>
          <m:sub>
            <m:r>
              <m:rPr>
                <m:sty m:val="p"/>
              </m:rPr>
              <w:rPr>
                <w:rFonts w:hint="default" w:ascii="Times New Roman" w:hAnsi="Times New Roman"/>
                <w:highlight w:val="none"/>
              </w:rPr>
              <m:t>ON</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F</m:t>
            </m:r>
            <m:ctrlPr>
              <w:rPr>
                <w:rFonts w:ascii="Cambria Math" w:hAnsi="Cambria Math"/>
                <w:highlight w:val="none"/>
              </w:rPr>
            </m:ctrlPr>
          </m:e>
          <m:sub>
            <m:r>
              <m:rPr>
                <m:sty m:val="p"/>
              </m:rPr>
              <w:rPr>
                <w:rFonts w:hint="default" w:ascii="Times New Roman" w:hAnsi="Times New Roman"/>
                <w:highlight w:val="none"/>
              </w:rPr>
              <m:t>ST</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EF</m:t>
            </m:r>
            <m:ctrlPr>
              <w:rPr>
                <w:rFonts w:ascii="Cambria Math" w:hAnsi="Cambria Math"/>
                <w:highlight w:val="none"/>
              </w:rPr>
            </m:ctrlPr>
          </m:e>
          <m:sub>
            <m:r>
              <m:rPr>
                <m:sty m:val="p"/>
              </m:rPr>
              <w:rPr>
                <w:rFonts w:hint="default" w:ascii="Times New Roman" w:hAnsi="Times New Roman"/>
                <w:highlight w:val="none"/>
              </w:rPr>
              <m:t>d</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GWP</m:t>
            </m:r>
            <m:ctrlPr>
              <w:rPr>
                <w:rFonts w:ascii="Cambria Math" w:hAnsi="Cambria Math"/>
                <w:highlight w:val="none"/>
              </w:rPr>
            </m:ctrlPr>
          </m:e>
          <m:sub>
            <m:r>
              <m:rPr>
                <m:sty m:val="p"/>
              </m:rPr>
              <w:rPr>
                <w:rFonts w:ascii="Times New Roman" w:hAnsi="Times New Roman"/>
                <w:highlight w:val="none"/>
              </w:rPr>
              <m:t>100</m:t>
            </m:r>
            <m:ctrlPr>
              <w:rPr>
                <w:rFonts w:ascii="Cambria Math" w:hAnsi="Cambria Math"/>
                <w:highlight w:val="none"/>
              </w:rPr>
            </m:ctrlPr>
          </m:sub>
        </m:sSub>
        <m:r>
          <m:rPr>
            <m:sty m:val="p"/>
          </m:rPr>
          <w:rPr>
            <w:rFonts w:ascii="Times New Roman" w:hAnsi="Times New Roman"/>
            <w:highlight w:val="none"/>
          </w:rPr>
          <m:t>×44/28</m:t>
        </m:r>
      </m:oMath>
      <w:r>
        <w:rPr>
          <w:rFonts w:hint="eastAsia" w:ascii="微软雅黑" w:hAnsi="微软雅黑" w:eastAsia="微软雅黑" w:cs="微软雅黑"/>
          <w:highlight w:val="none"/>
          <w:lang w:val="en-US" w:eastAsia="zh-CN"/>
        </w:rPr>
        <w:tab/>
      </w:r>
      <w:r>
        <w:rPr>
          <w:rFonts w:hint="eastAsia"/>
          <w:highlight w:val="none"/>
          <w:lang w:val="en-US" w:eastAsia="zh-CN"/>
        </w:rPr>
        <w:t>(</w:t>
      </w:r>
      <w:r>
        <w:rPr>
          <w:rFonts w:hint="eastAsia"/>
          <w:highlight w:val="none"/>
          <w:lang w:val="en-US" w:eastAsia="zh-CN"/>
        </w:rPr>
        <w:fldChar w:fldCharType="begin"/>
      </w:r>
      <w:r>
        <w:rPr>
          <w:rFonts w:hint="eastAsia"/>
          <w:highlight w:val="none"/>
          <w:lang w:val="en-US" w:eastAsia="zh-CN"/>
        </w:rPr>
        <w:instrText xml:space="preserve"> SEQ 公式 \* ARABIC </w:instrText>
      </w:r>
      <w:r>
        <w:rPr>
          <w:rFonts w:hint="eastAsia"/>
          <w:highlight w:val="none"/>
          <w:lang w:val="en-US" w:eastAsia="zh-CN"/>
        </w:rPr>
        <w:fldChar w:fldCharType="separate"/>
      </w:r>
      <w:r>
        <w:rPr>
          <w:rFonts w:hint="eastAsia"/>
          <w:highlight w:val="none"/>
          <w:lang w:val="en-US" w:eastAsia="zh-CN"/>
        </w:rPr>
        <w:t>9</w:t>
      </w:r>
      <w:r>
        <w:rPr>
          <w:rFonts w:hint="eastAsia"/>
          <w:highlight w:val="none"/>
          <w:lang w:val="en-US" w:eastAsia="zh-CN"/>
        </w:rPr>
        <w:fldChar w:fldCharType="end"/>
      </w:r>
      <w:r>
        <w:rPr>
          <w:rFonts w:hint="eastAsia"/>
          <w:highlight w:val="none"/>
          <w:lang w:val="en-US" w:eastAsia="zh-CN"/>
        </w:rPr>
        <w:t>)</w:t>
      </w:r>
    </w:p>
    <w:p w14:paraId="168B2E04">
      <w:pPr>
        <w:pStyle w:val="38"/>
        <w:bidi w:val="0"/>
        <w:rPr>
          <w:rFonts w:hint="eastAsia"/>
          <w:highlight w:val="none"/>
          <w:lang w:eastAsia="zh-CN"/>
        </w:rPr>
      </w:pPr>
      <w:r>
        <w:rPr>
          <w:rFonts w:hint="eastAsia"/>
          <w:highlight w:val="none"/>
          <w:lang w:eastAsia="zh-CN"/>
        </w:rPr>
        <w:t>式中：</w:t>
      </w:r>
    </w:p>
    <w:p w14:paraId="51D34941">
      <w:pPr>
        <w:pStyle w:val="38"/>
        <w:bidi w:val="0"/>
        <w:rPr>
          <w:rFonts w:hint="default"/>
          <w:highlight w:val="none"/>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F</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SN</m:t>
            </m:r>
            <m:ctrlPr>
              <w:rPr>
                <w:rFonts w:hint="default" w:ascii="Cambria Math" w:hAnsi="Cambria Math"/>
                <w:highlight w:val="none"/>
              </w:rPr>
            </m:ctrlPr>
          </m:sub>
        </m:sSub>
      </m:oMath>
      <w:r>
        <w:rPr>
          <w:rFonts w:hint="default"/>
          <w:highlight w:val="none"/>
          <w:lang w:val="en-US" w:eastAsia="zh-CN"/>
        </w:rPr>
        <w:t>——化肥氮的施用量（kg N）</w:t>
      </w:r>
      <w:r>
        <w:rPr>
          <w:rFonts w:hint="default"/>
          <w:highlight w:val="none"/>
        </w:rPr>
        <w:t>；</w:t>
      </w:r>
    </w:p>
    <w:p w14:paraId="6685A0B7">
      <w:pPr>
        <w:pStyle w:val="38"/>
        <w:bidi w:val="0"/>
        <w:rPr>
          <w:rFonts w:hint="default"/>
          <w:highlight w:val="none"/>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F</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ON</m:t>
            </m:r>
            <m:ctrlPr>
              <w:rPr>
                <w:rFonts w:hint="default" w:ascii="Cambria Math" w:hAnsi="Cambria Math"/>
                <w:highlight w:val="none"/>
              </w:rPr>
            </m:ctrlPr>
          </m:sub>
        </m:sSub>
      </m:oMath>
      <w:r>
        <w:rPr>
          <w:rFonts w:hint="default"/>
          <w:highlight w:val="none"/>
          <w:lang w:val="en-US" w:eastAsia="zh-CN"/>
        </w:rPr>
        <w:t>——有机肥氮的施用量（kg N）</w:t>
      </w:r>
      <w:r>
        <w:rPr>
          <w:rFonts w:hint="default"/>
          <w:highlight w:val="none"/>
        </w:rPr>
        <w:t>；</w:t>
      </w:r>
    </w:p>
    <w:p w14:paraId="5FF997B7">
      <w:pPr>
        <w:pStyle w:val="38"/>
        <w:bidi w:val="0"/>
        <w:rPr>
          <w:rFonts w:hint="default"/>
          <w:highlight w:val="none"/>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F</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ST</m:t>
            </m:r>
            <m:ctrlPr>
              <w:rPr>
                <w:rFonts w:hint="default" w:ascii="Cambria Math" w:hAnsi="Cambria Math"/>
                <w:highlight w:val="none"/>
              </w:rPr>
            </m:ctrlPr>
          </m:sub>
        </m:sSub>
      </m:oMath>
      <w:r>
        <w:rPr>
          <w:rFonts w:hint="default"/>
          <w:highlight w:val="none"/>
          <w:lang w:val="en-US" w:eastAsia="zh-CN"/>
        </w:rPr>
        <w:t>——残体（含地上茎叶与地下根系）还田氮的施用量（kg N），残体清运处置则取0；</w:t>
      </w:r>
    </w:p>
    <w:p w14:paraId="352207BD">
      <w:pPr>
        <w:pStyle w:val="38"/>
        <w:bidi w:val="0"/>
        <w:rPr>
          <w:rFonts w:hint="default"/>
          <w:highlight w:val="none"/>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EF</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d</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土壤 N₂O 直接排放因子（广东地区取 0.0178 kg N₂O-N/kg N）</w:t>
      </w:r>
      <w:r>
        <w:rPr>
          <w:rFonts w:hint="default"/>
          <w:highlight w:val="none"/>
          <w:lang w:eastAsia="zh-CN"/>
        </w:rPr>
        <w:t>；</w:t>
      </w:r>
    </w:p>
    <w:p w14:paraId="34827C49">
      <w:pPr>
        <w:pStyle w:val="38"/>
        <w:bidi w:val="0"/>
        <w:rPr>
          <w:rFonts w:hint="default"/>
          <w:highlight w:val="none"/>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GWP</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100</m:t>
            </m:r>
            <m:ctrlPr>
              <w:rPr>
                <w:rFonts w:hint="default" w:ascii="Cambria Math" w:hAnsi="Cambria Math"/>
                <w:highlight w:val="none"/>
              </w:rPr>
            </m:ctrlPr>
          </m:sub>
        </m:sSub>
      </m:oMath>
      <w:r>
        <w:rPr>
          <w:rFonts w:hint="default"/>
          <w:highlight w:val="none"/>
          <w:lang w:eastAsia="zh-CN"/>
        </w:rPr>
        <w:t>——</w:t>
      </w:r>
      <w:r>
        <w:rPr>
          <w:rFonts w:hint="default"/>
          <w:highlight w:val="none"/>
        </w:rPr>
        <w:t>N2O</w:t>
      </w:r>
      <w:r>
        <w:rPr>
          <w:rFonts w:hint="default"/>
          <w:highlight w:val="none"/>
          <w:lang w:val="en-US" w:eastAsia="zh-CN"/>
        </w:rPr>
        <w:t xml:space="preserve"> </w:t>
      </w:r>
      <w:r>
        <w:rPr>
          <w:rFonts w:hint="default"/>
          <w:highlight w:val="none"/>
        </w:rPr>
        <w:t>在</w:t>
      </w:r>
      <w:r>
        <w:rPr>
          <w:rFonts w:hint="default"/>
          <w:highlight w:val="none"/>
          <w:lang w:val="en-US" w:eastAsia="zh-CN"/>
        </w:rPr>
        <w:t xml:space="preserve"> </w:t>
      </w:r>
      <w:r>
        <w:rPr>
          <w:rFonts w:hint="default"/>
          <w:highlight w:val="none"/>
        </w:rPr>
        <w:t>100</w:t>
      </w:r>
      <w:r>
        <w:rPr>
          <w:rFonts w:hint="default"/>
          <w:highlight w:val="none"/>
          <w:lang w:val="en-US" w:eastAsia="zh-CN"/>
        </w:rPr>
        <w:t xml:space="preserve"> </w:t>
      </w:r>
      <w:r>
        <w:rPr>
          <w:rFonts w:hint="default"/>
          <w:highlight w:val="none"/>
        </w:rPr>
        <w:t>年尺度下的全球增温潜势，值为</w:t>
      </w:r>
      <w:r>
        <w:rPr>
          <w:rFonts w:hint="default"/>
          <w:highlight w:val="none"/>
          <w:lang w:val="en-US" w:eastAsia="zh-CN"/>
        </w:rPr>
        <w:t xml:space="preserve"> </w:t>
      </w:r>
      <w:r>
        <w:rPr>
          <w:rFonts w:hint="default"/>
          <w:highlight w:val="none"/>
        </w:rPr>
        <w:t>273（IPCC</w:t>
      </w:r>
      <w:r>
        <w:rPr>
          <w:rFonts w:hint="default"/>
          <w:highlight w:val="none"/>
          <w:lang w:eastAsia="zh-CN"/>
        </w:rPr>
        <w:t>，</w:t>
      </w:r>
      <w:r>
        <w:rPr>
          <w:rFonts w:hint="default"/>
          <w:highlight w:val="none"/>
        </w:rPr>
        <w:t>2021）；</w:t>
      </w:r>
    </w:p>
    <w:p w14:paraId="34DAEFE5">
      <w:pPr>
        <w:pStyle w:val="38"/>
        <w:bidi w:val="0"/>
        <w:rPr>
          <w:rFonts w:hint="default"/>
          <w:highlight w:val="none"/>
          <w:lang w:val="en-US" w:eastAsia="zh-CN"/>
        </w:rPr>
      </w:pPr>
      <m:oMath>
        <m:r>
          <m:rPr>
            <m:nor/>
            <m:sty m:val="p"/>
          </m:rPr>
          <w:rPr>
            <w:rFonts w:hint="default" w:ascii="Times New Roman" w:hAnsi="Times New Roman"/>
            <w:b w:val="0"/>
            <w:i w:val="0"/>
            <w:highlight w:val="none"/>
            <w:lang w:val="en-US" w:eastAsia="zh-CN"/>
          </w:rPr>
          <m:t>44/28</m:t>
        </m:r>
      </m:oMath>
      <w:r>
        <w:rPr>
          <w:rFonts w:hint="default"/>
          <w:highlight w:val="none"/>
          <w:lang w:val="en-US" w:eastAsia="zh-CN"/>
        </w:rPr>
        <w:t>——N₂O 与 N 的分子量之比；</w:t>
      </w:r>
    </w:p>
    <w:p w14:paraId="6327851E">
      <w:pPr>
        <w:pStyle w:val="38"/>
        <w:bidi w:val="0"/>
        <w:rPr>
          <w:rFonts w:hint="default"/>
          <w:highlight w:val="none"/>
          <w:lang w:val="en-US" w:eastAsia="zh-CN"/>
        </w:rPr>
      </w:pPr>
      <w:r>
        <w:rPr>
          <w:rFonts w:hint="default"/>
          <w:highlight w:val="none"/>
          <w:lang w:val="en-US" w:eastAsia="zh-CN"/>
        </w:rPr>
        <w:t>间接排放包括土壤和水面 N 大气沉积的 N2O排放以及淋溶和径流氮排放。计算公式如下：</w:t>
      </w:r>
    </w:p>
    <w:p w14:paraId="648414C2">
      <w:pPr>
        <w:pStyle w:val="115"/>
        <w:bidi w:val="0"/>
        <w:rPr>
          <w:rFonts w:hint="eastAsia"/>
          <w:highlight w:val="none"/>
          <w:lang w:val="en-US" w:eastAsia="zh-CN"/>
        </w:rPr>
      </w:pPr>
      <w:r>
        <w:rPr>
          <w:rFonts w:hint="eastAsia"/>
          <w:highlight w:val="none"/>
          <w:lang w:val="en-US" w:eastAsia="zh-CN"/>
        </w:rPr>
        <w:tab/>
      </w:r>
      <m:oMath>
        <m:sSub>
          <m:sSubPr>
            <m:ctrlPr>
              <w:rPr>
                <w:rFonts w:hint="eastAsia" w:ascii="Cambria Math" w:hAnsi="Cambria Math"/>
                <w:highlight w:val="none"/>
                <w:lang w:eastAsia="zh-CN"/>
              </w:rPr>
            </m:ctrlPr>
          </m:sSubPr>
          <m:e>
            <m:r>
              <m:rPr>
                <m:sty m:val="p"/>
              </m:rPr>
              <w:rPr>
                <w:rFonts w:hint="default" w:ascii="Times New Roman" w:hAnsi="Times New Roman"/>
                <w:highlight w:val="none"/>
              </w:rPr>
              <m:t>CE</m:t>
            </m:r>
            <m:ctrlPr>
              <w:rPr>
                <w:rFonts w:hint="eastAsia" w:ascii="Cambria Math" w:hAnsi="Cambria Math"/>
                <w:highlight w:val="none"/>
                <w:lang w:eastAsia="zh-CN"/>
              </w:rPr>
            </m:ctrlPr>
          </m:e>
          <m:sub>
            <m:r>
              <m:rPr>
                <m:sty m:val="p"/>
              </m:rPr>
              <w:rPr>
                <w:rFonts w:hint="default" w:ascii="Times New Roman" w:hAnsi="Times New Roman"/>
                <w:highlight w:val="none"/>
              </w:rPr>
              <m:t>indir</m:t>
            </m:r>
            <m:ctrlPr>
              <w:rPr>
                <w:rFonts w:hint="eastAsia" w:ascii="Cambria Math" w:hAnsi="Cambria Math"/>
                <w:highlight w:val="none"/>
                <w:lang w:eastAsia="zh-CN"/>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CE</m:t>
            </m:r>
            <m:ctrlPr>
              <w:rPr>
                <w:rFonts w:ascii="Cambria Math" w:hAnsi="Cambria Math"/>
                <w:highlight w:val="none"/>
              </w:rPr>
            </m:ctrlPr>
          </m:e>
          <m:sub>
            <m:r>
              <m:rPr>
                <m:sty m:val="p"/>
              </m:rPr>
              <w:rPr>
                <w:rFonts w:hint="default" w:ascii="Times New Roman" w:hAnsi="Times New Roman"/>
                <w:highlight w:val="none"/>
              </w:rPr>
              <m:t>vol/dep</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CE</m:t>
            </m:r>
            <m:ctrlPr>
              <w:rPr>
                <w:rFonts w:ascii="Cambria Math" w:hAnsi="Cambria Math"/>
                <w:highlight w:val="none"/>
              </w:rPr>
            </m:ctrlPr>
          </m:e>
          <m:sub>
            <m:r>
              <m:rPr>
                <m:sty m:val="p"/>
              </m:rPr>
              <w:rPr>
                <w:rFonts w:hint="default" w:ascii="Times New Roman" w:hAnsi="Times New Roman"/>
                <w:highlight w:val="none"/>
              </w:rPr>
              <m:t>leach/run</m:t>
            </m:r>
            <m:ctrlPr>
              <w:rPr>
                <w:rFonts w:ascii="Cambria Math" w:hAnsi="Cambria Math"/>
                <w:highlight w:val="none"/>
              </w:rPr>
            </m:ctrlPr>
          </m:sub>
        </m:sSub>
      </m:oMath>
      <w:r>
        <w:rPr>
          <w:rFonts w:hint="eastAsia" w:ascii="微软雅黑" w:hAnsi="微软雅黑" w:eastAsia="微软雅黑" w:cs="微软雅黑"/>
          <w:highlight w:val="none"/>
          <w:lang w:val="en-US" w:eastAsia="zh-CN"/>
        </w:rPr>
        <w:tab/>
      </w:r>
      <w:r>
        <w:rPr>
          <w:rFonts w:hint="eastAsia"/>
          <w:highlight w:val="none"/>
          <w:lang w:val="en-US" w:eastAsia="zh-CN"/>
        </w:rPr>
        <w:t>(</w:t>
      </w:r>
      <w:r>
        <w:rPr>
          <w:rFonts w:hint="eastAsia"/>
          <w:highlight w:val="none"/>
          <w:lang w:val="en-US" w:eastAsia="zh-CN"/>
        </w:rPr>
        <w:fldChar w:fldCharType="begin"/>
      </w:r>
      <w:r>
        <w:rPr>
          <w:rFonts w:hint="eastAsia"/>
          <w:highlight w:val="none"/>
          <w:lang w:val="en-US" w:eastAsia="zh-CN"/>
        </w:rPr>
        <w:instrText xml:space="preserve"> SEQ 公式 \* ARABIC </w:instrText>
      </w:r>
      <w:r>
        <w:rPr>
          <w:rFonts w:hint="eastAsia"/>
          <w:highlight w:val="none"/>
          <w:lang w:val="en-US" w:eastAsia="zh-CN"/>
        </w:rPr>
        <w:fldChar w:fldCharType="separate"/>
      </w:r>
      <w:r>
        <w:rPr>
          <w:rFonts w:hint="eastAsia"/>
          <w:highlight w:val="none"/>
          <w:lang w:val="en-US" w:eastAsia="zh-CN"/>
        </w:rPr>
        <w:t>10</w:t>
      </w:r>
      <w:r>
        <w:rPr>
          <w:rFonts w:hint="eastAsia"/>
          <w:highlight w:val="none"/>
          <w:lang w:val="en-US" w:eastAsia="zh-CN"/>
        </w:rPr>
        <w:fldChar w:fldCharType="end"/>
      </w:r>
      <w:r>
        <w:rPr>
          <w:rFonts w:hint="eastAsia"/>
          <w:highlight w:val="none"/>
          <w:lang w:val="en-US" w:eastAsia="zh-CN"/>
        </w:rPr>
        <w:t>)</w:t>
      </w:r>
    </w:p>
    <w:p w14:paraId="4A7054C7">
      <w:pPr>
        <w:pStyle w:val="115"/>
        <w:bidi w:val="0"/>
        <w:rPr>
          <w:rFonts w:hint="eastAsia"/>
          <w:highlight w:val="none"/>
          <w:lang w:val="en-US" w:eastAsia="zh-CN"/>
        </w:rPr>
      </w:pPr>
      <w:r>
        <w:rPr>
          <w:rFonts w:hint="eastAsia"/>
          <w:highlight w:val="none"/>
          <w:lang w:val="en-US" w:eastAsia="zh-CN"/>
        </w:rPr>
        <w:tab/>
      </w:r>
      <m:oMath>
        <m:sSub>
          <m:sSubPr>
            <m:ctrlPr>
              <w:rPr>
                <w:rFonts w:hint="eastAsia" w:ascii="Cambria Math" w:hAnsi="Cambria Math"/>
                <w:highlight w:val="none"/>
                <w:lang w:eastAsia="zh-CN"/>
              </w:rPr>
            </m:ctrlPr>
          </m:sSubPr>
          <m:e>
            <m:r>
              <m:rPr>
                <m:sty m:val="p"/>
              </m:rPr>
              <w:rPr>
                <w:rFonts w:hint="default" w:ascii="Times New Roman" w:hAnsi="Times New Roman"/>
                <w:highlight w:val="none"/>
              </w:rPr>
              <m:t>CE</m:t>
            </m:r>
            <m:ctrlPr>
              <w:rPr>
                <w:rFonts w:hint="eastAsia" w:ascii="Cambria Math" w:hAnsi="Cambria Math"/>
                <w:highlight w:val="none"/>
                <w:lang w:eastAsia="zh-CN"/>
              </w:rPr>
            </m:ctrlPr>
          </m:e>
          <m:sub>
            <m:r>
              <m:rPr>
                <m:sty m:val="p"/>
              </m:rPr>
              <w:rPr>
                <w:rFonts w:hint="default" w:ascii="Times New Roman" w:hAnsi="Times New Roman"/>
                <w:highlight w:val="none"/>
              </w:rPr>
              <m:t>vol/dep</m:t>
            </m:r>
            <m:ctrlPr>
              <w:rPr>
                <w:rFonts w:hint="eastAsia" w:ascii="Cambria Math" w:hAnsi="Cambria Math"/>
                <w:highlight w:val="none"/>
                <w:lang w:eastAsia="zh-CN"/>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F</m:t>
            </m:r>
            <m:ctrlPr>
              <w:rPr>
                <w:rFonts w:ascii="Cambria Math" w:hAnsi="Cambria Math"/>
                <w:highlight w:val="none"/>
              </w:rPr>
            </m:ctrlPr>
          </m:e>
          <m:sub>
            <m:r>
              <m:rPr>
                <m:sty m:val="p"/>
              </m:rPr>
              <w:rPr>
                <w:rFonts w:hint="default" w:ascii="Times New Roman" w:hAnsi="Times New Roman"/>
                <w:highlight w:val="none"/>
              </w:rPr>
              <m:t>SN</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Frac</m:t>
            </m:r>
            <m:ctrlPr>
              <w:rPr>
                <w:rFonts w:ascii="Cambria Math" w:hAnsi="Cambria Math"/>
                <w:highlight w:val="none"/>
              </w:rPr>
            </m:ctrlPr>
          </m:e>
          <m:sub>
            <m:r>
              <m:rPr>
                <m:sty m:val="p"/>
              </m:rPr>
              <w:rPr>
                <w:rFonts w:hint="default" w:ascii="Times New Roman" w:hAnsi="Times New Roman"/>
                <w:highlight w:val="none"/>
              </w:rPr>
              <m:t>SN</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F</m:t>
            </m:r>
            <m:ctrlPr>
              <w:rPr>
                <w:rFonts w:ascii="Cambria Math" w:hAnsi="Cambria Math"/>
                <w:highlight w:val="none"/>
              </w:rPr>
            </m:ctrlPr>
          </m:e>
          <m:sub>
            <m:r>
              <m:rPr>
                <m:sty m:val="p"/>
              </m:rPr>
              <w:rPr>
                <w:rFonts w:hint="default" w:ascii="Times New Roman" w:hAnsi="Times New Roman"/>
                <w:highlight w:val="none"/>
              </w:rPr>
              <m:t>ON</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Frac</m:t>
            </m:r>
            <m:ctrlPr>
              <w:rPr>
                <w:rFonts w:ascii="Cambria Math" w:hAnsi="Cambria Math"/>
                <w:highlight w:val="none"/>
              </w:rPr>
            </m:ctrlPr>
          </m:e>
          <m:sub>
            <m:r>
              <m:rPr>
                <m:sty m:val="p"/>
              </m:rPr>
              <w:rPr>
                <w:rFonts w:hint="default" w:ascii="Times New Roman" w:hAnsi="Times New Roman"/>
                <w:highlight w:val="none"/>
              </w:rPr>
              <m:t>ON</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EF</m:t>
            </m:r>
            <m:ctrlPr>
              <w:rPr>
                <w:rFonts w:ascii="Cambria Math" w:hAnsi="Cambria Math"/>
                <w:highlight w:val="none"/>
              </w:rPr>
            </m:ctrlPr>
          </m:e>
          <m:sub>
            <m:r>
              <m:rPr>
                <m:sty m:val="p"/>
              </m:rPr>
              <w:rPr>
                <w:rFonts w:hint="default" w:ascii="Times New Roman" w:hAnsi="Times New Roman"/>
                <w:highlight w:val="none"/>
              </w:rPr>
              <m:t>vol/dep</m:t>
            </m:r>
            <m:ctrlPr>
              <w:rPr>
                <w:rFonts w:ascii="Cambria Math" w:hAnsi="Cambria Math"/>
                <w:highlight w:val="none"/>
              </w:rPr>
            </m:ctrlPr>
          </m:sub>
        </m:sSub>
        <m:r>
          <m:rPr>
            <m:sty m:val="p"/>
          </m:rPr>
          <w:rPr>
            <w:rFonts w:ascii="Times New Roman" w:hAnsi="Times New Roman"/>
            <w:highlight w:val="none"/>
          </w:rPr>
          <m:t>×</m:t>
        </m:r>
        <m:sSub>
          <m:sSubPr>
            <m:ctrlPr>
              <w:rPr>
                <w:rFonts w:ascii="Cambria Math" w:hAnsi="Cambria Math"/>
                <w:highlight w:val="none"/>
              </w:rPr>
            </m:ctrlPr>
          </m:sSubPr>
          <m:e>
            <m:r>
              <m:rPr>
                <m:sty m:val="p"/>
              </m:rPr>
              <w:rPr>
                <w:rFonts w:hint="default" w:ascii="Times New Roman" w:hAnsi="Times New Roman"/>
                <w:highlight w:val="none"/>
              </w:rPr>
              <m:t>GWP</m:t>
            </m:r>
            <m:ctrlPr>
              <w:rPr>
                <w:rFonts w:ascii="Cambria Math" w:hAnsi="Cambria Math"/>
                <w:highlight w:val="none"/>
              </w:rPr>
            </m:ctrlPr>
          </m:e>
          <m:sub>
            <m:r>
              <m:rPr>
                <m:sty m:val="p"/>
              </m:rPr>
              <w:rPr>
                <w:rFonts w:ascii="Times New Roman" w:hAnsi="Times New Roman"/>
                <w:highlight w:val="none"/>
              </w:rPr>
              <m:t>100</m:t>
            </m:r>
            <m:ctrlPr>
              <w:rPr>
                <w:rFonts w:ascii="Cambria Math" w:hAnsi="Cambria Math"/>
                <w:highlight w:val="none"/>
              </w:rPr>
            </m:ctrlPr>
          </m:sub>
        </m:sSub>
        <m:r>
          <m:rPr>
            <m:sty m:val="p"/>
          </m:rPr>
          <w:rPr>
            <w:rFonts w:ascii="Times New Roman" w:hAnsi="Times New Roman"/>
            <w:highlight w:val="none"/>
          </w:rPr>
          <m:t>×44/28</m:t>
        </m:r>
      </m:oMath>
      <w:r>
        <w:rPr>
          <w:rFonts w:hint="eastAsia" w:ascii="微软雅黑" w:hAnsi="微软雅黑" w:eastAsia="微软雅黑" w:cs="微软雅黑"/>
          <w:highlight w:val="none"/>
          <w:lang w:val="en-US" w:eastAsia="zh-CN"/>
        </w:rPr>
        <w:tab/>
      </w:r>
      <w:r>
        <w:rPr>
          <w:rFonts w:hint="eastAsia"/>
          <w:highlight w:val="none"/>
          <w:lang w:val="en-US" w:eastAsia="zh-CN"/>
        </w:rPr>
        <w:t>(</w:t>
      </w:r>
      <w:r>
        <w:rPr>
          <w:rFonts w:hint="eastAsia"/>
          <w:highlight w:val="none"/>
          <w:lang w:val="en-US" w:eastAsia="zh-CN"/>
        </w:rPr>
        <w:fldChar w:fldCharType="begin"/>
      </w:r>
      <w:r>
        <w:rPr>
          <w:rFonts w:hint="eastAsia"/>
          <w:highlight w:val="none"/>
          <w:lang w:val="en-US" w:eastAsia="zh-CN"/>
        </w:rPr>
        <w:instrText xml:space="preserve"> SEQ 公式 \* ARABIC </w:instrText>
      </w:r>
      <w:r>
        <w:rPr>
          <w:rFonts w:hint="eastAsia"/>
          <w:highlight w:val="none"/>
          <w:lang w:val="en-US" w:eastAsia="zh-CN"/>
        </w:rPr>
        <w:fldChar w:fldCharType="separate"/>
      </w:r>
      <w:r>
        <w:rPr>
          <w:rFonts w:hint="eastAsia"/>
          <w:highlight w:val="none"/>
          <w:lang w:val="en-US" w:eastAsia="zh-CN"/>
        </w:rPr>
        <w:t>11</w:t>
      </w:r>
      <w:r>
        <w:rPr>
          <w:rFonts w:hint="eastAsia"/>
          <w:highlight w:val="none"/>
          <w:lang w:val="en-US" w:eastAsia="zh-CN"/>
        </w:rPr>
        <w:fldChar w:fldCharType="end"/>
      </w:r>
      <w:r>
        <w:rPr>
          <w:rFonts w:hint="eastAsia"/>
          <w:highlight w:val="none"/>
          <w:lang w:val="en-US" w:eastAsia="zh-CN"/>
        </w:rPr>
        <w:t>)</w:t>
      </w:r>
    </w:p>
    <w:p w14:paraId="335CCA8A">
      <w:pPr>
        <w:pStyle w:val="38"/>
        <w:bidi w:val="0"/>
        <w:rPr>
          <w:rFonts w:hint="eastAsia"/>
          <w:highlight w:val="none"/>
          <w:lang w:eastAsia="zh-CN"/>
        </w:rPr>
      </w:pPr>
      <w:r>
        <w:rPr>
          <w:rFonts w:hint="eastAsia"/>
          <w:highlight w:val="none"/>
          <w:lang w:eastAsia="zh-CN"/>
        </w:rPr>
        <w:t>式中：</w:t>
      </w:r>
    </w:p>
    <w:p w14:paraId="3CD0A4C5">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rPr>
              <m:t>CE</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vol/dep</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氮挥发沉降产生的 N₂O 排放量</w:t>
      </w:r>
      <w:r>
        <w:rPr>
          <w:rFonts w:hint="default"/>
          <w:highlight w:val="none"/>
          <w:lang w:eastAsia="zh-CN"/>
        </w:rPr>
        <w:t>（</w:t>
      </w:r>
      <w:r>
        <w:rPr>
          <w:rFonts w:hint="default"/>
          <w:highlight w:val="none"/>
        </w:rPr>
        <w:t>kg</w:t>
      </w:r>
      <w:r>
        <w:rPr>
          <w:rFonts w:hint="default"/>
          <w:highlight w:val="none"/>
          <w:lang w:val="en-US" w:eastAsia="zh-CN"/>
        </w:rPr>
        <w:t xml:space="preserve"> </w:t>
      </w:r>
      <w:r>
        <w:rPr>
          <w:rFonts w:hint="default"/>
          <w:highlight w:val="none"/>
        </w:rPr>
        <w:t>CO2e</w:t>
      </w:r>
      <w:r>
        <w:rPr>
          <w:rFonts w:hint="default"/>
          <w:highlight w:val="none"/>
          <w:lang w:eastAsia="zh-CN"/>
        </w:rPr>
        <w:t>）；</w:t>
      </w:r>
    </w:p>
    <w:p w14:paraId="7AA3812F">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rPr>
              <m:t>CE</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leach/run</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氮淋溶径流产生的 N₂O 排放量</w:t>
      </w:r>
      <w:r>
        <w:rPr>
          <w:rFonts w:hint="default"/>
          <w:highlight w:val="none"/>
          <w:lang w:eastAsia="zh-CN"/>
        </w:rPr>
        <w:t>（</w:t>
      </w:r>
      <w:r>
        <w:rPr>
          <w:rFonts w:hint="default"/>
          <w:highlight w:val="none"/>
        </w:rPr>
        <w:t>kg</w:t>
      </w:r>
      <w:r>
        <w:rPr>
          <w:rFonts w:hint="default"/>
          <w:highlight w:val="none"/>
          <w:lang w:val="en-US" w:eastAsia="zh-CN"/>
        </w:rPr>
        <w:t xml:space="preserve"> </w:t>
      </w:r>
      <w:r>
        <w:rPr>
          <w:rFonts w:hint="default"/>
          <w:highlight w:val="none"/>
        </w:rPr>
        <w:t>CO2e</w:t>
      </w:r>
      <w:r>
        <w:rPr>
          <w:rFonts w:hint="default"/>
          <w:highlight w:val="none"/>
          <w:lang w:eastAsia="zh-CN"/>
        </w:rPr>
        <w:t>），</w:t>
      </w:r>
      <w:r>
        <w:rPr>
          <w:rFonts w:hint="default"/>
          <w:highlight w:val="none"/>
          <w:lang w:val="en-US" w:eastAsia="zh-CN"/>
        </w:rPr>
        <w:t>食用菊花采用种植袋盆栽、并于袋底铺设地布隔断渗滤液下渗，氮素不产生淋溶径流损失，取0</w:t>
      </w:r>
      <w:r>
        <w:rPr>
          <w:rFonts w:hint="default"/>
          <w:highlight w:val="none"/>
          <w:lang w:eastAsia="zh-CN"/>
        </w:rPr>
        <w:t>；</w:t>
      </w:r>
    </w:p>
    <w:p w14:paraId="4FE79FD2">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Frac</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SN</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氮肥以 NH3 和 NOX 形式挥发的比例</w:t>
      </w:r>
      <w:r>
        <w:rPr>
          <w:rFonts w:hint="default"/>
          <w:highlight w:val="none"/>
        </w:rPr>
        <w:t>，</w:t>
      </w:r>
      <w:r>
        <w:rPr>
          <w:rFonts w:hint="default"/>
          <w:highlight w:val="none"/>
          <w:lang w:val="en-US" w:eastAsia="zh-CN"/>
        </w:rPr>
        <w:t>值取11%</w:t>
      </w:r>
      <w:r>
        <w:rPr>
          <w:rFonts w:hint="default"/>
          <w:highlight w:val="none"/>
          <w:lang w:eastAsia="zh-CN"/>
        </w:rPr>
        <w:t>；</w:t>
      </w:r>
    </w:p>
    <w:p w14:paraId="2C61FA68">
      <w:pPr>
        <w:pStyle w:val="38"/>
        <w:bidi w:val="0"/>
        <w:rPr>
          <w:rFonts w:hint="default"/>
          <w:highlight w:val="none"/>
          <w:lang w:val="en-US"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Frac</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ON</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有机肥以 NH3 和 NOX 形式挥发的比例，值取21%；</w:t>
      </w:r>
    </w:p>
    <w:p w14:paraId="2A70E47D">
      <w:pPr>
        <w:pStyle w:val="38"/>
        <w:bidi w:val="0"/>
        <w:rPr>
          <w:rFonts w:hint="default"/>
          <w:highlight w:val="none"/>
          <w:lang w:eastAsia="zh-CN"/>
        </w:rPr>
      </w:pPr>
      <m:oMath>
        <m:sSub>
          <m:sSubPr>
            <m:ctrlPr>
              <w:rPr>
                <w:rFonts w:hint="default" w:ascii="Cambria Math" w:hAnsi="Cambria Math"/>
                <w:highlight w:val="none"/>
              </w:rPr>
            </m:ctrlPr>
          </m:sSubPr>
          <m:e>
            <m:r>
              <m:rPr>
                <m:nor/>
                <m:sty m:val="p"/>
              </m:rPr>
              <w:rPr>
                <w:rFonts w:hint="default" w:ascii="Times New Roman" w:hAnsi="Times New Roman"/>
                <w:b w:val="0"/>
                <w:i w:val="0"/>
                <w:highlight w:val="none"/>
                <w:lang w:val="en-US" w:eastAsia="zh-CN"/>
              </w:rPr>
              <m:t>EF</m:t>
            </m:r>
            <m:ctrlPr>
              <w:rPr>
                <w:rFonts w:hint="default" w:ascii="Cambria Math" w:hAnsi="Cambria Math"/>
                <w:highlight w:val="none"/>
              </w:rPr>
            </m:ctrlPr>
          </m:e>
          <m:sub>
            <m:r>
              <m:rPr>
                <m:nor/>
                <m:sty m:val="p"/>
              </m:rPr>
              <w:rPr>
                <w:rFonts w:hint="default" w:ascii="Times New Roman" w:hAnsi="Times New Roman"/>
                <w:b w:val="0"/>
                <w:i w:val="0"/>
                <w:highlight w:val="none"/>
                <w:lang w:val="en-US" w:eastAsia="zh-CN"/>
              </w:rPr>
              <m:t>vol/dep</m:t>
            </m:r>
            <m:ctrlPr>
              <w:rPr>
                <w:rFonts w:hint="default" w:ascii="Cambria Math" w:hAnsi="Cambria Math"/>
                <w:highlight w:val="none"/>
              </w:rPr>
            </m:ctrlPr>
          </m:sub>
        </m:sSub>
      </m:oMath>
      <w:r>
        <w:rPr>
          <w:rFonts w:hint="default"/>
          <w:highlight w:val="none"/>
          <w:lang w:eastAsia="zh-CN"/>
        </w:rPr>
        <w:t>——</w:t>
      </w:r>
      <w:r>
        <w:rPr>
          <w:rFonts w:hint="default"/>
          <w:highlight w:val="none"/>
          <w:lang w:val="en-US" w:eastAsia="zh-CN"/>
        </w:rPr>
        <w:t>土壤和水面 N 大气沉积的 N2O 排放因子（kg N₂O-N/kg NH3-N+NOX-N）；</w:t>
      </w:r>
    </w:p>
    <w:p w14:paraId="06C2CC55">
      <w:pPr>
        <w:pStyle w:val="38"/>
        <w:bidi w:val="0"/>
        <w:rPr>
          <w:rFonts w:hint="eastAsia"/>
          <w:highlight w:val="none"/>
          <w:lang w:eastAsia="zh-CN"/>
        </w:rPr>
      </w:pPr>
      <w:r>
        <w:rPr>
          <w:rFonts w:hint="eastAsia"/>
          <w:highlight w:val="none"/>
          <w:lang w:val="en-US" w:eastAsia="zh-CN"/>
        </w:rPr>
        <w:t>残体</w:t>
      </w:r>
      <w:r>
        <w:rPr>
          <w:rFonts w:hint="eastAsia"/>
          <w:highlight w:val="none"/>
          <w:lang w:eastAsia="zh-CN"/>
        </w:rPr>
        <w:t>还田的氮量的计算公式如下：</w:t>
      </w:r>
    </w:p>
    <w:p w14:paraId="2206A567">
      <w:pPr>
        <w:pStyle w:val="115"/>
        <w:bidi w:val="0"/>
        <w:rPr>
          <w:rFonts w:hint="eastAsia"/>
          <w:highlight w:val="none"/>
          <w:lang w:eastAsia="zh-CN"/>
        </w:rPr>
      </w:pPr>
      <w:r>
        <w:rPr>
          <w:rFonts w:hint="eastAsia"/>
          <w:highlight w:val="none"/>
          <w:lang w:eastAsia="zh-CN"/>
        </w:rPr>
        <w:tab/>
      </w:r>
      <m:oMath>
        <m:sSub>
          <m:sSubPr>
            <m:ctrlPr>
              <w:rPr>
                <w:rFonts w:ascii="Cambria Math" w:hAnsi="Cambria Math"/>
                <w:highlight w:val="none"/>
              </w:rPr>
            </m:ctrlPr>
          </m:sSubPr>
          <m:e>
            <m:r>
              <m:rPr>
                <m:sty m:val="p"/>
              </m:rPr>
              <w:rPr>
                <w:rFonts w:hint="default" w:ascii="Times New Roman" w:hAnsi="Times New Roman"/>
                <w:highlight w:val="none"/>
                <w:lang w:val="en-US" w:eastAsia="zh-CN"/>
              </w:rPr>
              <m:t>F</m:t>
            </m:r>
            <m:ctrlPr>
              <w:rPr>
                <w:rFonts w:ascii="Cambria Math" w:hAnsi="Cambria Math"/>
                <w:highlight w:val="none"/>
              </w:rPr>
            </m:ctrlPr>
          </m:e>
          <m:sub>
            <m:r>
              <m:rPr>
                <m:sty m:val="p"/>
              </m:rPr>
              <w:rPr>
                <w:rFonts w:hint="default" w:ascii="Times New Roman" w:hAnsi="Times New Roman"/>
                <w:highlight w:val="none"/>
                <w:lang w:val="en-US" w:eastAsia="zh-CN"/>
              </w:rPr>
              <m:t>ST</m:t>
            </m:r>
            <m:ctrlPr>
              <w:rPr>
                <w:rFonts w:ascii="Cambria Math" w:hAnsi="Cambria Math"/>
                <w:highlight w:val="none"/>
              </w:rPr>
            </m:ctrlPr>
          </m:sub>
        </m:sSub>
        <m:r>
          <m:rPr>
            <m:sty m:val="p"/>
          </m:rPr>
          <w:rPr>
            <w:rFonts w:hint="default" w:ascii="Times New Roman" w:hAnsi="Times New Roman"/>
            <w:highlight w:val="none"/>
            <w:lang w:val="en-US" w:eastAsia="zh-CN"/>
          </w:rPr>
          <m:t>=(</m:t>
        </m:r>
        <m:f>
          <m:fPr>
            <m:ctrlPr>
              <w:rPr>
                <w:rFonts w:hint="default" w:ascii="Cambria Math" w:hAnsi="Cambria Math"/>
                <w:highlight w:val="none"/>
                <w:lang w:val="en-US" w:eastAsia="zh-CN"/>
              </w:rPr>
            </m:ctrlPr>
          </m:fPr>
          <m:num>
            <m:r>
              <m:rPr>
                <m:sty m:val="p"/>
              </m:rPr>
              <w:rPr>
                <w:rFonts w:hint="default" w:ascii="Times New Roman" w:hAnsi="Times New Roman"/>
                <w:highlight w:val="none"/>
                <w:lang w:val="en-US" w:eastAsia="zh-CN"/>
              </w:rPr>
              <m:t>Y</m:t>
            </m:r>
            <m:ctrlPr>
              <w:rPr>
                <w:rFonts w:hint="default" w:ascii="Cambria Math" w:hAnsi="Cambria Math"/>
                <w:highlight w:val="none"/>
                <w:lang w:val="en-US" w:eastAsia="zh-CN"/>
              </w:rPr>
            </m:ctrlPr>
          </m:num>
          <m:den>
            <m:r>
              <m:rPr>
                <m:sty m:val="p"/>
              </m:rPr>
              <w:rPr>
                <w:rFonts w:hint="default" w:ascii="Times New Roman" w:hAnsi="Times New Roman"/>
                <w:highlight w:val="none"/>
                <w:lang w:val="en-US" w:eastAsia="zh-CN"/>
              </w:rPr>
              <m:t>E</m:t>
            </m:r>
            <m:ctrlPr>
              <w:rPr>
                <w:rFonts w:hint="default" w:ascii="Cambria Math" w:hAnsi="Cambria Math"/>
                <w:highlight w:val="none"/>
                <w:lang w:val="en-US" w:eastAsia="zh-CN"/>
              </w:rPr>
            </m:ctrlPr>
          </m:den>
        </m:f>
        <m:r>
          <m:rPr>
            <m:sty m:val="p"/>
          </m:rPr>
          <w:rPr>
            <w:rFonts w:hint="default" w:ascii="Times New Roman" w:hAnsi="Times New Roman"/>
            <w:highlight w:val="none"/>
            <w:lang w:val="en-US" w:eastAsia="zh-CN"/>
          </w:rPr>
          <m:t>−Y)</m:t>
        </m:r>
        <m:r>
          <m:rPr>
            <m:sty m:val="p"/>
          </m:rPr>
          <w:rPr>
            <w:rFonts w:ascii="Times New Roman" w:hAnsi="Times New Roman"/>
            <w:highlight w:val="none"/>
            <w:lang w:val="en-US"/>
          </w:rPr>
          <m:t>×</m:t>
        </m:r>
        <m:r>
          <m:rPr>
            <m:sty m:val="p"/>
          </m:rPr>
          <w:rPr>
            <w:rFonts w:hint="default" w:ascii="Times New Roman" w:hAnsi="Times New Roman"/>
            <w:highlight w:val="none"/>
            <w:lang w:val="en-US" w:eastAsia="zh-CN"/>
          </w:rPr>
          <m:t>RN</m:t>
        </m:r>
        <m:r>
          <m:rPr>
            <m:sty m:val="p"/>
          </m:rPr>
          <w:rPr>
            <w:rFonts w:ascii="Times New Roman" w:hAnsi="Times New Roman"/>
            <w:highlight w:val="none"/>
            <w:lang w:val="en-US"/>
          </w:rPr>
          <m:t>×</m:t>
        </m:r>
        <m:r>
          <m:rPr>
            <m:sty m:val="p"/>
          </m:rPr>
          <w:rPr>
            <w:rFonts w:hint="default" w:ascii="Times New Roman" w:hAnsi="Times New Roman"/>
            <w:highlight w:val="none"/>
            <w:lang w:val="en-US" w:eastAsia="zh-CN"/>
          </w:rPr>
          <m:t>R+</m:t>
        </m:r>
        <m:f>
          <m:fPr>
            <m:ctrlPr>
              <w:rPr>
                <w:rFonts w:hint="default" w:ascii="Cambria Math" w:hAnsi="Cambria Math"/>
                <w:highlight w:val="none"/>
                <w:lang w:val="en-US" w:eastAsia="zh-CN"/>
              </w:rPr>
            </m:ctrlPr>
          </m:fPr>
          <m:num>
            <m:r>
              <m:rPr>
                <m:sty m:val="p"/>
              </m:rPr>
              <w:rPr>
                <w:rFonts w:hint="default" w:ascii="Times New Roman" w:hAnsi="Times New Roman"/>
                <w:highlight w:val="none"/>
                <w:lang w:val="en-US" w:eastAsia="zh-CN"/>
              </w:rPr>
              <m:t>Y</m:t>
            </m:r>
            <m:ctrlPr>
              <w:rPr>
                <w:rFonts w:hint="default" w:ascii="Cambria Math" w:hAnsi="Cambria Math"/>
                <w:highlight w:val="none"/>
                <w:lang w:val="en-US" w:eastAsia="zh-CN"/>
              </w:rPr>
            </m:ctrlPr>
          </m:num>
          <m:den>
            <m:r>
              <m:rPr>
                <m:sty m:val="p"/>
              </m:rPr>
              <w:rPr>
                <w:rFonts w:hint="default" w:ascii="Times New Roman" w:hAnsi="Times New Roman"/>
                <w:highlight w:val="none"/>
                <w:lang w:val="en-US" w:eastAsia="zh-CN"/>
              </w:rPr>
              <m:t>E</m:t>
            </m:r>
            <m:ctrlPr>
              <w:rPr>
                <w:rFonts w:hint="default" w:ascii="Cambria Math" w:hAnsi="Cambria Math"/>
                <w:highlight w:val="none"/>
                <w:lang w:val="en-US" w:eastAsia="zh-CN"/>
              </w:rPr>
            </m:ctrlPr>
          </m:den>
        </m:f>
        <m:r>
          <m:rPr>
            <m:sty m:val="p"/>
          </m:rPr>
          <w:rPr>
            <w:rFonts w:ascii="Times New Roman" w:hAnsi="Times New Roman"/>
            <w:highlight w:val="none"/>
            <w:lang w:val="en-US"/>
          </w:rPr>
          <m:t>×</m:t>
        </m:r>
        <m:r>
          <m:rPr>
            <m:sty m:val="p"/>
          </m:rPr>
          <w:rPr>
            <w:rFonts w:hint="default" w:ascii="Times New Roman" w:hAnsi="Times New Roman"/>
            <w:highlight w:val="none"/>
            <w:lang w:val="en-US" w:eastAsia="zh-CN"/>
          </w:rPr>
          <m:t>RS×RN</m:t>
        </m:r>
      </m:oMath>
      <w:r>
        <w:rPr>
          <w:rFonts w:hint="eastAsia" w:ascii="微软雅黑" w:hAnsi="微软雅黑" w:eastAsia="微软雅黑" w:cs="微软雅黑"/>
          <w:highlight w:val="none"/>
          <w:lang w:eastAsia="zh-CN"/>
        </w:rPr>
        <w:tab/>
      </w:r>
      <w:r>
        <w:rPr>
          <w:rFonts w:hint="eastAsia"/>
          <w:highlight w:val="none"/>
          <w:lang w:eastAsia="zh-CN"/>
        </w:rPr>
        <w:t>(</w:t>
      </w:r>
      <w:r>
        <w:rPr>
          <w:rFonts w:hint="eastAsia"/>
          <w:highlight w:val="none"/>
          <w:lang w:eastAsia="zh-CN"/>
        </w:rPr>
        <w:fldChar w:fldCharType="begin"/>
      </w:r>
      <w:r>
        <w:rPr>
          <w:rFonts w:hint="eastAsia"/>
          <w:highlight w:val="none"/>
          <w:lang w:eastAsia="zh-CN"/>
        </w:rPr>
        <w:instrText xml:space="preserve"> SEQ 公式 \* ARABIC </w:instrText>
      </w:r>
      <w:r>
        <w:rPr>
          <w:rFonts w:hint="eastAsia"/>
          <w:highlight w:val="none"/>
          <w:lang w:eastAsia="zh-CN"/>
        </w:rPr>
        <w:fldChar w:fldCharType="separate"/>
      </w:r>
      <w:r>
        <w:rPr>
          <w:rFonts w:hint="eastAsia"/>
          <w:highlight w:val="none"/>
          <w:lang w:eastAsia="zh-CN"/>
        </w:rPr>
        <w:t>12</w:t>
      </w:r>
      <w:r>
        <w:rPr>
          <w:rFonts w:hint="eastAsia"/>
          <w:highlight w:val="none"/>
          <w:lang w:eastAsia="zh-CN"/>
        </w:rPr>
        <w:fldChar w:fldCharType="end"/>
      </w:r>
      <w:r>
        <w:rPr>
          <w:rFonts w:hint="eastAsia"/>
          <w:highlight w:val="none"/>
          <w:lang w:eastAsia="zh-CN"/>
        </w:rPr>
        <w:t>)</w:t>
      </w:r>
    </w:p>
    <w:p w14:paraId="443D00CD">
      <w:pPr>
        <w:pStyle w:val="38"/>
        <w:bidi w:val="0"/>
        <w:rPr>
          <w:rFonts w:hint="eastAsia"/>
          <w:highlight w:val="none"/>
          <w:lang w:eastAsia="zh-CN"/>
        </w:rPr>
      </w:pPr>
      <w:r>
        <w:rPr>
          <w:rFonts w:hint="eastAsia"/>
          <w:highlight w:val="none"/>
          <w:lang w:eastAsia="zh-CN"/>
        </w:rPr>
        <w:t>式中：</w:t>
      </w:r>
    </w:p>
    <w:p w14:paraId="760293D1">
      <w:pPr>
        <w:pStyle w:val="38"/>
        <w:bidi w:val="0"/>
        <w:rPr>
          <w:rFonts w:hint="default"/>
          <w:lang w:val="en-US" w:eastAsia="zh-CN"/>
        </w:rPr>
      </w:pPr>
      <m:oMath>
        <m:r>
          <m:rPr>
            <m:nor/>
            <m:sty m:val="p"/>
          </m:rPr>
          <w:rPr>
            <w:rFonts w:hint="default" w:ascii="Times New Roman" w:hAnsi="Times New Roman"/>
            <w:b w:val="0"/>
            <w:i w:val="0"/>
            <w:lang w:val="en-US" w:eastAsia="zh-CN"/>
          </w:rPr>
          <m:t>Y</m:t>
        </m:r>
      </m:oMath>
      <w:r>
        <w:rPr>
          <w:rFonts w:hint="default"/>
          <w:lang w:eastAsia="zh-CN"/>
        </w:rPr>
        <w:t>——</w:t>
      </w:r>
      <w:r>
        <w:rPr>
          <w:rFonts w:hint="default"/>
          <w:lang w:val="en-US" w:eastAsia="zh-CN"/>
        </w:rPr>
        <w:t>食用菊花鲜花（花头）经济产量（kg）；</w:t>
      </w:r>
    </w:p>
    <w:p w14:paraId="34F62A81">
      <w:pPr>
        <w:pStyle w:val="38"/>
        <w:bidi w:val="0"/>
        <w:rPr>
          <w:rFonts w:hint="default"/>
          <w:lang w:val="en-US" w:eastAsia="zh-CN"/>
        </w:rPr>
      </w:pPr>
      <m:oMath>
        <m:r>
          <m:rPr>
            <m:nor/>
            <m:sty m:val="p"/>
          </m:rPr>
          <w:rPr>
            <w:rFonts w:hint="default" w:ascii="Times New Roman" w:hAnsi="Times New Roman"/>
            <w:b w:val="0"/>
            <w:i w:val="0"/>
            <w:lang w:val="en-US" w:eastAsia="zh-CN"/>
          </w:rPr>
          <m:t>E</m:t>
        </m:r>
      </m:oMath>
      <w:r>
        <w:rPr>
          <w:rFonts w:hint="default"/>
          <w:lang w:eastAsia="zh-CN"/>
        </w:rPr>
        <w:t>——</w:t>
      </w:r>
      <w:r>
        <w:rPr>
          <w:rFonts w:hint="default"/>
          <w:lang w:val="en-US" w:eastAsia="zh-CN"/>
        </w:rPr>
        <w:t>食用菊花的收获指数（%）；</w:t>
      </w:r>
    </w:p>
    <w:p w14:paraId="7F85E910">
      <w:pPr>
        <w:pStyle w:val="38"/>
        <w:bidi w:val="0"/>
        <w:rPr>
          <w:rFonts w:hint="default"/>
          <w:lang w:val="en-US" w:eastAsia="zh-CN"/>
        </w:rPr>
      </w:pPr>
      <m:oMath>
        <m:r>
          <m:rPr>
            <m:nor/>
            <m:sty m:val="p"/>
          </m:rPr>
          <w:rPr>
            <w:rFonts w:hint="default" w:ascii="Times New Roman" w:hAnsi="Times New Roman"/>
            <w:b w:val="0"/>
            <w:i w:val="0"/>
            <w:lang w:val="en-US" w:eastAsia="zh-CN"/>
          </w:rPr>
          <m:t>RN</m:t>
        </m:r>
      </m:oMath>
      <w:r>
        <w:rPr>
          <w:rFonts w:hint="default"/>
          <w:lang w:eastAsia="zh-CN"/>
        </w:rPr>
        <w:t>——</w:t>
      </w:r>
      <w:r>
        <w:rPr>
          <w:rFonts w:hint="default"/>
          <w:lang w:val="en-US" w:eastAsia="zh-CN"/>
        </w:rPr>
        <w:t>食用菊花残体</w:t>
      </w:r>
      <w:r>
        <w:rPr>
          <w:rFonts w:hint="default"/>
          <w:lang w:eastAsia="zh-CN"/>
        </w:rPr>
        <w:t>含氮量（</w:t>
      </w:r>
      <w:r>
        <w:rPr>
          <w:rFonts w:hint="default"/>
          <w:lang w:val="en-US" w:eastAsia="zh-CN"/>
        </w:rPr>
        <w:t>kg N/kg）；</w:t>
      </w:r>
    </w:p>
    <w:p w14:paraId="5978E4F3">
      <w:pPr>
        <w:pStyle w:val="38"/>
        <w:bidi w:val="0"/>
        <w:rPr>
          <w:rFonts w:hint="default"/>
          <w:lang w:eastAsia="zh-CN"/>
        </w:rPr>
      </w:pPr>
      <m:oMath>
        <m:r>
          <m:rPr>
            <m:nor/>
            <m:sty m:val="p"/>
          </m:rPr>
          <w:rPr>
            <w:rFonts w:hint="default" w:ascii="Times New Roman" w:hAnsi="Times New Roman"/>
            <w:b w:val="0"/>
            <w:i w:val="0"/>
            <w:lang w:val="en-US" w:eastAsia="zh-CN"/>
          </w:rPr>
          <m:t>R</m:t>
        </m:r>
      </m:oMath>
      <w:r>
        <w:rPr>
          <w:rFonts w:hint="default"/>
          <w:lang w:eastAsia="zh-CN"/>
        </w:rPr>
        <w:t>——</w:t>
      </w:r>
      <w:r>
        <w:rPr>
          <w:rFonts w:hint="default"/>
          <w:lang w:val="en-US" w:eastAsia="zh-CN"/>
        </w:rPr>
        <w:t>食用菊花残体</w:t>
      </w:r>
      <w:r>
        <w:rPr>
          <w:rFonts w:hint="default"/>
          <w:lang w:eastAsia="zh-CN"/>
        </w:rPr>
        <w:t>还田量比例（</w:t>
      </w:r>
      <w:r>
        <w:rPr>
          <w:rFonts w:hint="default"/>
          <w:lang w:val="en-US" w:eastAsia="zh-CN"/>
        </w:rPr>
        <w:t>%</w:t>
      </w:r>
      <w:r>
        <w:rPr>
          <w:rFonts w:hint="default"/>
          <w:lang w:eastAsia="zh-CN"/>
        </w:rPr>
        <w:t>）；</w:t>
      </w:r>
    </w:p>
    <w:p w14:paraId="696E7682">
      <w:pPr>
        <w:pStyle w:val="38"/>
        <w:bidi w:val="0"/>
        <w:rPr>
          <w:rFonts w:hint="default"/>
          <w:lang w:eastAsia="zh-CN"/>
        </w:rPr>
      </w:pPr>
      <m:oMath>
        <m:r>
          <m:rPr>
            <m:nor/>
            <m:sty m:val="p"/>
          </m:rPr>
          <w:rPr>
            <w:rFonts w:hint="default" w:ascii="Times New Roman" w:hAnsi="Times New Roman"/>
            <w:b w:val="0"/>
            <w:i w:val="0"/>
            <w:lang w:val="en-US" w:eastAsia="zh-CN"/>
          </w:rPr>
          <m:t>RS</m:t>
        </m:r>
      </m:oMath>
      <w:r>
        <w:rPr>
          <w:rFonts w:hint="default"/>
          <w:lang w:eastAsia="zh-CN"/>
        </w:rPr>
        <w:t>——</w:t>
      </w:r>
      <w:r>
        <w:rPr>
          <w:rFonts w:hint="default"/>
          <w:lang w:val="en-US" w:eastAsia="zh-CN"/>
        </w:rPr>
        <w:t>食用菊花的根冠比，无量纲</w:t>
      </w:r>
      <w:r>
        <w:rPr>
          <w:rFonts w:hint="default"/>
          <w:lang w:eastAsia="zh-CN"/>
        </w:rPr>
        <w:t>。</w:t>
      </w:r>
    </w:p>
    <w:p w14:paraId="7E4A9CA7">
      <w:pPr>
        <w:pStyle w:val="181"/>
        <w:bidi w:val="0"/>
        <w:rPr>
          <w:rFonts w:hint="default"/>
          <w:lang w:eastAsia="zh-CN"/>
        </w:rPr>
      </w:pPr>
      <w:r>
        <w:rPr>
          <w:rFonts w:hint="eastAsia"/>
          <w:lang w:eastAsia="zh-CN"/>
        </w:rPr>
        <w:t>收获指数、残体含氮量与根冠比宜按同一干湿基准取值，并在核算报告中说明取值基准；缺省值可参照T/CGFA 012—2025中相近作物的取值，并说明技术代表性。</w:t>
      </w:r>
    </w:p>
    <w:p w14:paraId="23CB341E">
      <w:pPr>
        <w:pStyle w:val="39"/>
        <w:bidi w:val="0"/>
        <w:rPr>
          <w:rFonts w:hint="eastAsia"/>
          <w:lang w:eastAsia="zh-CN"/>
        </w:rPr>
      </w:pPr>
      <w:r>
        <w:rPr>
          <w:rFonts w:hint="eastAsia"/>
          <w:lang w:val="en-US" w:eastAsia="zh-CN"/>
        </w:rPr>
        <w:t>生产作业耗能产生的</w:t>
      </w:r>
      <w:r>
        <w:rPr>
          <w:rFonts w:hint="eastAsia"/>
        </w:rPr>
        <w:t xml:space="preserve"> GHG 排放量</w:t>
      </w:r>
    </w:p>
    <w:p w14:paraId="6FD5072D">
      <w:pPr>
        <w:pStyle w:val="38"/>
        <w:rPr>
          <w:rFonts w:hint="eastAsia"/>
          <w:lang w:eastAsia="zh-CN"/>
        </w:rPr>
      </w:pPr>
      <w:r>
        <w:rPr>
          <w:rFonts w:hint="eastAsia"/>
          <w:lang w:eastAsia="zh-CN"/>
        </w:rPr>
        <w:t>食用菊花种植阶段的农机设备、灌溉设备、补光设备、水帘降温设备及保鲜库等各类设备耗能排放按“耗电量×区域电网排放因子”加“化石燃料消耗量×对应排放因子”计算。计算公式如下：</w:t>
      </w:r>
    </w:p>
    <w:p w14:paraId="3DF00979">
      <w:pPr>
        <w:pStyle w:val="115"/>
        <w:bidi w:val="0"/>
        <w:rPr>
          <w:rFonts w:hint="eastAsia"/>
          <w:lang w:eastAsia="zh-CN"/>
        </w:rPr>
      </w:pPr>
      <w:r>
        <w:rPr>
          <w:rFonts w:hint="eastAsia"/>
          <w:lang w:eastAsia="zh-CN"/>
        </w:rPr>
        <w:tab/>
      </w:r>
      <m:oMath>
        <m:sSub>
          <m:sSubPr>
            <m:ctrlPr>
              <w:rPr>
                <w:rFonts w:hint="default" w:ascii="Cambria Math" w:hAnsi="Cambria Math"/>
                <w:lang w:val="en-US" w:eastAsia="zh-CN"/>
              </w:rPr>
            </m:ctrlPr>
          </m:sSubPr>
          <m:e>
            <m:r>
              <m:rPr>
                <m:sty m:val="p"/>
              </m:rPr>
              <w:rPr>
                <w:rFonts w:hint="default" w:ascii="Times New Roman" w:hAnsi="Times New Roman"/>
                <w:lang w:val="en-US" w:eastAsia="zh-CN"/>
              </w:rPr>
              <m:t>CE</m:t>
            </m:r>
            <m:ctrlPr>
              <w:rPr>
                <w:rFonts w:hint="default" w:ascii="Cambria Math" w:hAnsi="Cambria Math"/>
                <w:lang w:val="en-US" w:eastAsia="zh-CN"/>
              </w:rPr>
            </m:ctrlPr>
          </m:e>
          <m:sub>
            <m:r>
              <m:rPr>
                <m:sty m:val="p"/>
              </m:rPr>
              <w:rPr>
                <w:rFonts w:hint="eastAsia" w:ascii="Times New Roman" w:hAnsi="Times New Roman"/>
                <w:lang w:val="en-US" w:eastAsia="zh-CN"/>
              </w:rPr>
              <m:t>energy</m:t>
            </m:r>
            <m:ctrlPr>
              <w:rPr>
                <w:rFonts w:hint="default" w:ascii="Cambria Math" w:hAnsi="Cambria Math"/>
                <w:lang w:val="en-US" w:eastAsia="zh-CN"/>
              </w:rPr>
            </m:ctrlPr>
          </m:sub>
        </m:sSub>
        <m:r>
          <m:rPr>
            <m:sty m:val="p"/>
          </m:rPr>
          <w:rPr>
            <w:rFonts w:hint="default" w:ascii="Times New Roman" w:hAnsi="Times New Roman"/>
            <w:lang w:val="en-US" w:eastAsia="zh-CN"/>
          </w:rPr>
          <m:t>=</m:t>
        </m:r>
        <m:nary>
          <m:naryPr>
            <m:chr m:val="∑"/>
            <m:limLoc m:val="undOvr"/>
            <m:subHide m:val="1"/>
            <m:supHide m:val="1"/>
            <m:ctrlPr>
              <w:rPr>
                <w:rFonts w:hint="default" w:ascii="Cambria Math" w:hAnsi="Cambria Math"/>
                <w:lang w:val="en-US" w:eastAsia="zh-CN"/>
              </w:rPr>
            </m:ctrlPr>
          </m:naryPr>
          <m:sub>
            <m:ctrlPr>
              <w:rPr>
                <w:rFonts w:hint="default" w:ascii="Cambria Math" w:hAnsi="Cambria Math"/>
                <w:lang w:val="en-US" w:eastAsia="zh-CN"/>
              </w:rPr>
            </m:ctrlPr>
          </m:sub>
          <m:sup>
            <m:ctrlPr>
              <w:rPr>
                <w:rFonts w:hint="default" w:ascii="Cambria Math" w:hAnsi="Cambria Math"/>
                <w:lang w:val="en-US" w:eastAsia="zh-CN"/>
              </w:rPr>
            </m:ctrlPr>
          </m:sup>
          <m:e>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E</m:t>
                </m:r>
                <m:ctrlPr>
                  <w:rPr>
                    <w:rFonts w:hint="default" w:ascii="Cambria Math" w:hAnsi="Cambria Math"/>
                    <w:lang w:val="en-US" w:eastAsia="zh-CN"/>
                  </w:rPr>
                </m:ctrlPr>
              </m:e>
              <m:sub>
                <m:r>
                  <m:rPr>
                    <m:sty m:val="p"/>
                  </m:rPr>
                  <w:rPr>
                    <w:rFonts w:hint="default" w:ascii="Times New Roman" w:hAnsi="Times New Roman"/>
                  </w:rPr>
                  <m:t>electricity</m:t>
                </m:r>
                <m:ctrlPr>
                  <w:rPr>
                    <w:rFonts w:hint="default" w:ascii="Cambria Math" w:hAnsi="Cambria Math"/>
                    <w:lang w:val="en-US" w:eastAsia="zh-CN"/>
                  </w:rPr>
                </m:ctrlPr>
              </m:sub>
            </m:sSub>
            <m:r>
              <m:rPr>
                <m:sty m:val="p"/>
              </m:rPr>
              <w:rPr>
                <w:rFonts w:ascii="Times New Roman" w:hAnsi="Times New Roman"/>
                <w:lang w:val="en-US"/>
              </w:rPr>
              <m:t>×</m:t>
            </m:r>
            <m:sSub>
              <m:sSubPr>
                <m:ctrlPr>
                  <w:rPr>
                    <w:rFonts w:ascii="Cambria Math" w:hAnsi="Cambria Math"/>
                    <w:lang w:val="en-US"/>
                  </w:rPr>
                </m:ctrlPr>
              </m:sSubPr>
              <m:e>
                <m:r>
                  <m:rPr>
                    <m:sty m:val="p"/>
                  </m:rPr>
                  <w:rPr>
                    <w:rFonts w:hint="default" w:ascii="Times New Roman" w:hAnsi="Times New Roman"/>
                    <w:lang w:val="en-US" w:eastAsia="zh-CN"/>
                  </w:rPr>
                  <m:t>EF</m:t>
                </m:r>
                <m:ctrlPr>
                  <w:rPr>
                    <w:rFonts w:ascii="Cambria Math" w:hAnsi="Cambria Math"/>
                    <w:lang w:val="en-US"/>
                  </w:rPr>
                </m:ctrlPr>
              </m:e>
              <m:sub>
                <m:r>
                  <m:rPr>
                    <m:sty m:val="p"/>
                  </m:rPr>
                  <w:rPr>
                    <w:rFonts w:hint="default" w:ascii="Times New Roman" w:hAnsi="Times New Roman"/>
                  </w:rPr>
                  <m:t>electricity</m:t>
                </m:r>
                <m:ctrlPr>
                  <w:rPr>
                    <w:rFonts w:ascii="Cambria Math" w:hAnsi="Cambria Math"/>
                    <w:lang w:val="en-US"/>
                  </w:rPr>
                </m:ctrlPr>
              </m:sub>
            </m:sSub>
            <m:r>
              <m:rPr>
                <m:sty m:val="p"/>
              </m:rPr>
              <w:rPr>
                <w:rFonts w:hint="default" w:ascii="Times New Roman" w:hAnsi="Times New Roman"/>
                <w:lang w:val="en-US" w:eastAsia="zh-CN"/>
              </w:rPr>
              <m:t>)+</m:t>
            </m:r>
            <m:nary>
              <m:naryPr>
                <m:chr m:val="∑"/>
                <m:limLoc m:val="undOvr"/>
                <m:subHide m:val="1"/>
                <m:supHide m:val="1"/>
                <m:ctrlPr>
                  <w:rPr>
                    <w:rFonts w:hint="default" w:ascii="Cambria Math" w:hAnsi="Cambria Math"/>
                    <w:lang w:val="en-US" w:eastAsia="zh-CN"/>
                  </w:rPr>
                </m:ctrlPr>
              </m:naryPr>
              <m:sub>
                <m:ctrlPr>
                  <w:rPr>
                    <w:rFonts w:hint="default" w:ascii="Cambria Math" w:hAnsi="Cambria Math"/>
                    <w:lang w:val="en-US" w:eastAsia="zh-CN"/>
                  </w:rPr>
                </m:ctrlPr>
              </m:sub>
              <m:sup>
                <m:ctrlPr>
                  <w:rPr>
                    <w:rFonts w:hint="default" w:ascii="Cambria Math" w:hAnsi="Cambria Math"/>
                    <w:lang w:val="en-US" w:eastAsia="zh-CN"/>
                  </w:rPr>
                </m:ctrlPr>
              </m:sup>
              <m:e>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F</m:t>
                    </m:r>
                    <m:ctrlPr>
                      <w:rPr>
                        <w:rFonts w:hint="default" w:ascii="Cambria Math" w:hAnsi="Cambria Math"/>
                        <w:lang w:val="en-US" w:eastAsia="zh-CN"/>
                      </w:rPr>
                    </m:ctrlPr>
                  </m:e>
                  <m:sub>
                    <m:r>
                      <m:rPr>
                        <m:sty m:val="p"/>
                      </m:rPr>
                      <w:rPr>
                        <w:rFonts w:hint="default" w:ascii="Times New Roman" w:hAnsi="Times New Roman"/>
                        <w:lang w:val="en-US" w:eastAsia="zh-CN"/>
                      </w:rPr>
                      <m:t>fuel</m:t>
                    </m:r>
                    <m:ctrlPr>
                      <w:rPr>
                        <w:rFonts w:hint="default" w:ascii="Cambria Math" w:hAnsi="Cambria Math"/>
                        <w:lang w:val="en-US" w:eastAsia="zh-CN"/>
                      </w:rPr>
                    </m:ctrlPr>
                  </m:sub>
                </m:sSub>
                <m:r>
                  <m:rPr>
                    <m:sty m:val="p"/>
                  </m:rPr>
                  <w:rPr>
                    <w:rFonts w:ascii="Times New Roman" w:hAnsi="Times New Roman"/>
                    <w:lang w:val="en-US"/>
                  </w:rPr>
                  <m:t>×</m:t>
                </m:r>
                <m:sSub>
                  <m:sSubPr>
                    <m:ctrlPr>
                      <w:rPr>
                        <w:rFonts w:ascii="Cambria Math" w:hAnsi="Cambria Math"/>
                        <w:lang w:val="en-US"/>
                      </w:rPr>
                    </m:ctrlPr>
                  </m:sSubPr>
                  <m:e>
                    <m:r>
                      <m:rPr>
                        <m:sty m:val="p"/>
                      </m:rPr>
                      <w:rPr>
                        <w:rFonts w:hint="default" w:ascii="Times New Roman" w:hAnsi="Times New Roman"/>
                        <w:lang w:val="en-US" w:eastAsia="zh-CN"/>
                      </w:rPr>
                      <m:t>EF</m:t>
                    </m:r>
                    <m:ctrlPr>
                      <w:rPr>
                        <w:rFonts w:ascii="Cambria Math" w:hAnsi="Cambria Math"/>
                        <w:lang w:val="en-US"/>
                      </w:rPr>
                    </m:ctrlPr>
                  </m:e>
                  <m:sub>
                    <m:r>
                      <m:rPr>
                        <m:sty m:val="p"/>
                      </m:rPr>
                      <w:rPr>
                        <w:rFonts w:hint="default" w:ascii="Times New Roman" w:hAnsi="Times New Roman"/>
                        <w:lang w:val="en-US" w:eastAsia="zh-CN"/>
                      </w:rPr>
                      <m:t>fuel</m:t>
                    </m:r>
                    <m:ctrlPr>
                      <w:rPr>
                        <w:rFonts w:ascii="Cambria Math" w:hAnsi="Cambria Math"/>
                        <w:lang w:val="en-US"/>
                      </w:rPr>
                    </m:ctrlPr>
                  </m:sub>
                </m:sSub>
                <m:r>
                  <m:rPr>
                    <m:sty m:val="p"/>
                  </m:rPr>
                  <w:rPr>
                    <w:rFonts w:hint="default" w:ascii="Times New Roman" w:hAnsi="Times New Roman"/>
                    <w:lang w:val="en-US" w:eastAsia="zh-CN"/>
                  </w:rPr>
                  <m:t>)</m:t>
                </m:r>
                <m:ctrlPr>
                  <w:rPr>
                    <w:rFonts w:hint="default" w:ascii="Cambria Math" w:hAnsi="Cambria Math"/>
                    <w:lang w:val="en-US" w:eastAsia="zh-CN"/>
                  </w:rPr>
                </m:ctrlPr>
              </m:e>
            </m:nary>
            <m:ctrlPr>
              <w:rPr>
                <w:rFonts w:hint="default" w:ascii="Cambria Math" w:hAnsi="Cambria Math"/>
                <w:lang w:val="en-US" w:eastAsia="zh-CN"/>
              </w:rPr>
            </m:ctrlPr>
          </m:e>
        </m:nary>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13</w:t>
      </w:r>
      <w:r>
        <w:rPr>
          <w:rFonts w:hint="eastAsia"/>
          <w:lang w:eastAsia="zh-CN"/>
        </w:rPr>
        <w:fldChar w:fldCharType="end"/>
      </w:r>
      <w:r>
        <w:rPr>
          <w:rFonts w:hint="eastAsia"/>
          <w:lang w:eastAsia="zh-CN"/>
        </w:rPr>
        <w:t>)</w:t>
      </w:r>
    </w:p>
    <w:p w14:paraId="53943331">
      <w:pPr>
        <w:pStyle w:val="38"/>
        <w:bidi w:val="0"/>
        <w:rPr>
          <w:rFonts w:hint="eastAsia"/>
          <w:lang w:eastAsia="zh-CN"/>
        </w:rPr>
      </w:pPr>
      <w:r>
        <w:rPr>
          <w:rFonts w:hint="eastAsia"/>
          <w:lang w:eastAsia="zh-CN"/>
        </w:rPr>
        <w:t>式中：</w:t>
      </w:r>
    </w:p>
    <w:p w14:paraId="707C05EA">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b w:val="0"/>
                <w:i w:val="0"/>
                <w:lang w:val="en-US" w:eastAsia="zh-CN"/>
              </w:rPr>
              <m:t>E</m:t>
            </m:r>
            <m:ctrlPr>
              <w:rPr>
                <w:rFonts w:hint="default" w:ascii="Cambria Math" w:hAnsi="Cambria Math"/>
              </w:rPr>
            </m:ctrlPr>
          </m:e>
          <m:sub>
            <m:r>
              <m:rPr>
                <m:nor/>
                <m:sty m:val="p"/>
              </m:rPr>
              <w:rPr>
                <w:rFonts w:hint="default" w:ascii="Times New Roman" w:hAnsi="Times New Roman"/>
                <w:b w:val="0"/>
                <w:i w:val="0"/>
                <w:lang w:val="en-US" w:eastAsia="zh-CN"/>
              </w:rPr>
              <m:t>electricity</m:t>
            </m:r>
            <m:ctrlPr>
              <w:rPr>
                <w:rFonts w:hint="default" w:ascii="Cambria Math" w:hAnsi="Cambria Math"/>
                <w:lang w:val="en-US" w:eastAsia="zh-CN"/>
              </w:rPr>
            </m:ctrlPr>
          </m:sub>
        </m:sSub>
      </m:oMath>
      <w:r>
        <w:rPr>
          <w:rFonts w:hint="default"/>
          <w:lang w:eastAsia="zh-CN"/>
        </w:rPr>
        <w:t>——</w:t>
      </w:r>
      <w:r>
        <w:rPr>
          <w:rFonts w:hint="default"/>
          <w:lang w:val="en-US" w:eastAsia="zh-CN"/>
        </w:rPr>
        <w:t>各类生产作业耗电量（kWh），含育苗期和营养生长期的补光与灌溉、花芽分化期和开花期的灌溉与遮光调控、水帘降温，采摘后的保鲜库预冷与周转储存等作业用电，宜分项计量后汇总</w:t>
      </w:r>
      <w:r>
        <w:rPr>
          <w:rFonts w:hint="default"/>
          <w:lang w:eastAsia="zh-CN"/>
        </w:rPr>
        <w:t>；</w:t>
      </w:r>
    </w:p>
    <w:p w14:paraId="3EA8DB04">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b w:val="0"/>
                <w:i w:val="0"/>
                <w:lang w:val="en-US" w:eastAsia="zh-CN"/>
              </w:rPr>
              <m:t>EF</m:t>
            </m:r>
            <m:ctrlPr>
              <w:rPr>
                <w:rFonts w:hint="default" w:ascii="Cambria Math" w:hAnsi="Cambria Math"/>
              </w:rPr>
            </m:ctrlPr>
          </m:e>
          <m:sub>
            <m:r>
              <m:rPr>
                <m:nor/>
                <m:sty m:val="p"/>
              </m:rPr>
              <w:rPr>
                <w:rFonts w:hint="default" w:ascii="Times New Roman" w:hAnsi="Times New Roman"/>
                <w:b w:val="0"/>
                <w:i w:val="0"/>
                <w:lang w:val="en-US" w:eastAsia="zh-CN"/>
              </w:rPr>
              <m:t>electricity</m:t>
            </m:r>
            <m:ctrlPr>
              <w:rPr>
                <w:rFonts w:hint="default" w:ascii="Cambria Math" w:hAnsi="Cambria Math"/>
              </w:rPr>
            </m:ctrlPr>
          </m:sub>
        </m:sSub>
      </m:oMath>
      <w:r>
        <w:rPr>
          <w:rFonts w:hint="default"/>
          <w:lang w:eastAsia="zh-CN"/>
        </w:rPr>
        <w:t>——</w:t>
      </w:r>
      <w:r>
        <w:rPr>
          <w:rFonts w:hint="default"/>
          <w:lang w:val="en-US" w:eastAsia="zh-CN"/>
        </w:rPr>
        <w:t>区域电网排放因子（kg CO₂e/kW·h），广东省取值为0.4403</w:t>
      </w:r>
      <w:r>
        <w:rPr>
          <w:rFonts w:hint="default"/>
          <w:lang w:eastAsia="zh-CN"/>
        </w:rPr>
        <w:t>；</w:t>
      </w:r>
    </w:p>
    <w:p w14:paraId="006F4D44">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b w:val="0"/>
                <w:i w:val="0"/>
                <w:lang w:val="en-US" w:eastAsia="zh-CN"/>
              </w:rPr>
              <m:t>F</m:t>
            </m:r>
            <m:ctrlPr>
              <w:rPr>
                <w:rFonts w:hint="default" w:ascii="Cambria Math" w:hAnsi="Cambria Math"/>
              </w:rPr>
            </m:ctrlPr>
          </m:e>
          <m:sub>
            <m:r>
              <m:rPr>
                <m:nor/>
                <m:sty m:val="p"/>
              </m:rPr>
              <w:rPr>
                <w:rFonts w:hint="default" w:ascii="Times New Roman" w:hAnsi="Times New Roman"/>
                <w:b w:val="0"/>
                <w:i w:val="0"/>
                <w:lang w:val="en-US" w:eastAsia="zh-CN"/>
              </w:rPr>
              <m:t>fuel</m:t>
            </m:r>
            <m:ctrlPr>
              <w:rPr>
                <w:rFonts w:hint="default" w:ascii="Cambria Math" w:hAnsi="Cambria Math"/>
                <w:lang w:val="en-US" w:eastAsia="zh-CN"/>
              </w:rPr>
            </m:ctrlPr>
          </m:sub>
        </m:sSub>
      </m:oMath>
      <w:r>
        <w:rPr>
          <w:rFonts w:hint="default"/>
          <w:lang w:eastAsia="zh-CN"/>
        </w:rPr>
        <w:t>——</w:t>
      </w:r>
      <w:r>
        <w:rPr>
          <w:rFonts w:hint="default"/>
          <w:lang w:val="en-US" w:eastAsia="zh-CN"/>
        </w:rPr>
        <w:t>各类用化石燃料设备的消耗量（kg或m³）</w:t>
      </w:r>
      <w:r>
        <w:rPr>
          <w:rFonts w:hint="default"/>
          <w:lang w:eastAsia="zh-CN"/>
        </w:rPr>
        <w:t>；</w:t>
      </w:r>
    </w:p>
    <w:p w14:paraId="706DEFFA">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b w:val="0"/>
                <w:i w:val="0"/>
                <w:lang w:val="en-US" w:eastAsia="zh-CN"/>
              </w:rPr>
              <m:t>EF</m:t>
            </m:r>
            <m:ctrlPr>
              <w:rPr>
                <w:rFonts w:hint="default" w:ascii="Cambria Math" w:hAnsi="Cambria Math"/>
              </w:rPr>
            </m:ctrlPr>
          </m:e>
          <m:sub>
            <m:r>
              <m:rPr>
                <m:nor/>
                <m:sty m:val="p"/>
              </m:rPr>
              <w:rPr>
                <w:rFonts w:hint="default" w:ascii="Times New Roman" w:hAnsi="Times New Roman"/>
                <w:b w:val="0"/>
                <w:i w:val="0"/>
                <w:lang w:val="en-US" w:eastAsia="zh-CN"/>
              </w:rPr>
              <m:t>fuel</m:t>
            </m:r>
            <m:ctrlPr>
              <w:rPr>
                <w:rFonts w:hint="default" w:ascii="Cambria Math" w:hAnsi="Cambria Math"/>
              </w:rPr>
            </m:ctrlPr>
          </m:sub>
        </m:sSub>
      </m:oMath>
      <w:r>
        <w:rPr>
          <w:rFonts w:hint="default"/>
          <w:lang w:eastAsia="zh-CN"/>
        </w:rPr>
        <w:t>——</w:t>
      </w:r>
      <w:r>
        <w:rPr>
          <w:rFonts w:hint="default"/>
          <w:lang w:val="en-US" w:eastAsia="zh-CN"/>
        </w:rPr>
        <w:t>化石燃料排放因子（kg CO₂e/kg或m³），见附录 B</w:t>
      </w:r>
      <w:r>
        <w:rPr>
          <w:rFonts w:hint="default"/>
          <w:lang w:eastAsia="zh-CN"/>
        </w:rPr>
        <w:t>；</w:t>
      </w:r>
    </w:p>
    <w:p w14:paraId="47679DD3">
      <w:pPr>
        <w:pStyle w:val="38"/>
        <w:bidi w:val="0"/>
        <w:rPr>
          <w:rFonts w:hint="eastAsia"/>
          <w:lang w:eastAsia="zh-CN"/>
        </w:rPr>
      </w:pPr>
      <w:r>
        <w:rPr>
          <w:rFonts w:hint="eastAsia"/>
          <w:lang w:eastAsia="zh-CN"/>
        </w:rPr>
        <w:t>补光是食用菊花的特征性排放源，不具备独立电表计量条件时，其耗电可按公式（</w:t>
      </w:r>
      <w:r>
        <w:rPr>
          <w:rFonts w:hint="eastAsia"/>
          <w:lang w:val="en-US" w:eastAsia="zh-CN"/>
        </w:rPr>
        <w:t>10</w:t>
      </w:r>
      <w:r>
        <w:rPr>
          <w:rFonts w:hint="eastAsia"/>
          <w:lang w:eastAsia="zh-CN"/>
        </w:rPr>
        <w:t>）估算；</w:t>
      </w:r>
      <w:r>
        <w:rPr>
          <w:rFonts w:hint="eastAsia"/>
          <w:lang w:val="en-US" w:eastAsia="zh-CN"/>
        </w:rPr>
        <w:t>其他环节缺少计量数据也可参考公式（10）进行估算。具体公式如下</w:t>
      </w:r>
      <w:r>
        <w:rPr>
          <w:rFonts w:hint="eastAsia"/>
          <w:lang w:eastAsia="zh-CN"/>
        </w:rPr>
        <w:t>：</w:t>
      </w:r>
    </w:p>
    <w:p w14:paraId="042B858B">
      <w:pPr>
        <w:pStyle w:val="115"/>
        <w:bidi w:val="0"/>
        <w:rPr>
          <w:rFonts w:hint="eastAsia"/>
          <w:lang w:eastAsia="zh-CN"/>
        </w:rPr>
      </w:pPr>
      <w:r>
        <w:rPr>
          <w:rFonts w:hint="eastAsia"/>
          <w:lang w:eastAsia="zh-CN"/>
        </w:rPr>
        <w:tab/>
      </w:r>
      <m:oMath>
        <m:sSub>
          <m:sSubPr>
            <m:ctrlPr>
              <w:rPr>
                <w:rFonts w:hint="eastAsia" w:ascii="Cambria Math" w:hAnsi="Cambria Math"/>
                <w:lang w:val="en-US" w:eastAsia="zh-CN"/>
              </w:rPr>
            </m:ctrlPr>
          </m:sSubPr>
          <m:e>
            <m:r>
              <m:rPr>
                <m:sty m:val="p"/>
              </m:rPr>
              <w:rPr>
                <w:rFonts w:hint="default" w:ascii="Times New Roman" w:hAnsi="Times New Roman"/>
              </w:rPr>
              <m:t>CE</m:t>
            </m:r>
            <m:ctrlPr>
              <w:rPr>
                <w:rFonts w:hint="eastAsia" w:ascii="Cambria Math" w:hAnsi="Cambria Math"/>
                <w:lang w:val="en-US" w:eastAsia="zh-CN"/>
              </w:rPr>
            </m:ctrlPr>
          </m:e>
          <m:sub>
            <m:r>
              <m:rPr>
                <m:sty m:val="p"/>
              </m:rPr>
              <w:rPr>
                <w:rFonts w:hint="default" w:ascii="Times New Roman" w:hAnsi="Times New Roman"/>
              </w:rPr>
              <m:t>light</m:t>
            </m:r>
            <m:ctrlPr>
              <w:rPr>
                <w:rFonts w:hint="eastAsia" w:ascii="Cambria Math" w:hAnsi="Cambria Math"/>
                <w:lang w:val="en-US" w:eastAsia="zh-CN"/>
              </w:rPr>
            </m:ctrlPr>
          </m:sub>
        </m:sSub>
        <m:r>
          <m:rPr>
            <m:sty m:val="p"/>
          </m:rPr>
          <w:rPr>
            <w:rFonts w:hint="default" w:ascii="Times New Roman" w:hAnsi="Times New Roman"/>
          </w:rPr>
          <m:t>=P×h×d×N/1000×</m:t>
        </m:r>
        <m:sSub>
          <m:sSubPr>
            <m:ctrlPr>
              <w:rPr>
                <w:rFonts w:hint="eastAsia" w:ascii="Cambria Math" w:hAnsi="Cambria Math"/>
                <w:lang w:val="en-US" w:eastAsia="zh-CN"/>
              </w:rPr>
            </m:ctrlPr>
          </m:sSubPr>
          <m:e>
            <m:r>
              <m:rPr>
                <m:sty m:val="p"/>
              </m:rPr>
              <w:rPr>
                <w:rFonts w:hint="default" w:ascii="Times New Roman" w:hAnsi="Times New Roman"/>
              </w:rPr>
              <m:t>EF</m:t>
            </m:r>
            <m:ctrlPr>
              <w:rPr>
                <w:rFonts w:hint="eastAsia" w:ascii="Cambria Math" w:hAnsi="Cambria Math"/>
                <w:lang w:val="en-US" w:eastAsia="zh-CN"/>
              </w:rPr>
            </m:ctrlPr>
          </m:e>
          <m:sub>
            <m:r>
              <m:rPr>
                <m:sty m:val="p"/>
              </m:rPr>
              <w:rPr>
                <w:rFonts w:hint="eastAsia" w:ascii="Times New Roman" w:hAnsi="Times New Roman"/>
                <w:lang w:val="en-US" w:eastAsia="zh-CN"/>
              </w:rPr>
              <m:t>electricity</m:t>
            </m:r>
            <m:ctrlPr>
              <w:rPr>
                <w:rFonts w:hint="eastAsia" w:ascii="Cambria Math" w:hAnsi="Cambria Math"/>
                <w:lang w:val="en-US" w:eastAsia="zh-CN"/>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w:t>
      </w:r>
    </w:p>
    <w:p w14:paraId="29D50ABE">
      <w:pPr>
        <w:pStyle w:val="38"/>
        <w:bidi w:val="0"/>
      </w:pPr>
      <w:r>
        <w:rPr>
          <w:rFonts w:hint="eastAsia"/>
          <w:lang w:eastAsia="zh-CN"/>
        </w:rPr>
        <w:t>式中：</w:t>
      </w:r>
    </w:p>
    <w:p w14:paraId="4EA725EB">
      <w:pPr>
        <w:pStyle w:val="38"/>
        <w:bidi w:val="0"/>
      </w:pPr>
      <m:oMath>
        <m:sSub>
          <m:sSubPr>
            <m:ctrlPr>
              <w:rPr>
                <w:rFonts w:hint="eastAsia" w:ascii="Cambria Math" w:hAnsi="Cambria Math"/>
                <w:lang w:val="en-US" w:eastAsia="zh-CN"/>
              </w:rPr>
            </m:ctrlPr>
          </m:sSubPr>
          <m:e>
            <m:r>
              <m:rPr>
                <m:sty m:val="p"/>
              </m:rPr>
              <w:rPr>
                <w:rFonts w:hint="default" w:ascii="Times New Roman" w:hAnsi="Times New Roman"/>
              </w:rPr>
              <m:t>CE</m:t>
            </m:r>
            <m:ctrlPr>
              <w:rPr>
                <w:rFonts w:hint="eastAsia" w:ascii="Cambria Math" w:hAnsi="Cambria Math"/>
                <w:lang w:val="en-US" w:eastAsia="zh-CN"/>
              </w:rPr>
            </m:ctrlPr>
          </m:e>
          <m:sub>
            <m:r>
              <m:rPr>
                <m:sty m:val="p"/>
              </m:rPr>
              <w:rPr>
                <w:rFonts w:hint="default" w:ascii="Times New Roman" w:hAnsi="Times New Roman"/>
              </w:rPr>
              <m:t>light</m:t>
            </m:r>
            <m:ctrlPr>
              <w:rPr>
                <w:rFonts w:hint="eastAsia" w:ascii="Cambria Math" w:hAnsi="Cambria Math"/>
                <w:lang w:val="en-US" w:eastAsia="zh-CN"/>
              </w:rPr>
            </m:ctrlPr>
          </m:sub>
        </m:sSub>
      </m:oMath>
      <w:r>
        <w:rPr>
          <w:rFonts w:hint="eastAsia"/>
          <w:lang w:val="en-US" w:eastAsia="zh-CN"/>
        </w:rPr>
        <w:t>——育苗区补光耗电产生的 GHG 排放量（kg CO</w:t>
      </w:r>
      <w:r>
        <w:rPr>
          <w:rFonts w:hint="eastAsia"/>
          <w:vertAlign w:val="subscript"/>
          <w:lang w:val="en-US" w:eastAsia="zh-CN"/>
        </w:rPr>
        <w:t>2</w:t>
      </w:r>
      <w:r>
        <w:rPr>
          <w:rFonts w:hint="eastAsia"/>
          <w:lang w:val="en-US" w:eastAsia="zh-CN"/>
        </w:rPr>
        <w:t>e）；</w:t>
      </w:r>
    </w:p>
    <w:p w14:paraId="58FD2411">
      <w:pPr>
        <w:pStyle w:val="38"/>
        <w:bidi w:val="0"/>
      </w:pPr>
      <m:oMath>
        <m:r>
          <m:rPr>
            <m:sty m:val="p"/>
          </m:rPr>
          <w:rPr>
            <w:rFonts w:hint="default" w:ascii="Times New Roman" w:hAnsi="Times New Roman"/>
          </w:rPr>
          <m:t>P</m:t>
        </m:r>
      </m:oMath>
      <w:r>
        <w:rPr>
          <w:rFonts w:hint="eastAsia"/>
          <w:lang w:val="en-US" w:eastAsia="zh-CN"/>
        </w:rPr>
        <w:t>——单盏补光灯具功率（W）；</w:t>
      </w:r>
    </w:p>
    <w:p w14:paraId="0C19B9FC">
      <w:pPr>
        <w:pStyle w:val="38"/>
        <w:bidi w:val="0"/>
      </w:pPr>
      <m:oMath>
        <m:r>
          <m:rPr>
            <m:sty m:val="p"/>
          </m:rPr>
          <w:rPr>
            <w:rFonts w:hint="default" w:ascii="Times New Roman" w:hAnsi="Times New Roman"/>
          </w:rPr>
          <m:t>h</m:t>
        </m:r>
      </m:oMath>
      <w:r>
        <w:rPr>
          <w:rFonts w:hint="eastAsia"/>
          <w:lang w:val="en-US" w:eastAsia="zh-CN"/>
        </w:rPr>
        <w:t>——每日补光时长（h/d）；</w:t>
      </w:r>
    </w:p>
    <w:p w14:paraId="12ED6444">
      <w:pPr>
        <w:pStyle w:val="38"/>
        <w:bidi w:val="0"/>
      </w:pPr>
      <m:oMath>
        <m:r>
          <m:rPr>
            <m:sty m:val="p"/>
          </m:rPr>
          <w:rPr>
            <w:rFonts w:hint="default" w:ascii="Times New Roman" w:hAnsi="Times New Roman"/>
          </w:rPr>
          <m:t>d</m:t>
        </m:r>
      </m:oMath>
      <w:r>
        <w:rPr>
          <w:rFonts w:hint="eastAsia"/>
          <w:lang w:val="en-US" w:eastAsia="zh-CN"/>
        </w:rPr>
        <w:t>——核算周期内补光天数（d）；</w:t>
      </w:r>
    </w:p>
    <w:p w14:paraId="69F2A9A5">
      <w:pPr>
        <w:pStyle w:val="38"/>
        <w:bidi w:val="0"/>
      </w:pPr>
      <m:oMath>
        <m:r>
          <m:rPr>
            <m:sty m:val="p"/>
          </m:rPr>
          <w:rPr>
            <w:rFonts w:hint="default" w:ascii="Times New Roman" w:hAnsi="Times New Roman"/>
          </w:rPr>
          <m:t>N</m:t>
        </m:r>
      </m:oMath>
      <w:r>
        <w:rPr>
          <w:rFonts w:hint="eastAsia"/>
          <w:lang w:val="en-US" w:eastAsia="zh-CN"/>
        </w:rPr>
        <w:t>——补光灯具数量（盏）；</w:t>
      </w:r>
    </w:p>
    <w:p w14:paraId="3ACA9A44">
      <w:pPr>
        <w:pStyle w:val="38"/>
        <w:bidi w:val="0"/>
      </w:pPr>
      <m:oMath>
        <m:r>
          <m:rPr>
            <m:sty m:val="p"/>
          </m:rPr>
          <w:rPr>
            <w:rFonts w:hint="default" w:ascii="Times New Roman" w:hAnsi="Times New Roman"/>
          </w:rPr>
          <m:t>1000</m:t>
        </m:r>
      </m:oMath>
      <w:r>
        <w:rPr>
          <w:rFonts w:hint="eastAsia"/>
          <w:lang w:val="en-US" w:eastAsia="zh-CN"/>
        </w:rPr>
        <w:t>——瓦与千瓦的换算系数。</w:t>
      </w:r>
    </w:p>
    <w:p w14:paraId="1A28484A">
      <w:pPr>
        <w:pStyle w:val="38"/>
        <w:bidi w:val="0"/>
        <w:rPr>
          <w:rFonts w:hint="default"/>
          <w:lang w:eastAsia="zh-CN"/>
        </w:rPr>
      </w:pPr>
      <w:r>
        <w:rPr>
          <w:rFonts w:hint="default"/>
          <w:lang w:eastAsia="zh-CN"/>
        </w:rPr>
        <w:t>燃料消耗量以体积（L）计量时，应按20 ℃密度折算为质量后使用，柴油取0.835 kg/L，汽油取0.725 kg/L；如能获得实测密度或结算吨升折算系数，宜优先采用实测值。</w:t>
      </w:r>
    </w:p>
    <w:p w14:paraId="27D0CEEE">
      <w:pPr>
        <w:pStyle w:val="38"/>
        <w:bidi w:val="0"/>
        <w:rPr>
          <w:rFonts w:hint="default"/>
          <w:lang w:eastAsia="zh-CN"/>
        </w:rPr>
      </w:pPr>
      <w:r>
        <w:rPr>
          <w:rFonts w:hint="default"/>
          <w:lang w:eastAsia="zh-CN"/>
        </w:rPr>
        <w:t>保鲜库库温一般不超过10 ℃（非冷冻）。常温周转条件下（广东12月自然条件下可存放15 d～20 d）不产生冷藏排放。灌溉取水</w:t>
      </w:r>
      <w:r>
        <w:rPr>
          <w:rFonts w:hint="default"/>
          <w:lang w:val="en-US" w:eastAsia="zh-CN"/>
        </w:rPr>
        <w:t>为地表水时</w:t>
      </w:r>
      <w:r>
        <w:rPr>
          <w:rFonts w:hint="default"/>
          <w:lang w:eastAsia="zh-CN"/>
        </w:rPr>
        <w:t>不产生直接GHG排放，</w:t>
      </w:r>
      <w:r>
        <w:rPr>
          <w:rFonts w:hint="default"/>
          <w:lang w:val="en-US" w:eastAsia="zh-CN"/>
        </w:rPr>
        <w:t>当采用自来水时，需将自来水纳入农业投入品，考虑生产排放</w:t>
      </w:r>
      <w:r>
        <w:rPr>
          <w:rFonts w:hint="default"/>
          <w:lang w:eastAsia="zh-CN"/>
        </w:rPr>
        <w:t>；灌溉取水量应作为活动数据采集，并在核算报告中披露。</w:t>
      </w:r>
    </w:p>
    <w:p w14:paraId="688629FA">
      <w:pPr>
        <w:pStyle w:val="39"/>
        <w:bidi w:val="0"/>
        <w:rPr>
          <w:rFonts w:hint="eastAsia"/>
          <w:lang w:eastAsia="zh-CN"/>
        </w:rPr>
      </w:pPr>
      <w:bookmarkStart w:id="77" w:name="_Toc18008"/>
      <w:r>
        <w:rPr>
          <w:rFonts w:hint="eastAsia"/>
          <w:lang w:eastAsia="zh-CN"/>
        </w:rPr>
        <w:t>清除量与碳汇处理</w:t>
      </w:r>
      <w:bookmarkEnd w:id="77"/>
    </w:p>
    <w:p w14:paraId="0D85686D">
      <w:pPr>
        <w:pStyle w:val="38"/>
        <w:rPr>
          <w:rFonts w:hint="default" w:ascii="Times New Roman" w:hAnsi="Times New Roman" w:cs="Times New Roman"/>
          <w:lang w:eastAsia="zh-CN"/>
        </w:rPr>
      </w:pPr>
      <w:r>
        <w:rPr>
          <w:rFonts w:hint="default" w:ascii="Times New Roman" w:hAnsi="Times New Roman" w:eastAsia="宋体" w:cs="Times New Roman"/>
          <w:b w:val="0"/>
          <w:i w:val="0"/>
          <w:kern w:val="2"/>
          <w:sz w:val="21"/>
          <w:szCs w:val="21"/>
          <w:lang w:val="en-US" w:eastAsia="zh-CN" w:bidi="ar-SA"/>
        </w:rPr>
        <w:t>可纳入产品碳足迹核算的碳汇</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包括三类：植株活体生物量碳（地上茎叶及地下根系固定的生物碳）、枯落物碳（凋落叶、死株、根茬残体所含碳）、土壤有机碳变化（ΔSOC，残体还田碳</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由有机肥施用等管理措施引起的土壤碳储量净变化）</w:t>
      </w:r>
      <w:r>
        <w:rPr>
          <w:rFonts w:hint="default" w:ascii="Times New Roman" w:hAnsi="Times New Roman" w:cs="Times New Roman"/>
          <w:b w:val="0"/>
          <w:i w:val="0"/>
          <w:kern w:val="2"/>
          <w:sz w:val="21"/>
          <w:szCs w:val="21"/>
          <w:lang w:val="en-US" w:eastAsia="zh-CN" w:bidi="ar-SA"/>
        </w:rPr>
        <w:t>。碳汇计算公式如下：</w:t>
      </w:r>
    </w:p>
    <w:p w14:paraId="79A39037">
      <w:pPr>
        <w:pStyle w:val="115"/>
        <w:bidi w:val="0"/>
        <w:rPr>
          <w:rFonts w:hint="eastAsia"/>
          <w:lang w:eastAsia="zh-CN"/>
        </w:rPr>
      </w:pPr>
      <w:r>
        <w:rPr>
          <w:rFonts w:hint="eastAsia"/>
          <w:lang w:eastAsia="zh-CN"/>
        </w:rPr>
        <w:tab/>
      </w:r>
      <m:oMath>
        <m:r>
          <m:rPr>
            <m:sty m:val="p"/>
          </m:rPr>
          <w:rPr>
            <w:rFonts w:hint="default" w:ascii="Cambria Math" w:hAnsi="Cambria Math" w:eastAsia="宋体"/>
            <w:sz w:val="21"/>
          </w:rPr>
          <m:t>CS=</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CS</m:t>
            </m:r>
            <m:ctrlPr>
              <w:rPr>
                <w:rFonts w:hint="eastAsia" w:ascii="Cambria Math" w:hAnsi="Cambria Math"/>
                <w:i w:val="0"/>
                <w:iCs w:val="0"/>
                <w:lang w:val="en-US" w:eastAsia="zh-CN"/>
              </w:rPr>
            </m:ctrlPr>
          </m:e>
          <m:sub>
            <m:r>
              <m:rPr>
                <m:sty m:val="p"/>
              </m:rPr>
              <w:rPr>
                <w:rFonts w:hint="default" w:ascii="Cambria Math" w:hAnsi="Cambria Math" w:eastAsia="宋体"/>
                <w:sz w:val="21"/>
              </w:rPr>
              <m:t>plant</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CS</m:t>
            </m:r>
            <m:ctrlPr>
              <w:rPr>
                <w:rFonts w:hint="eastAsia" w:ascii="Cambria Math" w:hAnsi="Cambria Math"/>
                <w:i w:val="0"/>
                <w:iCs w:val="0"/>
                <w:lang w:val="en-US" w:eastAsia="zh-CN"/>
              </w:rPr>
            </m:ctrlPr>
          </m:e>
          <m:sub>
            <m:r>
              <m:rPr>
                <m:sty m:val="p"/>
              </m:rPr>
              <w:rPr>
                <w:rFonts w:hint="eastAsia" w:ascii="Cambria Math" w:hAnsi="Cambria Math"/>
                <w:lang w:val="en-US" w:eastAsia="zh-CN"/>
              </w:rPr>
              <m:t>litter</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CS</m:t>
            </m:r>
            <m:ctrlPr>
              <w:rPr>
                <w:rFonts w:hint="eastAsia" w:ascii="Cambria Math" w:hAnsi="Cambria Math"/>
                <w:i w:val="0"/>
                <w:iCs w:val="0"/>
                <w:lang w:val="en-US" w:eastAsia="zh-CN"/>
              </w:rPr>
            </m:ctrlPr>
          </m:e>
          <m:sub>
            <m:r>
              <m:rPr>
                <m:sty m:val="p"/>
              </m:rPr>
              <w:rPr>
                <w:rFonts w:hint="default" w:ascii="Cambria Math" w:hAnsi="Cambria Math" w:eastAsia="宋体"/>
                <w:sz w:val="21"/>
              </w:rPr>
              <m:t>soil</m:t>
            </m:r>
            <m:ctrlPr>
              <w:rPr>
                <w:rFonts w:hint="eastAsia" w:ascii="Cambria Math" w:hAnsi="Cambria Math"/>
                <w:i w:val="0"/>
                <w:iCs w:val="0"/>
                <w:lang w:val="en-US" w:eastAsia="zh-CN"/>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w:t>
      </w:r>
    </w:p>
    <w:p w14:paraId="671CA2DB">
      <w:pPr>
        <w:pStyle w:val="62"/>
        <w:rPr>
          <w:rFonts w:hint="eastAsia"/>
          <w:lang w:eastAsia="zh-CN"/>
        </w:rPr>
      </w:pPr>
      <w:r>
        <w:rPr>
          <w:rFonts w:hint="eastAsia"/>
          <w:lang w:eastAsia="zh-CN"/>
        </w:rPr>
        <w:t>式中：</w:t>
      </w:r>
    </w:p>
    <w:p w14:paraId="12B92F4B">
      <w:pPr>
        <w:ind w:firstLine="420" w:firstLineChars="20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plant</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——植株碳汇量</w:t>
      </w:r>
      <w:r>
        <w:rPr>
          <w:rFonts w:hint="default" w:ascii="Times New Roman" w:hAnsi="Times New Roman" w:eastAsia="宋体" w:cs="Times New Roman"/>
          <w:b w:val="0"/>
          <w:i w:val="0"/>
          <w:kern w:val="2"/>
          <w:sz w:val="21"/>
          <w:szCs w:val="21"/>
          <w:lang w:val="en-US" w:eastAsia="zh-CN" w:bidi="ar-SA"/>
        </w:rPr>
        <w:t>（kg CO</w:t>
      </w:r>
      <w:r>
        <w:rPr>
          <w:rFonts w:hint="default" w:ascii="Times New Roman" w:hAnsi="Times New Roman" w:eastAsia="宋体"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5380D320">
      <w:pPr>
        <w:ind w:firstLine="420" w:firstLineChars="20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w:t>
      </w:r>
      <w:r>
        <w:rPr>
          <w:rFonts w:hint="default" w:ascii="Times New Roman" w:hAnsi="Times New Roman" w:cs="Times New Roman"/>
          <w:b w:val="0"/>
          <w:i w:val="0"/>
          <w:sz w:val="21"/>
          <w:szCs w:val="21"/>
          <w:lang w:val="en-US" w:eastAsia="zh-CN"/>
        </w:rPr>
        <w:t>枯落物</w:t>
      </w:r>
      <w:r>
        <w:rPr>
          <w:rFonts w:hint="default" w:ascii="Times New Roman" w:hAnsi="Times New Roman" w:eastAsia="宋体" w:cs="Times New Roman"/>
          <w:b w:val="0"/>
          <w:i w:val="0"/>
          <w:sz w:val="21"/>
          <w:szCs w:val="21"/>
          <w:lang w:val="en-US" w:eastAsia="zh-CN"/>
        </w:rPr>
        <w:t>碳汇量</w:t>
      </w:r>
      <w:r>
        <w:rPr>
          <w:rFonts w:hint="default" w:ascii="Times New Roman" w:hAnsi="Times New Roman" w:eastAsia="宋体" w:cs="Times New Roman"/>
          <w:b w:val="0"/>
          <w:i w:val="0"/>
          <w:kern w:val="2"/>
          <w:sz w:val="21"/>
          <w:szCs w:val="21"/>
          <w:lang w:val="en-US" w:eastAsia="zh-CN" w:bidi="ar-SA"/>
        </w:rPr>
        <w:t>（kg CO</w:t>
      </w:r>
      <w:r>
        <w:rPr>
          <w:rFonts w:hint="default" w:ascii="Times New Roman" w:hAnsi="Times New Roman" w:eastAsia="宋体"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5191E93E">
      <w:pPr>
        <w:pStyle w:val="38"/>
        <w:rPr>
          <w:rFonts w:hint="default" w:ascii="Times New Roman" w:hAnsi="Times New Roman" w:eastAsia="宋体" w:cs="Times New Roman"/>
          <w:b w:val="0"/>
          <w:i w:val="0"/>
          <w:kern w:val="2"/>
          <w:sz w:val="21"/>
          <w:szCs w:val="21"/>
          <w:lang w:val="en-US" w:eastAsia="zh-CN" w:bidi="ar-SA"/>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soil</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——土壤碳汇量</w:t>
      </w:r>
      <w:r>
        <w:rPr>
          <w:rFonts w:hint="default" w:ascii="Times New Roman" w:hAnsi="Times New Roman" w:eastAsia="宋体" w:cs="Times New Roman"/>
          <w:b w:val="0"/>
          <w:i w:val="0"/>
          <w:kern w:val="2"/>
          <w:sz w:val="21"/>
          <w:szCs w:val="21"/>
          <w:lang w:val="en-US" w:eastAsia="zh-CN" w:bidi="ar-SA"/>
        </w:rPr>
        <w:t>（kg CO</w:t>
      </w:r>
      <w:r>
        <w:rPr>
          <w:rFonts w:hint="default" w:ascii="Times New Roman" w:hAnsi="Times New Roman" w:eastAsia="宋体"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4C9944A0">
      <w:pPr>
        <w:pStyle w:val="38"/>
        <w:rPr>
          <w:rFonts w:hint="default" w:ascii="Times New Roman" w:hAnsi="Times New Roman" w:cs="Times New Roman"/>
        </w:rPr>
      </w:pPr>
      <w:r>
        <w:rPr>
          <w:rFonts w:hint="default" w:ascii="Times New Roman" w:hAnsi="Times New Roman" w:eastAsia="宋体" w:cs="Times New Roman"/>
          <w:b w:val="0"/>
          <w:i w:val="0"/>
          <w:sz w:val="21"/>
          <w:szCs w:val="21"/>
          <w:lang w:val="en-US" w:eastAsia="zh-CN"/>
        </w:rPr>
        <w:t>上述碳汇的计算与抵扣须符合以下明确边界：</w:t>
      </w:r>
    </w:p>
    <w:p w14:paraId="26168547">
      <w:pPr>
        <w:pStyle w:val="176"/>
        <w:numPr>
          <w:ilvl w:val="0"/>
          <w:numId w:val="36"/>
        </w:numPr>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植株生物量碳属临时碳储存，鲜花采收后残体在还田或处置过程中短期内分解并释放回大气，净贡献约等于零，仅作信息项单独披露，不参与碳足迹抵扣。</w:t>
      </w:r>
    </w:p>
    <w:p w14:paraId="3FC6AFAB">
      <w:pPr>
        <w:pStyle w:val="176"/>
        <w:numPr>
          <w:ilvl w:val="0"/>
          <w:numId w:val="36"/>
        </w:numPr>
        <w:bidi w:val="0"/>
        <w:rPr>
          <w:rFonts w:hint="default" w:ascii="Times New Roman" w:hAnsi="Times New Roman" w:cs="Times New Roman"/>
          <w:highlight w:val="none"/>
        </w:rPr>
      </w:pPr>
      <w:r>
        <w:rPr>
          <w:rFonts w:hint="default" w:ascii="Times New Roman" w:hAnsi="Times New Roman" w:cs="Times New Roman"/>
          <w:highlight w:val="none"/>
        </w:rPr>
        <w:t>枯落物碳不单独计为清除量。食用菊花采用种植袋盆栽，栽培基质装于种植袋内并与基地土壤相分离，畦面铺设地布</w:t>
      </w:r>
      <w:r>
        <w:rPr>
          <w:rFonts w:hint="default" w:ascii="Times New Roman" w:hAnsi="Times New Roman" w:cs="Times New Roman"/>
          <w:highlight w:val="none"/>
          <w:lang w:eastAsia="zh-CN"/>
        </w:rPr>
        <w:t>，</w:t>
      </w:r>
      <w:r>
        <w:rPr>
          <w:rFonts w:hint="default" w:ascii="Times New Roman" w:hAnsi="Times New Roman" w:cs="Times New Roman"/>
          <w:highlight w:val="none"/>
        </w:rPr>
        <w:t>枯落物与土壤被阻隔而无法接触并进入土壤有机碳库，不形成碳汇；主张该项碳汇的，须证明其进入稳定土壤有机碳库且经实测土壤有机碳净增加（ΔSOC＞0），并提供不小于 3 年的定位实测证据，无证据时仅作披露、不抵扣。</w:t>
      </w:r>
    </w:p>
    <w:p w14:paraId="36D82F9F">
      <w:pPr>
        <w:pStyle w:val="176"/>
        <w:numPr>
          <w:ilvl w:val="0"/>
          <w:numId w:val="36"/>
        </w:numPr>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土壤有机碳变化（ΔSOC）作为清除量计入，须同时满足：基于不小于3年的定位重复实测；采用等效土壤质量法校正；相对“一切照旧”基线 ΔSOC＞0；碳增量由特定管理措施改变带来（额外性）。因土地利用变化引起的碳变化不计入，连作导致土壤有机碳下降的不得计入。</w:t>
      </w:r>
    </w:p>
    <w:p w14:paraId="7A239D4D">
      <w:pPr>
        <w:pStyle w:val="176"/>
        <w:numPr>
          <w:ilvl w:val="0"/>
          <w:numId w:val="36"/>
        </w:numPr>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单季或短期（不足3年）观测所得土壤碳升高，不构成净增证据，不得作为永久碳汇抵扣碳足迹。</w:t>
      </w:r>
    </w:p>
    <w:p w14:paraId="7B7E3CD4">
      <w:pPr>
        <w:pStyle w:val="176"/>
        <w:numPr>
          <w:ilvl w:val="0"/>
          <w:numId w:val="36"/>
        </w:numPr>
        <w:bidi w:val="0"/>
        <w:rPr>
          <w:rFonts w:hint="default" w:ascii="Times New Roman" w:hAnsi="Times New Roman" w:cs="Times New Roman"/>
          <w:highlight w:val="none"/>
        </w:rPr>
      </w:pPr>
      <w:r>
        <w:rPr>
          <w:rFonts w:hint="default" w:ascii="Times New Roman" w:hAnsi="Times New Roman" w:cs="Times New Roman"/>
          <w:lang w:val="en-US" w:eastAsia="zh-CN"/>
        </w:rPr>
        <w:t>植株自然生长、呼吸同化与释放的碳属自然过程，不视为额外人为排放，不单独计入产品碳足迹；清除量仅限于满足上述实测与额外性要求的土壤有机碳净增加（ΔSOC＞0）。</w:t>
      </w:r>
    </w:p>
    <w:p w14:paraId="75CE4396">
      <w:pPr>
        <w:pStyle w:val="40"/>
        <w:bidi w:val="0"/>
        <w:rPr>
          <w:rFonts w:hint="eastAsia"/>
          <w:lang w:eastAsia="zh-CN"/>
        </w:rPr>
      </w:pPr>
      <w:r>
        <w:rPr>
          <w:rFonts w:hint="eastAsia"/>
          <w:lang w:eastAsia="zh-CN"/>
        </w:rPr>
        <w:t>植株</w:t>
      </w:r>
      <w:r>
        <w:rPr>
          <w:rFonts w:hint="eastAsia"/>
          <w:lang w:val="en-US" w:eastAsia="zh-CN"/>
        </w:rPr>
        <w:t>碳汇量</w:t>
      </w:r>
    </w:p>
    <w:p w14:paraId="240EE6D4">
      <w:pPr>
        <w:pStyle w:val="38"/>
        <w:rPr>
          <w:rFonts w:hint="eastAsia"/>
          <w:lang w:eastAsia="zh-CN"/>
        </w:rPr>
      </w:pPr>
      <w:r>
        <w:rPr>
          <w:rFonts w:hint="eastAsia"/>
          <w:lang w:eastAsia="zh-CN"/>
        </w:rPr>
        <w:t>植株生物量碳按下式核算并披露：</w:t>
      </w:r>
    </w:p>
    <w:p w14:paraId="73E9D0D2">
      <w:pPr>
        <w:pStyle w:val="115"/>
        <w:bidi w:val="0"/>
        <w:rPr>
          <w:rFonts w:hint="eastAsia"/>
          <w:lang w:eastAsia="zh-CN"/>
        </w:rPr>
      </w:pPr>
      <w:r>
        <w:rPr>
          <w:rFonts w:hint="eastAsia"/>
          <w:lang w:eastAsia="zh-CN"/>
        </w:rPr>
        <w:tab/>
      </w:r>
      <m:oMath>
        <m:sSub>
          <m:sSubPr>
            <m:ctrlPr>
              <w:rPr>
                <w:rFonts w:hint="default" w:ascii="Cambria Math" w:hAnsi="Cambria Math" w:cs="Times New Roman"/>
                <w:i w:val="0"/>
                <w:iCs/>
                <w:kern w:val="2"/>
                <w:sz w:val="21"/>
                <w:szCs w:val="21"/>
                <w:lang w:val="en-US" w:eastAsia="zh-CN" w:bidi="ar-SA"/>
              </w:rPr>
            </m:ctrlPr>
          </m:sSubPr>
          <m:e>
            <m:r>
              <m:rPr>
                <m:sty m:val="p"/>
              </m:rPr>
              <w:rPr>
                <w:rFonts w:hint="eastAsia" w:ascii="Cambria Math" w:hAnsi="Cambria Math"/>
                <w:sz w:val="21"/>
                <w:szCs w:val="21"/>
                <w:lang w:val="en-US" w:eastAsia="zh-CN"/>
              </w:rPr>
              <m:t>C</m:t>
            </m:r>
            <m:r>
              <m:rPr>
                <m:sty m:val="p"/>
              </m:rPr>
              <w:rPr>
                <w:rFonts w:hint="default" w:ascii="Times New Roman" w:hAnsi="Times New Roman"/>
                <w:sz w:val="21"/>
                <w:szCs w:val="21"/>
                <w:lang w:val="en-US" w:eastAsia="zh-CN"/>
              </w:rPr>
              <m:t>S</m:t>
            </m:r>
            <m:ctrlPr>
              <w:rPr>
                <w:rFonts w:hint="default" w:ascii="Cambria Math" w:hAnsi="Cambria Math" w:cs="Times New Roman"/>
                <w:i w:val="0"/>
                <w:iCs/>
                <w:kern w:val="2"/>
                <w:sz w:val="21"/>
                <w:szCs w:val="21"/>
                <w:lang w:val="en-US" w:eastAsia="zh-CN" w:bidi="ar-SA"/>
              </w:rPr>
            </m:ctrlPr>
          </m:e>
          <m:sub>
            <m:r>
              <m:rPr>
                <m:sty m:val="p"/>
              </m:rPr>
              <w:rPr>
                <w:rFonts w:hint="default" w:ascii="Cambria Math" w:hAnsi="Cambria Math"/>
                <w:sz w:val="21"/>
                <w:szCs w:val="21"/>
                <w:lang w:val="en-US" w:eastAsia="zh-CN"/>
              </w:rPr>
              <m:t>plant</m:t>
            </m:r>
            <m:ctrlPr>
              <w:rPr>
                <w:rFonts w:hint="default" w:ascii="Cambria Math" w:hAnsi="Cambria Math" w:cs="Times New Roman"/>
                <w:i w:val="0"/>
                <w:iCs/>
                <w:kern w:val="2"/>
                <w:sz w:val="21"/>
                <w:szCs w:val="21"/>
                <w:lang w:val="en-US" w:eastAsia="zh-CN" w:bidi="ar-SA"/>
              </w:rPr>
            </m:ctrlPr>
          </m:sub>
        </m:sSub>
        <m:r>
          <m:rPr>
            <m:sty m:val="p"/>
          </m:rPr>
          <w:rPr>
            <w:rFonts w:hint="default" w:ascii="Cambria Math" w:hAnsi="Cambria Math" w:cs="Times New Roman"/>
            <w:kern w:val="2"/>
            <w:sz w:val="21"/>
            <w:szCs w:val="21"/>
            <w:lang w:val="en-US" w:eastAsia="zh-CN" w:bidi="ar-SA"/>
          </w:rPr>
          <m:t>=</m:t>
        </m:r>
        <m:nary>
          <m:naryPr>
            <m:chr m:val="∑"/>
            <m:limLoc m:val="undOvr"/>
            <m:subHide m:val="1"/>
            <m:supHide m:val="1"/>
            <m:ctrlPr>
              <w:rPr>
                <w:rFonts w:hint="default" w:ascii="Cambria Math" w:hAnsi="Cambria Math" w:cs="Times New Roman"/>
                <w:i w:val="0"/>
                <w:iCs/>
                <w:kern w:val="2"/>
                <w:sz w:val="21"/>
                <w:szCs w:val="21"/>
                <w:lang w:val="en-US" w:eastAsia="zh-CN" w:bidi="ar-SA"/>
              </w:rPr>
            </m:ctrlPr>
          </m:naryPr>
          <m:sub>
            <m:ctrlPr>
              <w:rPr>
                <w:rFonts w:hint="default" w:ascii="Cambria Math" w:hAnsi="Cambria Math" w:cs="Times New Roman"/>
                <w:i w:val="0"/>
                <w:iCs/>
                <w:kern w:val="2"/>
                <w:sz w:val="21"/>
                <w:szCs w:val="21"/>
                <w:lang w:val="en-US" w:eastAsia="zh-CN" w:bidi="ar-SA"/>
              </w:rPr>
            </m:ctrlPr>
          </m:sub>
          <m:sup>
            <m:ctrlPr>
              <w:rPr>
                <w:rFonts w:hint="default" w:ascii="Cambria Math" w:hAnsi="Cambria Math" w:cs="Times New Roman"/>
                <w:i w:val="0"/>
                <w:iCs/>
                <w:kern w:val="2"/>
                <w:sz w:val="21"/>
                <w:szCs w:val="21"/>
                <w:lang w:val="en-US" w:eastAsia="zh-CN" w:bidi="ar-SA"/>
              </w:rPr>
            </m:ctrlPr>
          </m:sup>
          <m:e>
            <m:r>
              <m:rPr>
                <m:sty m:val="p"/>
              </m:rPr>
              <w:rPr>
                <w:rFonts w:hint="default" w:ascii="Cambria Math" w:hAnsi="Cambria Math" w:cs="Times New Roman"/>
                <w:kern w:val="2"/>
                <w:sz w:val="21"/>
                <w:szCs w:val="21"/>
                <w:lang w:val="en-US" w:eastAsia="zh-CN" w:bidi="ar-SA"/>
              </w:rPr>
              <m:t>(</m:t>
            </m:r>
            <m:sSub>
              <m:sSubPr>
                <m:ctrlPr>
                  <w:rPr>
                    <w:rFonts w:hint="eastAsia" w:ascii="Cambria Math" w:hAnsi="Cambria Math" w:cs="Times New Roman"/>
                    <w:i w:val="0"/>
                    <w:iCs/>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B</m:t>
                </m:r>
                <m:ctrlPr>
                  <w:rPr>
                    <w:rFonts w:hint="eastAsia" w:ascii="Cambria Math" w:hAnsi="Cambria Math" w:cs="Times New Roman"/>
                    <w:i w:val="0"/>
                    <w:iCs/>
                    <w:kern w:val="2"/>
                    <w:sz w:val="21"/>
                    <w:szCs w:val="21"/>
                    <w:lang w:val="en-US" w:eastAsia="zh-CN" w:bidi="ar-SA"/>
                  </w:rPr>
                </m:ctrlPr>
              </m:e>
              <m:sub>
                <m:r>
                  <m:rPr>
                    <m:sty m:val="p"/>
                  </m:rPr>
                  <w:rPr>
                    <w:rFonts w:hint="default" w:ascii="Cambria Math" w:hAnsi="Cambria Math" w:cs="Times New Roman"/>
                    <w:kern w:val="2"/>
                    <w:sz w:val="21"/>
                    <w:szCs w:val="21"/>
                    <w:lang w:val="en-US" w:eastAsia="zh-CN" w:bidi="ar-SA"/>
                  </w:rPr>
                  <m:t>organ</m:t>
                </m:r>
                <m:ctrlPr>
                  <w:rPr>
                    <w:rFonts w:hint="eastAsia" w:ascii="Cambria Math" w:hAnsi="Cambria Math" w:cs="Times New Roman"/>
                    <w:i w:val="0"/>
                    <w:iCs/>
                    <w:kern w:val="2"/>
                    <w:sz w:val="21"/>
                    <w:szCs w:val="21"/>
                    <w:lang w:val="en-US" w:eastAsia="zh-CN" w:bidi="ar-SA"/>
                  </w:rPr>
                </m:ctrlPr>
              </m:sub>
            </m:sSub>
            <m:r>
              <m:rPr>
                <m:sty m:val="p"/>
              </m:rPr>
              <w:rPr>
                <w:rFonts w:ascii="Cambria Math" w:hAnsi="Cambria Math" w:cs="Times New Roman"/>
                <w:kern w:val="2"/>
                <w:sz w:val="21"/>
                <w:szCs w:val="21"/>
                <w:lang w:val="en-US" w:bidi="ar-SA"/>
              </w:rPr>
              <m:t>×</m:t>
            </m:r>
            <m:r>
              <m:rPr>
                <m:sty m:val="p"/>
              </m:rPr>
              <w:rPr>
                <w:rFonts w:hint="default" w:ascii="Cambria Math" w:hAnsi="Cambria Math" w:cs="Times New Roman"/>
                <w:kern w:val="2"/>
                <w:sz w:val="21"/>
                <w:szCs w:val="21"/>
                <w:lang w:val="en-US" w:eastAsia="zh-CN" w:bidi="ar-SA"/>
              </w:rPr>
              <m:t>C)</m:t>
            </m:r>
            <m:r>
              <m:rPr>
                <m:sty m:val="p"/>
              </m:rPr>
              <w:rPr>
                <w:rFonts w:ascii="Cambria Math" w:hAnsi="Cambria Math" w:cs="Times New Roman"/>
                <w:kern w:val="2"/>
                <w:sz w:val="21"/>
                <w:szCs w:val="21"/>
                <w:lang w:val="en-US" w:bidi="ar-SA"/>
              </w:rPr>
              <m:t>×</m:t>
            </m:r>
            <m:r>
              <m:rPr>
                <m:sty m:val="p"/>
              </m:rPr>
              <w:rPr>
                <w:rFonts w:hint="default" w:ascii="Cambria Math" w:hAnsi="Cambria Math" w:cs="Times New Roman"/>
                <w:kern w:val="2"/>
                <w:sz w:val="21"/>
                <w:szCs w:val="21"/>
                <w:lang w:val="en-US" w:eastAsia="zh-CN" w:bidi="ar-SA"/>
              </w:rPr>
              <m:t>44/12</m:t>
            </m:r>
            <m:ctrlPr>
              <w:rPr>
                <w:rFonts w:hint="default" w:ascii="Cambria Math" w:hAnsi="Cambria Math" w:cs="Times New Roman"/>
                <w:i w:val="0"/>
                <w:iCs/>
                <w:kern w:val="2"/>
                <w:sz w:val="21"/>
                <w:szCs w:val="21"/>
                <w:lang w:val="en-US" w:eastAsia="zh-CN" w:bidi="ar-SA"/>
              </w:rPr>
            </m:ctrlPr>
          </m:e>
        </m:nary>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w:t>
      </w:r>
    </w:p>
    <w:p w14:paraId="15B264F1">
      <w:pPr>
        <w:pStyle w:val="62"/>
        <w:rPr>
          <w:rFonts w:hint="eastAsia"/>
          <w:lang w:eastAsia="zh-CN"/>
        </w:rPr>
      </w:pPr>
      <w:r>
        <w:rPr>
          <w:rFonts w:hint="eastAsia"/>
          <w:lang w:eastAsia="zh-CN"/>
        </w:rPr>
        <w:t>式中：</w:t>
      </w:r>
    </w:p>
    <w:p w14:paraId="0B497214">
      <w:pPr>
        <w:pStyle w:val="38"/>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eastAsia="宋体" w:cs="Times New Roman"/>
                <w:i w:val="0"/>
                <w:iCs/>
                <w:sz w:val="21"/>
                <w:szCs w:val="21"/>
              </w:rPr>
            </m:ctrlPr>
          </m:sSubPr>
          <m:e>
            <m:r>
              <m:rPr>
                <m:nor/>
                <m:sty m:val="p"/>
              </m:rPr>
              <w:rPr>
                <w:rFonts w:hint="default" w:ascii="Times New Roman" w:hAnsi="Times New Roman" w:eastAsia="宋体" w:cs="Times New Roman"/>
                <w:b w:val="0"/>
                <w:i w:val="0"/>
                <w:sz w:val="21"/>
                <w:szCs w:val="21"/>
                <w:lang w:val="en-US" w:eastAsia="zh-CN"/>
              </w:rPr>
              <m:t>B</m:t>
            </m:r>
            <m:ctrlPr>
              <w:rPr>
                <w:rFonts w:hint="default" w:ascii="Cambria Math" w:hAnsi="Cambria Math" w:eastAsia="宋体" w:cs="Times New Roman"/>
                <w:i w:val="0"/>
                <w:iCs/>
                <w:sz w:val="21"/>
                <w:szCs w:val="21"/>
              </w:rPr>
            </m:ctrlPr>
          </m:e>
          <m:sub>
            <m:r>
              <m:rPr>
                <m:nor/>
                <m:sty m:val="p"/>
              </m:rPr>
              <w:rPr>
                <w:rFonts w:hint="default" w:ascii="Times New Roman" w:hAnsi="Times New Roman" w:eastAsia="宋体" w:cs="Times New Roman"/>
                <w:b w:val="0"/>
                <w:i w:val="0"/>
                <w:sz w:val="21"/>
                <w:szCs w:val="21"/>
                <w:lang w:val="en-US" w:eastAsia="zh-CN"/>
              </w:rPr>
              <m:t>organ</m:t>
            </m:r>
            <m:ctrlPr>
              <w:rPr>
                <w:rFonts w:hint="default" w:ascii="Cambria Math" w:hAnsi="Cambria Math" w:eastAsia="宋体" w:cs="Times New Roman"/>
                <w:i w:val="0"/>
                <w:iCs/>
                <w:sz w:val="21"/>
                <w:szCs w:val="21"/>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eastAsia="宋体" w:cs="Times New Roman"/>
          <w:b w:val="0"/>
          <w:i w:val="0"/>
          <w:iCs/>
          <w:sz w:val="21"/>
          <w:szCs w:val="21"/>
          <w:lang w:val="en-US" w:eastAsia="zh-CN"/>
        </w:rPr>
        <w:t>植株不同器官的总生物量（kg）；</w:t>
      </w:r>
    </w:p>
    <w:p w14:paraId="0998A770">
      <w:pPr>
        <w:pStyle w:val="38"/>
        <w:bidi w:val="0"/>
        <w:rPr>
          <w:rFonts w:hint="default" w:ascii="Times New Roman" w:hAnsi="Times New Roman" w:eastAsia="宋体" w:cs="Times New Roman"/>
          <w:b w:val="0"/>
          <w:i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C</m:t>
        </m:r>
      </m:oMath>
      <w:r>
        <w:rPr>
          <w:rFonts w:hint="default" w:ascii="Times New Roman" w:hAnsi="Times New Roman" w:eastAsia="宋体" w:cs="Times New Roman"/>
          <w:b w:val="0"/>
          <w:i w:val="0"/>
          <w:iCs/>
          <w:sz w:val="21"/>
          <w:szCs w:val="21"/>
          <w:lang w:eastAsia="zh-CN"/>
        </w:rPr>
        <w:t>——植株</w:t>
      </w:r>
      <w:r>
        <w:rPr>
          <w:rFonts w:hint="default" w:ascii="Times New Roman" w:hAnsi="Times New Roman" w:eastAsia="宋体" w:cs="Times New Roman"/>
          <w:b w:val="0"/>
          <w:i w:val="0"/>
          <w:sz w:val="21"/>
          <w:szCs w:val="21"/>
          <w:lang w:eastAsia="zh-CN"/>
        </w:rPr>
        <w:t>不同器官的</w:t>
      </w:r>
      <w:r>
        <w:rPr>
          <w:rFonts w:hint="default" w:ascii="Times New Roman" w:hAnsi="Times New Roman" w:eastAsia="宋体" w:cs="Times New Roman"/>
          <w:b w:val="0"/>
          <w:i w:val="0"/>
          <w:sz w:val="21"/>
          <w:szCs w:val="21"/>
          <w:lang w:val="en-US" w:eastAsia="zh-CN"/>
        </w:rPr>
        <w:t>含碳率（干重比）；</w:t>
      </w:r>
    </w:p>
    <w:p w14:paraId="1BB0ABA5">
      <w:pPr>
        <w:pStyle w:val="38"/>
        <w:rPr>
          <w:rFonts w:hint="default" w:ascii="Times New Roman" w:hAnsi="Times New Roman" w:eastAsia="宋体" w:cs="Times New Roman"/>
          <w:b w:val="0"/>
          <w:i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44/12</m:t>
        </m:r>
      </m:oMath>
      <w:r>
        <w:rPr>
          <w:rFonts w:hint="default" w:ascii="Times New Roman" w:hAnsi="Times New Roman" w:eastAsia="宋体" w:cs="Times New Roman"/>
          <w:b w:val="0"/>
          <w:i w:val="0"/>
          <w:sz w:val="21"/>
          <w:szCs w:val="21"/>
          <w:lang w:eastAsia="zh-CN"/>
        </w:rPr>
        <w:t>——CO</w:t>
      </w:r>
      <w:r>
        <w:rPr>
          <w:rFonts w:hint="default" w:ascii="Times New Roman" w:hAnsi="Times New Roman" w:eastAsia="宋体" w:cs="Times New Roman"/>
          <w:b w:val="0"/>
          <w:i w:val="0"/>
          <w:sz w:val="21"/>
          <w:szCs w:val="21"/>
          <w:vertAlign w:val="subscript"/>
          <w:lang w:eastAsia="zh-CN"/>
        </w:rPr>
        <w:t>2</w:t>
      </w:r>
      <w:r>
        <w:rPr>
          <w:rFonts w:hint="default" w:ascii="Times New Roman" w:hAnsi="Times New Roman" w:eastAsia="宋体" w:cs="Times New Roman"/>
          <w:b w:val="0"/>
          <w:i w:val="0"/>
          <w:sz w:val="21"/>
          <w:szCs w:val="21"/>
          <w:lang w:eastAsia="zh-CN"/>
        </w:rPr>
        <w:t>与C的分子量之比。</w:t>
      </w:r>
    </w:p>
    <w:p w14:paraId="39D7C50A">
      <w:pPr>
        <w:pStyle w:val="38"/>
        <w:bidi w:val="0"/>
        <w:rPr>
          <w:rFonts w:hint="eastAsia" w:ascii="宋体" w:hAnsi="宋体" w:eastAsia="宋体" w:cs="宋体"/>
          <w:b w:val="0"/>
          <w:i w:val="0"/>
          <w:sz w:val="21"/>
          <w:szCs w:val="21"/>
          <w:lang w:eastAsia="zh-CN"/>
        </w:rPr>
      </w:pPr>
      <w:r>
        <w:rPr>
          <w:rFonts w:hint="eastAsia" w:ascii="宋体" w:hAnsi="宋体"/>
          <w:b w:val="0"/>
          <w:i w:val="0"/>
          <w:sz w:val="21"/>
          <w:szCs w:val="21"/>
          <w:lang w:val="en-US" w:eastAsia="zh-CN"/>
        </w:rPr>
        <w:t>食用菊花</w:t>
      </w:r>
      <w:r>
        <w:rPr>
          <w:rFonts w:hint="eastAsia" w:ascii="宋体" w:hAnsi="宋体"/>
          <w:b w:val="0"/>
          <w:i w:val="0"/>
          <w:sz w:val="21"/>
          <w:szCs w:val="21"/>
          <w:lang w:eastAsia="zh-CN"/>
        </w:rPr>
        <w:t>植株生物量可</w:t>
      </w:r>
      <w:r>
        <w:rPr>
          <w:rFonts w:hint="eastAsia"/>
          <w:lang w:val="en-US" w:eastAsia="zh-CN"/>
        </w:rPr>
        <w:t>采用</w:t>
      </w:r>
      <w:r>
        <w:rPr>
          <w:rFonts w:hint="eastAsia" w:ascii="宋体" w:hAnsi="宋体"/>
          <w:b w:val="0"/>
          <w:i w:val="0"/>
          <w:sz w:val="21"/>
          <w:szCs w:val="21"/>
          <w:lang w:eastAsia="zh-CN"/>
        </w:rPr>
        <w:t>直接监测法或模型模拟法获取。具备田间实地监测条件时，优先采用直接监测法，按整株取样、分器官、烘干至恒重的方式测定生物量；不具备实地监测条件时，可参考草地碳汇计量相关标准的全收获法核算逻辑进行估算</w:t>
      </w:r>
      <w:r>
        <w:rPr>
          <w:rFonts w:hint="eastAsia" w:ascii="宋体" w:hAnsi="宋体" w:eastAsia="宋体" w:cs="宋体"/>
          <w:b w:val="0"/>
          <w:i w:val="0"/>
          <w:sz w:val="21"/>
          <w:szCs w:val="21"/>
          <w:lang w:eastAsia="zh-CN"/>
        </w:rPr>
        <w:t>并注明不确定性。</w:t>
      </w:r>
    </w:p>
    <w:p w14:paraId="1021A73C">
      <w:pPr>
        <w:pStyle w:val="38"/>
        <w:bidi w:val="0"/>
        <w:rPr>
          <w:rFonts w:hint="eastAsia" w:ascii="宋体" w:hAnsi="宋体"/>
          <w:b w:val="0"/>
          <w:i w:val="0"/>
          <w:sz w:val="21"/>
          <w:szCs w:val="21"/>
          <w:lang w:eastAsia="zh-CN"/>
        </w:rPr>
      </w:pPr>
      <w:r>
        <w:rPr>
          <w:rFonts w:hint="eastAsia" w:ascii="宋体" w:hAnsi="宋体"/>
          <w:b w:val="0"/>
          <w:i w:val="0"/>
          <w:sz w:val="21"/>
          <w:szCs w:val="21"/>
          <w:lang w:eastAsia="zh-CN"/>
        </w:rPr>
        <w:t>直接监测法</w:t>
      </w:r>
    </w:p>
    <w:p w14:paraId="7AA621EE">
      <w:pPr>
        <w:pStyle w:val="38"/>
        <w:bidi w:val="0"/>
        <w:rPr>
          <w:rFonts w:hint="eastAsia" w:ascii="宋体" w:hAnsi="宋体" w:eastAsia="宋体" w:cs="宋体"/>
          <w:b w:val="0"/>
          <w:i w:val="0"/>
          <w:sz w:val="21"/>
          <w:szCs w:val="21"/>
          <w:lang w:eastAsia="zh-CN"/>
        </w:rPr>
      </w:pPr>
      <w:r>
        <w:rPr>
          <w:rFonts w:hint="default" w:ascii="Times New Roman" w:hAnsi="Times New Roman" w:cs="Times New Roman"/>
          <w:b w:val="0"/>
          <w:i w:val="0"/>
          <w:sz w:val="21"/>
          <w:szCs w:val="21"/>
          <w:lang w:eastAsia="zh-CN"/>
        </w:rPr>
        <w:t>生物量的计算可以采用平均值法计算，即通过田间实地监测不同器官的生物量，根据</w:t>
      </w:r>
      <w:r>
        <w:rPr>
          <w:rFonts w:hint="eastAsia" w:cs="Times New Roman"/>
          <w:b w:val="0"/>
          <w:i w:val="0"/>
          <w:sz w:val="21"/>
          <w:szCs w:val="21"/>
          <w:lang w:val="en-US" w:eastAsia="zh-CN"/>
        </w:rPr>
        <w:t>菊花</w:t>
      </w:r>
      <w:r>
        <w:rPr>
          <w:rFonts w:hint="default" w:ascii="Times New Roman" w:hAnsi="Times New Roman" w:cs="Times New Roman"/>
          <w:b w:val="0"/>
          <w:i w:val="0"/>
          <w:sz w:val="21"/>
          <w:szCs w:val="21"/>
          <w:lang w:val="en-US" w:eastAsia="zh-CN"/>
        </w:rPr>
        <w:t>植株数量</w:t>
      </w:r>
      <w:r>
        <w:rPr>
          <w:rFonts w:hint="default" w:ascii="Times New Roman" w:hAnsi="Times New Roman" w:cs="Times New Roman"/>
          <w:b w:val="0"/>
          <w:i w:val="0"/>
          <w:sz w:val="21"/>
          <w:szCs w:val="21"/>
          <w:lang w:eastAsia="zh-CN"/>
        </w:rPr>
        <w:t>计算不同器官</w:t>
      </w:r>
      <w:r>
        <w:rPr>
          <w:rFonts w:hint="default" w:ascii="宋体" w:hAnsi="宋体"/>
          <w:b w:val="0"/>
          <w:i w:val="0"/>
          <w:sz w:val="21"/>
          <w:szCs w:val="21"/>
          <w:lang w:eastAsia="zh-CN"/>
        </w:rPr>
        <w:t>单位</w:t>
      </w:r>
      <w:r>
        <w:rPr>
          <w:rFonts w:hint="default" w:ascii="Times New Roman" w:hAnsi="Times New Roman" w:cs="Times New Roman"/>
          <w:b w:val="0"/>
          <w:i w:val="0"/>
          <w:sz w:val="21"/>
          <w:szCs w:val="21"/>
          <w:lang w:eastAsia="zh-CN"/>
        </w:rPr>
        <w:t>面积的生物量。</w:t>
      </w:r>
      <w:r>
        <w:rPr>
          <w:rFonts w:hint="default" w:ascii="Times New Roman" w:hAnsi="Times New Roman" w:cs="Times New Roman"/>
          <w:b w:val="0"/>
          <w:i w:val="0"/>
          <w:sz w:val="21"/>
          <w:szCs w:val="21"/>
          <w:lang w:val="en-US" w:eastAsia="zh-CN"/>
        </w:rPr>
        <w:t>计算公式如下</w:t>
      </w:r>
      <w:r>
        <w:rPr>
          <w:rFonts w:hint="default" w:ascii="Times New Roman" w:hAnsi="Times New Roman" w:cs="Times New Roman"/>
          <w:b w:val="0"/>
          <w:i w:val="0"/>
          <w:sz w:val="21"/>
          <w:szCs w:val="21"/>
          <w:lang w:eastAsia="zh-CN"/>
        </w:rPr>
        <w:t>：</w:t>
      </w:r>
    </w:p>
    <w:p w14:paraId="1C839B23">
      <w:pPr>
        <w:pStyle w:val="115"/>
        <w:bidi w:val="0"/>
        <w:rPr>
          <w:rFonts w:hint="eastAsia"/>
          <w:lang w:eastAsia="zh-CN"/>
        </w:rPr>
      </w:pPr>
      <w:r>
        <w:rPr>
          <w:rFonts w:hint="eastAsia"/>
          <w:lang w:eastAsia="zh-CN"/>
        </w:rPr>
        <w:tab/>
      </w:r>
      <m:oMath>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B</m:t>
            </m:r>
            <m:ctrlPr>
              <w:rPr>
                <w:rFonts w:hint="eastAsia" w:ascii="Cambria Math" w:hAnsi="Cambria Math"/>
                <w:i w:val="0"/>
                <w:iCs w:val="0"/>
                <w:lang w:val="en-US" w:eastAsia="zh-CN"/>
              </w:rPr>
            </m:ctrlPr>
          </m:e>
          <m:sub>
            <m:r>
              <m:rPr>
                <m:sty m:val="p"/>
              </m:rPr>
              <w:rPr>
                <w:rFonts w:hint="default" w:ascii="Cambria Math" w:hAnsi="Cambria Math" w:eastAsia="宋体"/>
                <w:sz w:val="21"/>
              </w:rPr>
              <m:t>organ</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nary>
          <m:naryPr>
            <m:chr m:val="∑"/>
            <m:limLoc m:val="undOvr"/>
            <m:subHide m:val="1"/>
            <m:supHide m:val="1"/>
            <m:ctrlPr>
              <m:rPr/>
              <w:rPr>
                <w:rFonts w:hint="default" w:ascii="Cambria Math" w:hAnsi="Cambria Math" w:eastAsia="宋体"/>
                <w:b w:val="0"/>
                <w:i w:val="0"/>
                <w:sz w:val="21"/>
              </w:rPr>
            </m:ctrlPr>
          </m:naryPr>
          <m:sub>
            <m:ctrlPr>
              <m:rPr/>
              <w:rPr>
                <w:rFonts w:hint="default" w:ascii="Cambria Math" w:hAnsi="Cambria Math" w:eastAsia="宋体"/>
                <w:b w:val="0"/>
                <w:i w:val="0"/>
                <w:sz w:val="21"/>
              </w:rPr>
            </m:ctrlPr>
          </m:sub>
          <m:sup>
            <m:ctrlPr>
              <m:rPr/>
              <w:rPr>
                <w:rFonts w:hint="default" w:ascii="Cambria Math" w:hAnsi="Cambria Math" w:eastAsia="宋体"/>
                <w:b w:val="0"/>
                <w:i w:val="0"/>
                <w:sz w:val="21"/>
              </w:rPr>
            </m:ctrlPr>
          </m:sup>
          <m:e>
            <m:r>
              <m:rPr>
                <m:sty m:val="p"/>
              </m:rPr>
              <w:rPr>
                <w:rFonts w:hint="default" w:ascii="Cambria Math" w:hAnsi="Cambria Math"/>
                <w:sz w:val="21"/>
                <w:lang w:val="en-US" w:eastAsia="zh-CN"/>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B</m:t>
                </m:r>
                <m:ctrlPr>
                  <w:rPr>
                    <w:rFonts w:hint="eastAsia" w:ascii="Cambria Math" w:hAnsi="Cambria Math"/>
                    <w:i w:val="0"/>
                    <w:iCs w:val="0"/>
                    <w:lang w:val="en-US" w:eastAsia="zh-CN"/>
                  </w:rPr>
                </m:ctrlPr>
              </m:e>
              <m:sub>
                <m:r>
                  <m:rPr>
                    <m:sty m:val="p"/>
                  </m:rPr>
                  <w:rPr>
                    <w:rFonts w:hint="default" w:ascii="Cambria Math" w:hAnsi="Cambria Math" w:eastAsia="宋体"/>
                    <w:sz w:val="21"/>
                  </w:rPr>
                  <m:t>plant</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N</m:t>
                </m:r>
                <m:ctrlPr>
                  <w:rPr>
                    <w:rFonts w:hint="eastAsia" w:ascii="Cambria Math" w:hAnsi="Cambria Math"/>
                    <w:i w:val="0"/>
                    <w:iCs w:val="0"/>
                    <w:lang w:val="en-US" w:eastAsia="zh-CN"/>
                  </w:rPr>
                </m:ctrlPr>
              </m:e>
              <m:sub>
                <m:r>
                  <m:rPr>
                    <m:sty m:val="p"/>
                  </m:rPr>
                  <w:rPr>
                    <w:rFonts w:hint="default" w:ascii="Cambria Math" w:hAnsi="Cambria Math" w:eastAsia="宋体"/>
                    <w:sz w:val="21"/>
                  </w:rPr>
                  <m:t>plant</m:t>
                </m:r>
                <m:ctrlPr>
                  <w:rPr>
                    <w:rFonts w:hint="eastAsia" w:ascii="Cambria Math" w:hAnsi="Cambria Math"/>
                    <w:i w:val="0"/>
                    <w:iCs w:val="0"/>
                    <w:lang w:val="en-US" w:eastAsia="zh-CN"/>
                  </w:rPr>
                </m:ctrlPr>
              </m:sub>
            </m:sSub>
            <m:r>
              <m:rPr>
                <m:sty m:val="p"/>
              </m:rPr>
              <w:rPr>
                <w:rFonts w:hint="default" w:ascii="Cambria Math" w:hAnsi="Cambria Math"/>
                <w:lang w:val="en-US" w:eastAsia="zh-CN"/>
              </w:rPr>
              <m:t>)</m:t>
            </m:r>
            <m:ctrlPr>
              <m:rPr/>
              <w:rPr>
                <w:rFonts w:hint="default" w:ascii="Cambria Math" w:hAnsi="Cambria Math" w:eastAsia="宋体"/>
                <w:b w:val="0"/>
                <w:i w:val="0"/>
                <w:sz w:val="21"/>
              </w:rPr>
            </m:ctrlPr>
          </m:e>
        </m:nary>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w:t>
      </w:r>
    </w:p>
    <w:p w14:paraId="7B3A8DF6">
      <w:pPr>
        <w:pStyle w:val="62"/>
        <w:rPr>
          <w:rFonts w:hint="eastAsia"/>
          <w:lang w:eastAsia="zh-CN"/>
        </w:rPr>
      </w:pPr>
      <w:r>
        <w:rPr>
          <w:rFonts w:hint="eastAsia"/>
          <w:lang w:eastAsia="zh-CN"/>
        </w:rPr>
        <w:t>式中：</w:t>
      </w:r>
    </w:p>
    <w:p w14:paraId="2ED88B8F">
      <w:pPr>
        <w:pStyle w:val="38"/>
        <w:bidi w:val="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B</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plant</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——单株各器官生物量（kg/株）；</w:t>
      </w:r>
    </w:p>
    <w:p w14:paraId="5FBFED2E">
      <w:pPr>
        <w:pStyle w:val="38"/>
        <w:bidi w:val="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N</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plant</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——核算周期内</w:t>
      </w:r>
      <w:r>
        <w:rPr>
          <w:rFonts w:hint="default" w:ascii="Times New Roman" w:hAnsi="Times New Roman" w:cs="Times New Roman"/>
          <w:b w:val="0"/>
          <w:i w:val="0"/>
          <w:sz w:val="21"/>
          <w:szCs w:val="21"/>
          <w:lang w:val="en-US" w:eastAsia="zh-CN"/>
        </w:rPr>
        <w:t>植株</w:t>
      </w:r>
      <w:r>
        <w:rPr>
          <w:rFonts w:hint="default" w:ascii="Times New Roman" w:hAnsi="Times New Roman" w:eastAsia="宋体" w:cs="Times New Roman"/>
          <w:b w:val="0"/>
          <w:i w:val="0"/>
          <w:sz w:val="21"/>
          <w:szCs w:val="21"/>
          <w:lang w:val="en-US" w:eastAsia="zh-CN"/>
        </w:rPr>
        <w:t>总株数（株）。</w:t>
      </w:r>
    </w:p>
    <w:p w14:paraId="015766A1">
      <w:pPr>
        <w:pStyle w:val="40"/>
        <w:bidi w:val="0"/>
        <w:rPr>
          <w:rFonts w:hint="eastAsia"/>
          <w:lang w:eastAsia="zh-CN"/>
        </w:rPr>
      </w:pPr>
      <w:r>
        <w:rPr>
          <w:rFonts w:hint="eastAsia"/>
          <w:lang w:val="en-US" w:eastAsia="zh-CN"/>
        </w:rPr>
        <w:t>枯落物碳汇量</w:t>
      </w:r>
    </w:p>
    <w:p w14:paraId="5E913D45">
      <w:pPr>
        <w:ind w:firstLine="420" w:firstLineChars="200"/>
        <w:rPr>
          <w:rFonts w:hint="eastAsia"/>
        </w:rPr>
      </w:pPr>
      <w:r>
        <w:rPr>
          <w:rFonts w:hint="eastAsia"/>
        </w:rPr>
        <w:t>枯落物碳汇计算公式如下：</w:t>
      </w:r>
    </w:p>
    <w:p w14:paraId="45EA8F76">
      <w:pPr>
        <w:pStyle w:val="115"/>
        <w:bidi w:val="0"/>
        <w:rPr>
          <w:rFonts w:hint="eastAsia"/>
          <w:lang w:eastAsia="zh-CN"/>
        </w:rPr>
      </w:pPr>
      <w:r>
        <w:rPr>
          <w:rFonts w:hint="eastAsia"/>
          <w:lang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CS</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b w:val="0"/>
                <w:i w:val="0"/>
                <w:lang w:val="en-US" w:eastAsia="zh-CN"/>
              </w:rPr>
            </m:ctrlPr>
          </m:sSubPr>
          <m:e>
            <m:r>
              <m:rPr>
                <m:nor/>
                <m:sty m:val="p"/>
              </m:rPr>
              <w:rPr>
                <w:rFonts w:hint="default" w:ascii="Times New Roman" w:hAnsi="Times New Roman" w:cs="Times New Roman"/>
                <w:b w:val="0"/>
                <w:i w:val="0"/>
                <w:lang w:val="en-US" w:eastAsia="zh-CN"/>
              </w:rPr>
              <m:t>B</m:t>
            </m:r>
            <m:ctrlPr>
              <w:rPr>
                <w:rFonts w:hint="default" w:ascii="Cambria Math" w:hAnsi="Cambria Math" w:cs="Times New Roman"/>
                <w:b w:val="0"/>
                <w:i w:val="0"/>
                <w:lang w:val="en-US" w:eastAsia="zh-CN"/>
              </w:rPr>
            </m:ctrlPr>
          </m:e>
          <m:sub>
            <m:r>
              <m:rPr>
                <m:nor/>
                <m:sty m:val="p"/>
              </m:rPr>
              <w:rPr>
                <w:rFonts w:hint="default" w:ascii="Times New Roman" w:hAnsi="Times New Roman" w:cs="Times New Roman"/>
                <w:b w:val="0"/>
                <w:i w:val="0"/>
                <w:lang w:val="en-US" w:eastAsia="zh-CN"/>
              </w:rPr>
              <m:t>litter,t1</m:t>
            </m:r>
            <m:ctrlPr>
              <w:rPr>
                <w:rFonts w:hint="default" w:ascii="Cambria Math" w:hAnsi="Cambria Math" w:cs="Times New Roman"/>
                <w:b w:val="0"/>
                <w:i w:val="0"/>
                <w:lang w:val="en-US" w:eastAsia="zh-CN"/>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b w:val="0"/>
                <w:i w:val="0"/>
                <w:lang w:val="en-US" w:eastAsia="zh-CN"/>
              </w:rPr>
            </m:ctrlPr>
          </m:sSubPr>
          <m:e>
            <m:r>
              <m:rPr>
                <m:nor/>
                <m:sty m:val="p"/>
              </m:rPr>
              <w:rPr>
                <w:rFonts w:hint="default" w:ascii="Times New Roman" w:hAnsi="Times New Roman" w:cs="Times New Roman"/>
                <w:b w:val="0"/>
                <w:i w:val="0"/>
                <w:lang w:val="en-US" w:eastAsia="zh-CN"/>
              </w:rPr>
              <m:t>B</m:t>
            </m:r>
            <m:ctrlPr>
              <w:rPr>
                <w:rFonts w:hint="default" w:ascii="Cambria Math" w:hAnsi="Cambria Math" w:cs="Times New Roman"/>
                <w:b w:val="0"/>
                <w:i w:val="0"/>
                <w:lang w:val="en-US" w:eastAsia="zh-CN"/>
              </w:rPr>
            </m:ctrlPr>
          </m:e>
          <m:sub>
            <m:r>
              <m:rPr>
                <m:nor/>
                <m:sty m:val="p"/>
              </m:rPr>
              <w:rPr>
                <w:rFonts w:hint="default" w:ascii="Times New Roman" w:hAnsi="Times New Roman" w:cs="Times New Roman"/>
                <w:b w:val="0"/>
                <w:i w:val="0"/>
                <w:lang w:val="en-US" w:eastAsia="zh-CN"/>
              </w:rPr>
              <m:t>litter,t0</m:t>
            </m:r>
            <m:ctrlPr>
              <w:rPr>
                <w:rFonts w:hint="default" w:ascii="Cambria Math" w:hAnsi="Cambria Math" w:cs="Times New Roman"/>
                <w:b w:val="0"/>
                <w:lang w:val="en-US" w:eastAsia="zh-CN"/>
              </w:rPr>
            </m:ctrlPr>
          </m:sub>
        </m:sSub>
        <m:r>
          <m:rPr>
            <m:nor/>
            <m:sty m:val="p"/>
          </m:rPr>
          <w:rPr>
            <w:rFonts w:hint="default" w:ascii="Times New Roman" w:hAnsi="Times New Roman" w:cs="Times New Roman"/>
            <w:b w:val="0"/>
            <w:i w:val="0"/>
            <w:lang w:val="en-US"/>
          </w:rPr>
          <m:t>×</m:t>
        </m:r>
        <m:sSup>
          <m:sSupPr>
            <m:ctrlPr>
              <w:rPr>
                <w:rFonts w:hint="default" w:ascii="Cambria Math" w:hAnsi="Cambria Math" w:cs="Times New Roman"/>
                <w:lang w:val="en-US"/>
              </w:rPr>
            </m:ctrlPr>
          </m:sSupPr>
          <m:e>
            <m:r>
              <m:rPr>
                <m:nor/>
                <m:sty m:val="p"/>
              </m:rPr>
              <w:rPr>
                <w:rFonts w:hint="default" w:ascii="Times New Roman" w:hAnsi="Times New Roman" w:cs="Times New Roman"/>
                <w:b w:val="0"/>
                <w:i w:val="0"/>
                <w:lang w:val="en-US" w:eastAsia="zh-CN"/>
              </w:rPr>
              <m:t>e</m:t>
            </m:r>
            <m:ctrlPr>
              <w:rPr>
                <w:rFonts w:hint="default" w:ascii="Cambria Math" w:hAnsi="Cambria Math" w:cs="Times New Roman"/>
                <w:lang w:val="en-US"/>
              </w:rPr>
            </m:ctrlPr>
          </m:e>
          <m:sup>
            <m:r>
              <m:rPr>
                <m:nor/>
                <m:sty m:val="p"/>
              </m:rPr>
              <w:rPr>
                <w:rFonts w:hint="default" w:ascii="Times New Roman" w:hAnsi="Times New Roman" w:cs="Times New Roman"/>
                <w:b w:val="0"/>
                <w:i w:val="0"/>
                <w:lang w:val="en-US" w:eastAsia="zh-CN"/>
              </w:rPr>
              <m:t>−k</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n</m:t>
            </m:r>
            <m:ctrlPr>
              <w:rPr>
                <w:rFonts w:hint="default" w:ascii="Cambria Math" w:hAnsi="Cambria Math" w:cs="Times New Roman"/>
                <w:lang w:val="en-US"/>
              </w:rPr>
            </m:ctrlPr>
          </m:sup>
        </m:sSup>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i w:val="0"/>
                <w:iCs/>
                <w:lang w:val="en-US" w:eastAsia="zh-CN"/>
              </w:rPr>
            </m:ctrlPr>
          </m:sSubPr>
          <m:e>
            <m:r>
              <m:rPr>
                <m:nor/>
                <m:sty m:val="p"/>
              </m:rPr>
              <w:rPr>
                <w:rFonts w:hint="default" w:ascii="Times New Roman" w:hAnsi="Times New Roman" w:cs="Times New Roman"/>
                <w:b w:val="0"/>
                <w:i w:val="0"/>
                <w:lang w:val="en-US" w:eastAsia="zh-CN"/>
              </w:rPr>
              <m:t>C</m:t>
            </m:r>
            <m:ctrlPr>
              <w:rPr>
                <w:rFonts w:hint="default" w:ascii="Cambria Math" w:hAnsi="Cambria Math" w:cs="Times New Roman"/>
                <w:i w:val="0"/>
                <w:iCs/>
                <w:lang w:val="en-US" w:eastAsia="zh-CN"/>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lang w:val="en-US" w:eastAsia="zh-CN"/>
              </w:rPr>
            </m:ctrlPr>
          </m:sub>
        </m:sSub>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44/12</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w:t>
      </w:r>
    </w:p>
    <w:p w14:paraId="327AE4BB">
      <w:pPr>
        <w:pStyle w:val="62"/>
        <w:rPr>
          <w:rFonts w:hint="eastAsia"/>
          <w:lang w:eastAsia="zh-CN"/>
        </w:rPr>
      </w:pPr>
      <w:r>
        <w:rPr>
          <w:rFonts w:hint="eastAsia"/>
          <w:lang w:eastAsia="zh-CN"/>
        </w:rPr>
        <w:t>式中：</w:t>
      </w:r>
    </w:p>
    <w:p w14:paraId="3B14E55C">
      <w:pPr>
        <w:pStyle w:val="38"/>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litter,t1</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核算期末枯落物干物质储量</w:t>
      </w:r>
      <w:r>
        <w:rPr>
          <w:rFonts w:hint="default" w:ascii="Times New Roman" w:hAnsi="Times New Roman" w:cs="Times New Roman"/>
          <w:b w:val="0"/>
          <w:i w:val="0"/>
          <w:iCs/>
          <w:sz w:val="21"/>
          <w:szCs w:val="21"/>
          <w:lang w:eastAsia="zh-CN"/>
        </w:rPr>
        <w:t>（kg）；</w:t>
      </w:r>
    </w:p>
    <w:p w14:paraId="40462D3B">
      <w:pPr>
        <w:pStyle w:val="38"/>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litter,t0</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核算期初枯落物干物质储量</w:t>
      </w:r>
      <w:r>
        <w:rPr>
          <w:rFonts w:hint="default" w:ascii="Times New Roman" w:hAnsi="Times New Roman" w:cs="Times New Roman"/>
          <w:b w:val="0"/>
          <w:i w:val="0"/>
          <w:iCs/>
          <w:sz w:val="21"/>
          <w:szCs w:val="21"/>
          <w:lang w:eastAsia="zh-CN"/>
        </w:rPr>
        <w:t>（kg）；</w:t>
      </w:r>
    </w:p>
    <w:p w14:paraId="399DC8B0">
      <w:pPr>
        <w:pStyle w:val="38"/>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litter</m:t>
            </m:r>
            <m:ctrlPr>
              <w:rPr>
                <w:rFonts w:hint="default" w:ascii="Cambria Math" w:hAnsi="Cambria Math" w:cs="Times New Roman"/>
                <w:i w:val="0"/>
                <w:iCs/>
                <w:sz w:val="21"/>
                <w:szCs w:val="21"/>
                <w:lang w:val="en-US" w:eastAsia="zh-CN"/>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cs="Times New Roman"/>
          <w:b w:val="0"/>
          <w:i w:val="0"/>
          <w:iCs/>
          <w:sz w:val="21"/>
          <w:szCs w:val="21"/>
          <w:lang w:val="en-US" w:eastAsia="zh-CN"/>
        </w:rPr>
        <w:t>残</w:t>
      </w:r>
      <w:r>
        <w:rPr>
          <w:rFonts w:hint="default" w:ascii="Times New Roman" w:hAnsi="Times New Roman" w:eastAsia="宋体" w:cs="Times New Roman"/>
          <w:b w:val="0"/>
          <w:i w:val="0"/>
          <w:iCs/>
          <w:sz w:val="21"/>
          <w:szCs w:val="21"/>
          <w:lang w:eastAsia="zh-CN"/>
        </w:rPr>
        <w:t>株</w:t>
      </w:r>
      <w:r>
        <w:rPr>
          <w:rFonts w:hint="default" w:ascii="Times New Roman" w:hAnsi="Times New Roman" w:eastAsia="宋体" w:cs="Times New Roman"/>
          <w:b w:val="0"/>
          <w:i w:val="0"/>
          <w:iCs/>
          <w:sz w:val="21"/>
          <w:szCs w:val="21"/>
          <w:lang w:val="en-US" w:eastAsia="zh-CN"/>
        </w:rPr>
        <w:t>含碳率（干重比）；</w:t>
      </w:r>
    </w:p>
    <w:p w14:paraId="012D208E">
      <w:pPr>
        <w:pStyle w:val="38"/>
        <w:bidi w:val="0"/>
        <w:rPr>
          <w:rFonts w:hint="default" w:ascii="Times New Roman" w:hAnsi="Times New Roman" w:eastAsia="宋体"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k</m:t>
        </m:r>
      </m:oMath>
      <w:r>
        <w:rPr>
          <w:rFonts w:hint="default" w:ascii="Times New Roman" w:hAnsi="Times New Roman" w:eastAsia="宋体" w:cs="Times New Roman"/>
          <w:b w:val="0"/>
          <w:i w:val="0"/>
          <w:iCs w:val="0"/>
          <w:sz w:val="21"/>
          <w:szCs w:val="21"/>
          <w:lang w:eastAsia="zh-CN"/>
        </w:rPr>
        <w:t>——枯</w:t>
      </w:r>
      <w:r>
        <w:rPr>
          <w:rFonts w:hint="default" w:ascii="Times New Roman" w:hAnsi="Times New Roman" w:eastAsia="宋体" w:cs="Times New Roman"/>
          <w:b w:val="0"/>
          <w:i w:val="0"/>
          <w:iCs/>
          <w:sz w:val="21"/>
          <w:szCs w:val="21"/>
          <w:lang w:eastAsia="zh-CN"/>
        </w:rPr>
        <w:t>落物分解常数</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lang w:eastAsia="zh-CN"/>
        </w:rPr>
        <w:t>一般为0.3-0.6，温暖湿润地区为0.5-0.6，寒冷干燥地区为0.3-0.4</w:t>
      </w:r>
      <w:r>
        <w:rPr>
          <w:rFonts w:hint="default" w:ascii="Times New Roman" w:hAnsi="Times New Roman" w:cs="Times New Roman"/>
          <w:b w:val="0"/>
          <w:i w:val="0"/>
          <w:iCs/>
          <w:sz w:val="21"/>
          <w:szCs w:val="21"/>
          <w:lang w:eastAsia="zh-CN"/>
        </w:rPr>
        <w:t>）；</w:t>
      </w:r>
    </w:p>
    <w:p w14:paraId="7BBD8B4C">
      <w:pPr>
        <w:pStyle w:val="38"/>
        <w:bidi w:val="0"/>
        <w:rPr>
          <w:rFonts w:hint="default" w:ascii="Times New Roman" w:hAnsi="Times New Roman" w:cs="Times New Roman"/>
        </w:rPr>
      </w:pPr>
      <m:oMath>
        <m:r>
          <m:rPr>
            <m:nor/>
            <m:sty m:val="p"/>
          </m:rPr>
          <w:rPr>
            <w:rFonts w:hint="default" w:ascii="Times New Roman" w:hAnsi="Times New Roman" w:cs="Times New Roman"/>
            <w:b w:val="0"/>
            <w:i w:val="0"/>
            <w:kern w:val="2"/>
            <w:sz w:val="21"/>
            <w:szCs w:val="21"/>
            <w:lang w:val="en-US" w:eastAsia="zh-CN" w:bidi="ar-SA"/>
          </w:rPr>
          <m:t>n</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核算周期年数（a）</w:t>
      </w:r>
      <w:r>
        <w:rPr>
          <w:rFonts w:hint="default" w:ascii="Times New Roman" w:hAnsi="Times New Roman" w:cs="Times New Roman"/>
          <w:b w:val="0"/>
          <w:i w:val="0"/>
          <w:iCs w:val="0"/>
          <w:sz w:val="21"/>
          <w:szCs w:val="21"/>
          <w:lang w:eastAsia="zh-CN"/>
        </w:rPr>
        <w:t>。</w:t>
      </w:r>
    </w:p>
    <w:p w14:paraId="6937D044">
      <w:pPr>
        <w:pStyle w:val="40"/>
        <w:bidi w:val="0"/>
        <w:rPr>
          <w:rFonts w:hint="eastAsia"/>
          <w:lang w:val="en-US" w:eastAsia="zh-CN"/>
        </w:rPr>
      </w:pPr>
      <w:r>
        <w:rPr>
          <w:rFonts w:hint="eastAsia"/>
          <w:lang w:val="en-US" w:eastAsia="zh-CN"/>
        </w:rPr>
        <w:t>土壤碳汇量</w:t>
      </w:r>
    </w:p>
    <w:p w14:paraId="7E6652E3">
      <w:pPr>
        <w:pStyle w:val="38"/>
        <w:bidi w:val="0"/>
        <w:rPr>
          <w:rFonts w:hint="eastAsia"/>
          <w:highlight w:val="yellow"/>
          <w:lang w:eastAsia="zh-CN"/>
        </w:rPr>
      </w:pPr>
      <w:r>
        <w:rPr>
          <w:rFonts w:hint="eastAsia"/>
          <w:lang w:val="en-US" w:eastAsia="zh-CN"/>
        </w:rPr>
        <w:t>残体还田、有机肥施用等管理措施可能引起土壤有机碳储量变化。土壤碳汇计算公式如下：</w:t>
      </w:r>
    </w:p>
    <w:p w14:paraId="5012DD7A">
      <w:pPr>
        <w:pStyle w:val="115"/>
        <w:bidi w:val="0"/>
        <w:rPr>
          <w:rFonts w:hint="eastAsia"/>
          <w:lang w:eastAsia="zh-CN"/>
        </w:rPr>
      </w:pPr>
      <w:r>
        <w:rPr>
          <w:rFonts w:hint="eastAsia"/>
          <w:lang w:eastAsia="zh-CN"/>
        </w:rPr>
        <w:tab/>
      </w:r>
      <m:oMath>
        <m:sSub>
          <m:sSubPr>
            <m:ctrlPr>
              <w:rPr>
                <w:rFonts w:ascii="Cambria Math" w:hAnsi="Cambria Math"/>
                <w:i w:val="0"/>
                <w:iCs/>
                <w:lang w:val="en-US"/>
              </w:rPr>
            </m:ctrlPr>
          </m:sSubPr>
          <m:e>
            <m:r>
              <m:rPr>
                <m:sty m:val="p"/>
              </m:rPr>
              <w:rPr>
                <w:rFonts w:hint="default" w:ascii="Cambria Math" w:hAnsi="Cambria Math"/>
                <w:lang w:val="en-US" w:eastAsia="zh-CN"/>
              </w:rPr>
              <m:t>CS</m:t>
            </m:r>
            <m:ctrlPr>
              <w:rPr>
                <w:rFonts w:ascii="Cambria Math" w:hAnsi="Cambria Math"/>
                <w:i w:val="0"/>
                <w:iCs/>
                <w:lang w:val="en-US"/>
              </w:rPr>
            </m:ctrlPr>
          </m:e>
          <m:sub>
            <m:r>
              <m:rPr>
                <m:sty m:val="p"/>
              </m:rPr>
              <w:rPr>
                <w:rFonts w:hint="default" w:ascii="Cambria Math" w:hAnsi="Cambria Math"/>
                <w:lang w:val="en-US" w:eastAsia="zh-CN"/>
              </w:rPr>
              <m:t>soil</m:t>
            </m:r>
            <m:ctrlPr>
              <w:rPr>
                <w:rFonts w:ascii="Cambria Math" w:hAnsi="Cambria Math"/>
                <w:i w:val="0"/>
                <w:iCs/>
                <w:lang w:val="en-US"/>
              </w:rPr>
            </m:ctrlPr>
          </m:sub>
        </m:sSub>
        <m:r>
          <m:rPr>
            <m:sty m:val="p"/>
          </m:rPr>
          <w:rPr>
            <w:rFonts w:hint="default" w:ascii="Cambria Math" w:hAnsi="Cambria Math"/>
            <w:lang w:val="en-US" w:eastAsia="zh-CN"/>
          </w:rPr>
          <m:t>=</m:t>
        </m:r>
        <m:sSub>
          <m:sSubPr>
            <m:ctrlPr>
              <w:rPr>
                <w:rFonts w:hint="default" w:ascii="Cambria Math" w:hAnsi="Cambria Math"/>
                <w:i w:val="0"/>
                <w:iCs/>
                <w:lang w:val="en-US" w:eastAsia="zh-CN"/>
              </w:rPr>
            </m:ctrlPr>
          </m:sSubPr>
          <m:e>
            <m:r>
              <m:rPr>
                <m:sty m:val="p"/>
              </m:rPr>
              <w:rPr>
                <w:rFonts w:hint="default" w:ascii="Cambria Math" w:hAnsi="Cambria Math"/>
                <w:lang w:val="en-US" w:eastAsia="zh-CN"/>
              </w:rPr>
              <m:t>r</m:t>
            </m:r>
            <m:ctrlPr>
              <w:rPr>
                <w:rFonts w:hint="default" w:ascii="Cambria Math" w:hAnsi="Cambria Math"/>
                <w:i w:val="0"/>
                <w:iCs/>
                <w:lang w:val="en-US" w:eastAsia="zh-CN"/>
              </w:rPr>
            </m:ctrlPr>
          </m:e>
          <m:sub>
            <m:r>
              <m:rPr>
                <m:sty m:val="p"/>
              </m:rPr>
              <w:rPr>
                <w:rFonts w:hint="default" w:ascii="Cambria Math" w:hAnsi="Cambria Math"/>
                <w:lang w:val="en-US" w:eastAsia="zh-CN"/>
              </w:rPr>
              <m:t>SOC</m:t>
            </m:r>
            <m:ctrlPr>
              <w:rPr>
                <w:rFonts w:hint="default" w:ascii="Cambria Math" w:hAnsi="Cambria Math"/>
                <w:i w:val="0"/>
                <w:iCs/>
                <w:lang w:val="en-US" w:eastAsia="zh-CN"/>
              </w:rPr>
            </m:ctrlPr>
          </m:sub>
        </m:sSub>
        <m:r>
          <m:rPr>
            <m:sty m:val="p"/>
          </m:rPr>
          <w:rPr>
            <w:rFonts w:hint="default" w:ascii="Cambria Math" w:hAnsi="Cambria Math" w:cs="Cambria Math"/>
            <w:lang w:val="en-US" w:eastAsia="zh-CN"/>
          </w:rPr>
          <m:t>×</m:t>
        </m:r>
        <m:r>
          <m:rPr>
            <m:sty m:val="p"/>
          </m:rPr>
          <w:rPr>
            <w:rFonts w:hint="eastAsia" w:ascii="Cambria Math" w:hAnsi="Cambria Math" w:cs="Cambria Math"/>
            <w:lang w:val="en-US" w:eastAsia="zh-CN"/>
          </w:rPr>
          <m:t>n</m:t>
        </m:r>
        <m:r>
          <m:rPr>
            <m:sty m:val="p"/>
          </m:rPr>
          <w:rPr>
            <w:rFonts w:ascii="Cambria Math" w:hAnsi="Cambria Math" w:cs="Cambria Math"/>
            <w:lang w:val="en-US"/>
          </w:rPr>
          <m:t>×</m:t>
        </m:r>
        <m:r>
          <m:rPr>
            <m:sty m:val="p"/>
          </m:rPr>
          <w:rPr>
            <w:rFonts w:hint="default" w:ascii="Cambria Math" w:hAnsi="Cambria Math"/>
            <w:lang w:val="en-US" w:eastAsia="zh-CN"/>
          </w:rPr>
          <m:t>44/12</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19</w:t>
      </w:r>
      <w:r>
        <w:rPr>
          <w:rFonts w:hint="eastAsia"/>
          <w:lang w:eastAsia="zh-CN"/>
        </w:rPr>
        <w:fldChar w:fldCharType="end"/>
      </w:r>
      <w:r>
        <w:rPr>
          <w:rFonts w:hint="eastAsia"/>
          <w:lang w:eastAsia="zh-CN"/>
        </w:rPr>
        <w:t>)</w:t>
      </w:r>
    </w:p>
    <w:p w14:paraId="1DD83FA8">
      <w:pPr>
        <w:pStyle w:val="62"/>
        <w:rPr>
          <w:rFonts w:hint="eastAsia"/>
          <w:lang w:eastAsia="zh-CN"/>
        </w:rPr>
      </w:pPr>
      <w:r>
        <w:rPr>
          <w:rFonts w:hint="eastAsia"/>
          <w:lang w:eastAsia="zh-CN"/>
        </w:rPr>
        <w:t>式中：</w:t>
      </w:r>
    </w:p>
    <w:p w14:paraId="5B479AC6">
      <w:pPr>
        <w:pStyle w:val="38"/>
        <w:bidi w:val="0"/>
        <w:rPr>
          <w:rFonts w:hint="default" w:ascii="Times New Roman" w:hAnsi="Times New Roman" w:cs="Times New Roman"/>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soil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——土壤碳汇量（</w:t>
      </w:r>
      <w:r>
        <w:rPr>
          <w:rFonts w:hint="default" w:ascii="Times New Roman" w:hAnsi="Times New Roman" w:cs="Times New Roman"/>
          <w:b w:val="0"/>
          <w:i w:val="0"/>
          <w:iCs/>
          <w:sz w:val="21"/>
          <w:szCs w:val="21"/>
          <w:lang w:val="en-US" w:eastAsia="zh-CN"/>
        </w:rPr>
        <w:t>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e）</w:t>
      </w:r>
      <w:r>
        <w:rPr>
          <w:rFonts w:hint="default" w:ascii="Times New Roman" w:hAnsi="Times New Roman" w:cs="Times New Roman"/>
          <w:b w:val="0"/>
          <w:i w:val="0"/>
          <w:iCs/>
          <w:sz w:val="21"/>
          <w:szCs w:val="21"/>
          <w:lang w:eastAsia="zh-CN"/>
        </w:rPr>
        <w:t>；</w:t>
      </w:r>
    </w:p>
    <w:p w14:paraId="609FC68A">
      <w:pPr>
        <w:pStyle w:val="38"/>
        <w:bidi w:val="0"/>
        <w:rPr>
          <w:rFonts w:hint="default" w:ascii="Times New Roman" w:hAnsi="Times New Roman" w:cs="Times New Roman"/>
          <w:b w:val="0"/>
          <w:i w:val="0"/>
          <w:iCs w:val="0"/>
          <w:sz w:val="21"/>
          <w:szCs w:val="21"/>
          <w:lang w:eastAsia="zh-CN"/>
        </w:rPr>
      </w:pPr>
      <m:oMath>
        <m:sSub>
          <m:sSubPr>
            <m:ctrlPr>
              <w:rPr>
                <w:rFonts w:hint="default" w:ascii="Cambria Math" w:hAnsi="Cambria Math" w:cs="Times New Roman"/>
                <w:b w:val="0"/>
                <w:i w:val="0"/>
                <w:sz w:val="21"/>
                <w:szCs w:val="21"/>
              </w:rPr>
            </m:ctrlPr>
          </m:sSubPr>
          <m:e>
            <m:r>
              <m:rPr>
                <m:nor/>
                <m:sty m:val="p"/>
              </m:rPr>
              <w:rPr>
                <w:rFonts w:hint="default" w:ascii="Times New Roman" w:hAnsi="Times New Roman" w:cs="Times New Roman"/>
                <w:b w:val="0"/>
                <w:i w:val="0"/>
                <w:sz w:val="21"/>
                <w:szCs w:val="21"/>
                <w:lang w:val="en-US" w:eastAsia="zh-CN"/>
              </w:rPr>
              <m:t>r</m:t>
            </m:r>
            <m:ctrlPr>
              <w:rPr>
                <w:rFonts w:hint="default" w:ascii="Cambria Math" w:hAnsi="Cambria Math" w:cs="Times New Roman"/>
                <w:b w:val="0"/>
                <w:i w:val="0"/>
                <w:sz w:val="21"/>
                <w:szCs w:val="21"/>
              </w:rPr>
            </m:ctrlPr>
          </m:e>
          <m:sub>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sz w:val="21"/>
                <w:szCs w:val="21"/>
              </w:rPr>
            </m:ctrlPr>
          </m:sub>
        </m:sSub>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val="en-US" w:eastAsia="zh-CN"/>
        </w:rPr>
        <w:t>年土壤有机碳净变化速率（kg C/a）</w:t>
      </w:r>
      <w:r>
        <w:rPr>
          <w:rFonts w:hint="default" w:ascii="Times New Roman" w:hAnsi="Times New Roman" w:cs="Times New Roman"/>
          <w:b w:val="0"/>
          <w:i w:val="0"/>
          <w:iCs w:val="0"/>
          <w:sz w:val="21"/>
          <w:szCs w:val="21"/>
          <w:lang w:eastAsia="zh-CN"/>
        </w:rPr>
        <w:t>。</w:t>
      </w:r>
    </w:p>
    <w:p w14:paraId="0949646F">
      <w:pPr>
        <w:pStyle w:val="38"/>
        <w:bidi w:val="0"/>
        <w:rPr>
          <w:rFonts w:hint="eastAsia"/>
          <w:lang w:eastAsia="zh-CN"/>
        </w:rPr>
      </w:pPr>
      <w:r>
        <w:rPr>
          <w:rFonts w:hint="eastAsia" w:ascii="宋体" w:hAnsi="宋体"/>
          <w:b w:val="0"/>
          <w:i w:val="0"/>
          <w:iCs/>
          <w:sz w:val="21"/>
          <w:szCs w:val="21"/>
          <w:lang w:val="en-US" w:eastAsia="zh-CN"/>
        </w:rPr>
        <w:t>年土壤有机碳净变化速率计算公式如下：</w:t>
      </w:r>
    </w:p>
    <w:p w14:paraId="2C31681A">
      <w:pPr>
        <w:pStyle w:val="115"/>
        <w:bidi w:val="0"/>
        <w:rPr>
          <w:rFonts w:hint="eastAsia"/>
          <w:lang w:eastAsia="zh-CN"/>
        </w:rPr>
      </w:pPr>
      <w:r>
        <w:rPr>
          <w:rFonts w:hint="eastAsia"/>
          <w:lang w:eastAsia="zh-CN"/>
        </w:rPr>
        <w:tab/>
      </w:r>
      <m:oMath>
        <m:sSub>
          <m:sSubPr>
            <m:ctrlPr>
              <w:rPr>
                <w:rFonts w:ascii="Cambria Math" w:hAnsi="Cambria Math"/>
                <w:i w:val="0"/>
                <w:iCs/>
                <w:lang w:val="en-US"/>
              </w:rPr>
            </m:ctrlPr>
          </m:sSubPr>
          <m:e>
            <m:r>
              <m:rPr>
                <m:sty m:val="p"/>
              </m:rPr>
              <w:rPr>
                <w:rFonts w:hint="default" w:ascii="Cambria Math" w:hAnsi="Cambria Math"/>
                <w:lang w:val="en-US" w:eastAsia="zh-CN"/>
              </w:rPr>
              <m:t>r</m:t>
            </m:r>
            <m:ctrlPr>
              <w:rPr>
                <w:rFonts w:ascii="Cambria Math" w:hAnsi="Cambria Math"/>
                <w:i w:val="0"/>
                <w:iCs/>
                <w:lang w:val="en-US"/>
              </w:rPr>
            </m:ctrlPr>
          </m:e>
          <m:sub>
            <m:r>
              <m:rPr>
                <m:sty m:val="p"/>
              </m:rPr>
              <w:rPr>
                <w:rFonts w:hint="default" w:ascii="Cambria Math" w:hAnsi="Cambria Math"/>
                <w:lang w:val="en-US" w:eastAsia="zh-CN"/>
              </w:rPr>
              <m:t>SOC</m:t>
            </m:r>
            <m:ctrlPr>
              <w:rPr>
                <w:rFonts w:ascii="Cambria Math" w:hAnsi="Cambria Math"/>
                <w:i w:val="0"/>
                <w:iCs/>
                <w:lang w:val="en-US"/>
              </w:rPr>
            </m:ctrlPr>
          </m:sub>
        </m:sSub>
        <m:r>
          <m:rPr>
            <m:sty m:val="p"/>
          </m:rPr>
          <w:rPr>
            <w:rFonts w:hint="default" w:ascii="Cambria Math" w:hAnsi="Cambria Math"/>
            <w:lang w:val="en-US" w:eastAsia="zh-CN"/>
          </w:rPr>
          <m:t>=</m:t>
        </m:r>
        <m:r>
          <m:rPr>
            <m:sty m:val="p"/>
          </m:rPr>
          <w:rPr>
            <w:rFonts w:hint="default" w:ascii="Cambria Math" w:hAnsi="Cambria Math" w:cs="Cambria Math"/>
            <w:lang w:val="en-US" w:eastAsia="zh-CN"/>
          </w:rPr>
          <m:t>∆SOC/n</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w:t>
      </w:r>
    </w:p>
    <w:p w14:paraId="59D232EB">
      <w:pPr>
        <w:pStyle w:val="62"/>
        <w:rPr>
          <w:rFonts w:hint="eastAsia"/>
          <w:lang w:eastAsia="zh-CN"/>
        </w:rPr>
      </w:pPr>
      <w:r>
        <w:rPr>
          <w:rFonts w:hint="eastAsia"/>
          <w:lang w:eastAsia="zh-CN"/>
        </w:rPr>
        <w:t>式中：</w:t>
      </w:r>
    </w:p>
    <w:p w14:paraId="204865D6">
      <w:pPr>
        <w:pStyle w:val="38"/>
        <w:bidi w:val="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sz w:val="21"/>
            <w:szCs w:val="21"/>
          </w:rPr>
          <m:t>∆</m:t>
        </m:r>
        <m:r>
          <m:rPr>
            <m:nor/>
            <m:sty m:val="p"/>
          </m:rPr>
          <w:rPr>
            <w:rFonts w:hint="default" w:ascii="Times New Roman" w:hAnsi="Times New Roman" w:cs="Times New Roman"/>
            <w:b w:val="0"/>
            <w:i w:val="0"/>
            <w:sz w:val="21"/>
            <w:szCs w:val="21"/>
            <w:lang w:val="en-US" w:eastAsia="zh-CN"/>
          </w:rPr>
          <m:t>SOC</m:t>
        </m:r>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eastAsia="zh-CN"/>
        </w:rPr>
        <w:t>监测期内土壤有机碳储量变化（</w:t>
      </w:r>
      <w:r>
        <w:rPr>
          <w:rFonts w:hint="default" w:ascii="Times New Roman" w:hAnsi="Times New Roman" w:cs="Times New Roman"/>
          <w:b w:val="0"/>
          <w:i w:val="0"/>
          <w:iCs/>
          <w:sz w:val="21"/>
          <w:szCs w:val="21"/>
          <w:lang w:val="en-US" w:eastAsia="zh-CN"/>
        </w:rPr>
        <w:t>kg</w:t>
      </w:r>
      <w:r>
        <w:rPr>
          <w:rFonts w:hint="default" w:ascii="Times New Roman" w:hAnsi="Times New Roman" w:cs="Times New Roman"/>
          <w:b w:val="0"/>
          <w:i w:val="0"/>
          <w:iCs/>
          <w:sz w:val="21"/>
          <w:szCs w:val="21"/>
          <w:lang w:eastAsia="zh-CN"/>
        </w:rPr>
        <w:t xml:space="preserve"> C），结果为正表示净固碳，为负表示净释放；</w:t>
      </w:r>
    </w:p>
    <w:p w14:paraId="1496C7AF">
      <w:pPr>
        <w:pStyle w:val="38"/>
        <w:bidi w:val="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sz w:val="21"/>
            <w:szCs w:val="21"/>
            <w:lang w:val="en-US" w:eastAsia="zh-CN"/>
          </w:rPr>
          <m:t>n</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定位监测年数（a），应不小于3。</w:t>
      </w:r>
    </w:p>
    <w:p w14:paraId="292093B3">
      <w:pPr>
        <w:pStyle w:val="38"/>
        <w:bidi w:val="0"/>
        <w:rPr>
          <w:rFonts w:hint="eastAsia" w:ascii="宋体" w:hAnsi="宋体"/>
          <w:b w:val="0"/>
          <w:i w:val="0"/>
          <w:sz w:val="21"/>
          <w:szCs w:val="21"/>
          <w:lang w:val="en-US" w:eastAsia="zh-CN"/>
        </w:rPr>
      </w:pPr>
      <w:r>
        <w:rPr>
          <w:rFonts w:hint="eastAsia" w:ascii="宋体" w:hAnsi="宋体"/>
          <w:b w:val="0"/>
          <w:i w:val="0"/>
          <w:sz w:val="21"/>
          <w:szCs w:val="21"/>
          <w:lang w:val="en-US" w:eastAsia="zh-CN"/>
        </w:rPr>
        <w:t>土壤有机碳变化量</w:t>
      </w:r>
      <w:r>
        <w:rPr>
          <w:rFonts w:hint="eastAsia" w:ascii="Times New Roman" w:hAnsi="Times New Roman" w:cs="Times New Roman"/>
          <w:b w:val="0"/>
          <w:i w:val="0"/>
          <w:sz w:val="21"/>
          <w:szCs w:val="21"/>
          <w:lang w:val="en-US" w:eastAsia="zh-CN"/>
        </w:rPr>
        <w:t>计算</w:t>
      </w:r>
      <w:r>
        <w:rPr>
          <w:rFonts w:hint="eastAsia" w:ascii="宋体" w:hAnsi="宋体"/>
          <w:b w:val="0"/>
          <w:i w:val="0"/>
          <w:sz w:val="21"/>
          <w:szCs w:val="21"/>
          <w:lang w:val="en-US" w:eastAsia="zh-CN"/>
        </w:rPr>
        <w:t>公式如下：</w:t>
      </w:r>
    </w:p>
    <w:p w14:paraId="07559650">
      <w:pPr>
        <w:pStyle w:val="115"/>
        <w:bidi w:val="0"/>
        <w:rPr>
          <w:rFonts w:hint="eastAsia"/>
          <w:lang w:eastAsia="zh-CN"/>
        </w:rPr>
      </w:pPr>
      <w:r>
        <w:rPr>
          <w:rFonts w:hint="eastAsia"/>
          <w:lang w:eastAsia="zh-CN"/>
        </w:rPr>
        <w:tab/>
      </w:r>
      <m:oMath>
        <m:r>
          <m:rPr>
            <m:sty m:val="p"/>
          </m:rPr>
          <w:rPr>
            <w:rFonts w:ascii="Cambria Math" w:hAnsi="Cambria Math"/>
            <w:lang w:val="en-US"/>
          </w:rPr>
          <m:t>∆</m:t>
        </m:r>
        <m:r>
          <m:rPr>
            <m:sty m:val="p"/>
          </m:rPr>
          <w:rPr>
            <w:rFonts w:hint="default" w:ascii="Cambria Math" w:hAnsi="Cambria Math"/>
            <w:lang w:val="en-US" w:eastAsia="zh-CN"/>
          </w:rPr>
          <m:t>SOC=</m:t>
        </m:r>
        <m:sSub>
          <m:sSubPr>
            <m:ctrlPr>
              <w:rPr>
                <w:rFonts w:hint="default" w:ascii="Cambria Math" w:hAnsi="Cambria Math"/>
                <w:lang w:val="en-US" w:eastAsia="zh-CN"/>
              </w:rPr>
            </m:ctrlPr>
          </m:sSubPr>
          <m:e>
            <m:r>
              <m:rPr>
                <m:sty m:val="p"/>
              </m:rPr>
              <w:rPr>
                <w:rFonts w:hint="default" w:ascii="Cambria Math" w:hAnsi="Cambria Math"/>
                <w:lang w:val="en-US" w:eastAsia="zh-CN"/>
              </w:rPr>
              <m:t>SOC</m:t>
            </m:r>
            <m:ctrlPr>
              <w:rPr>
                <w:rFonts w:hint="default" w:ascii="Cambria Math" w:hAnsi="Cambria Math"/>
                <w:lang w:val="en-US" w:eastAsia="zh-CN"/>
              </w:rPr>
            </m:ctrlPr>
          </m:e>
          <m:sub>
            <m:r>
              <m:rPr>
                <m:sty m:val="p"/>
              </m:rPr>
              <w:rPr>
                <w:rFonts w:hint="eastAsia" w:ascii="Cambria Math" w:hAnsi="Cambria Math"/>
                <w:lang w:val="en-US" w:eastAsia="zh-CN"/>
              </w:rPr>
              <m:t>stock</m:t>
            </m:r>
            <m:r>
              <m:rPr>
                <m:sty m:val="p"/>
              </m:rPr>
              <w:rPr>
                <w:rFonts w:hint="default" w:ascii="Cambria Math" w:hAnsi="Cambria Math"/>
                <w:lang w:val="en-US" w:eastAsia="zh-CN"/>
              </w:rPr>
              <m:t>,</m:t>
            </m:r>
            <m:r>
              <m:rPr>
                <m:sty m:val="p"/>
              </m:rPr>
              <w:rPr>
                <w:rFonts w:hint="eastAsia" w:ascii="Cambria Math" w:hAnsi="Cambria Math"/>
                <w:lang w:val="en-US" w:eastAsia="zh-CN"/>
              </w:rPr>
              <m:t>f</m:t>
            </m:r>
            <m:ctrlPr>
              <w:rPr>
                <w:rFonts w:hint="default" w:ascii="Cambria Math" w:hAnsi="Cambria Math"/>
                <w:lang w:val="en-US" w:eastAsia="zh-CN"/>
              </w:rPr>
            </m:ctrlPr>
          </m:sub>
        </m:sSub>
        <m:r>
          <m:rPr>
            <m:sty m:val="p"/>
          </m:rPr>
          <w:rPr>
            <w:rFonts w:hint="default" w:ascii="Cambria Math" w:hAnsi="Cambria Math"/>
            <w:lang w:val="en-US" w:eastAsia="zh-CN"/>
          </w:rPr>
          <m:t>−</m:t>
        </m:r>
        <m:sSub>
          <m:sSubPr>
            <m:ctrlPr>
              <w:rPr>
                <w:rFonts w:hint="default" w:ascii="Cambria Math" w:hAnsi="Cambria Math"/>
                <w:lang w:val="en-US" w:eastAsia="zh-CN"/>
              </w:rPr>
            </m:ctrlPr>
          </m:sSubPr>
          <m:e>
            <m:r>
              <m:rPr>
                <m:sty m:val="p"/>
              </m:rPr>
              <w:rPr>
                <w:rFonts w:hint="default" w:ascii="Cambria Math" w:hAnsi="Cambria Math"/>
                <w:lang w:val="en-US" w:eastAsia="zh-CN"/>
              </w:rPr>
              <m:t>SOC</m:t>
            </m:r>
            <m:ctrlPr>
              <w:rPr>
                <w:rFonts w:hint="default" w:ascii="Cambria Math" w:hAnsi="Cambria Math"/>
                <w:lang w:val="en-US" w:eastAsia="zh-CN"/>
              </w:rPr>
            </m:ctrlPr>
          </m:e>
          <m:sub>
            <m:r>
              <m:rPr>
                <m:sty m:val="p"/>
              </m:rPr>
              <w:rPr>
                <w:rFonts w:hint="eastAsia" w:ascii="Cambria Math" w:hAnsi="Cambria Math"/>
                <w:lang w:val="en-US" w:eastAsia="zh-CN"/>
              </w:rPr>
              <m:t>stock</m:t>
            </m:r>
            <m:r>
              <m:rPr>
                <m:sty m:val="p"/>
              </m:rPr>
              <w:rPr>
                <w:rFonts w:hint="default" w:ascii="Cambria Math" w:hAnsi="Cambria Math"/>
                <w:lang w:val="en-US" w:eastAsia="zh-CN"/>
              </w:rPr>
              <m:t>,0</m:t>
            </m:r>
            <m:ctrlPr>
              <w:rPr>
                <w:rFonts w:hint="default" w:ascii="Cambria Math" w:hAnsi="Cambria Math"/>
                <w:lang w:val="en-US" w:eastAsia="zh-CN"/>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21</w:t>
      </w:r>
      <w:r>
        <w:rPr>
          <w:rFonts w:hint="eastAsia"/>
          <w:lang w:eastAsia="zh-CN"/>
        </w:rPr>
        <w:fldChar w:fldCharType="end"/>
      </w:r>
      <w:r>
        <w:rPr>
          <w:rFonts w:hint="eastAsia"/>
          <w:lang w:eastAsia="zh-CN"/>
        </w:rPr>
        <w:t>)</w:t>
      </w:r>
    </w:p>
    <w:p w14:paraId="67C37782">
      <w:pPr>
        <w:pStyle w:val="62"/>
        <w:rPr>
          <w:rFonts w:hint="eastAsia"/>
          <w:lang w:eastAsia="zh-CN"/>
        </w:rPr>
      </w:pPr>
      <w:r>
        <w:rPr>
          <w:rFonts w:hint="eastAsia"/>
          <w:lang w:eastAsia="zh-CN"/>
        </w:rPr>
        <w:t>式中：</w:t>
      </w:r>
    </w:p>
    <w:p w14:paraId="42955683">
      <w:pPr>
        <w:pStyle w:val="38"/>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stock,f</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监测期末的</w:t>
      </w:r>
      <w:r>
        <w:rPr>
          <w:rFonts w:hint="default" w:ascii="Times New Roman" w:hAnsi="Times New Roman" w:cs="Times New Roman"/>
          <w:b w:val="0"/>
          <w:i w:val="0"/>
          <w:sz w:val="21"/>
          <w:szCs w:val="21"/>
          <w:lang w:val="en-US" w:eastAsia="zh-CN"/>
        </w:rPr>
        <w:t>土壤</w:t>
      </w:r>
      <w:r>
        <w:rPr>
          <w:rFonts w:hint="default" w:ascii="Times New Roman" w:hAnsi="Times New Roman" w:cs="Times New Roman"/>
          <w:b w:val="0"/>
          <w:i w:val="0"/>
          <w:iCs/>
          <w:sz w:val="21"/>
          <w:szCs w:val="21"/>
          <w:lang w:val="en-US" w:eastAsia="zh-CN"/>
        </w:rPr>
        <w:t>有机碳储量（kg C）；</w:t>
      </w:r>
    </w:p>
    <w:p w14:paraId="4596E73F">
      <w:pPr>
        <w:pStyle w:val="38"/>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stock,0</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——监测期初的</w:t>
      </w:r>
      <w:r>
        <w:rPr>
          <w:rFonts w:hint="default" w:ascii="Times New Roman" w:hAnsi="Times New Roman" w:cs="Times New Roman"/>
          <w:b w:val="0"/>
          <w:i w:val="0"/>
          <w:sz w:val="21"/>
          <w:szCs w:val="21"/>
          <w:lang w:val="en-US" w:eastAsia="zh-CN"/>
        </w:rPr>
        <w:t>土壤</w:t>
      </w:r>
      <w:r>
        <w:rPr>
          <w:rFonts w:hint="default" w:ascii="Times New Roman" w:hAnsi="Times New Roman" w:cs="Times New Roman"/>
          <w:b w:val="0"/>
          <w:i w:val="0"/>
          <w:iCs/>
          <w:sz w:val="21"/>
          <w:szCs w:val="21"/>
          <w:lang w:val="en-US" w:eastAsia="zh-CN"/>
        </w:rPr>
        <w:t>有机碳储量（kg C）。</w:t>
      </w:r>
    </w:p>
    <w:p w14:paraId="4833EF92">
      <w:pPr>
        <w:pStyle w:val="38"/>
        <w:bidi w:val="0"/>
        <w:rPr>
          <w:rFonts w:hint="eastAsia"/>
          <w:lang w:eastAsia="zh-CN"/>
        </w:rPr>
      </w:pPr>
      <w:r>
        <w:rPr>
          <w:rFonts w:hint="eastAsia"/>
          <w:lang w:val="en-US" w:eastAsia="zh-CN"/>
        </w:rPr>
        <w:t>土壤有机碳储量计算公式如下：</w:t>
      </w:r>
    </w:p>
    <w:p w14:paraId="17677123">
      <w:pPr>
        <w:pStyle w:val="115"/>
        <w:bidi w:val="0"/>
        <w:rPr>
          <w:rFonts w:hint="eastAsia"/>
          <w:lang w:eastAsia="zh-CN"/>
        </w:rPr>
      </w:pPr>
      <w:r>
        <w:rPr>
          <w:rFonts w:hint="eastAsia"/>
          <w:lang w:eastAsia="zh-CN"/>
        </w:rPr>
        <w:tab/>
      </w:r>
      <m:oMath>
        <m:sSub>
          <m:sSubPr>
            <m:ctrlPr>
              <w:rPr>
                <w:rFonts w:ascii="Cambria Math" w:hAnsi="Cambria Math"/>
                <w:i w:val="0"/>
                <w:iCs/>
                <w:lang w:val="en-US"/>
              </w:rPr>
            </m:ctrlPr>
          </m:sSubPr>
          <m:e>
            <m:r>
              <m:rPr>
                <m:sty m:val="p"/>
              </m:rPr>
              <w:rPr>
                <w:rFonts w:hint="default" w:ascii="Cambria Math" w:hAnsi="Cambria Math"/>
                <w:lang w:val="en-US" w:eastAsia="zh-CN"/>
              </w:rPr>
              <m:t>SOC</m:t>
            </m:r>
            <m:ctrlPr>
              <w:rPr>
                <w:rFonts w:ascii="Cambria Math" w:hAnsi="Cambria Math"/>
                <w:i w:val="0"/>
                <w:iCs/>
                <w:lang w:val="en-US"/>
              </w:rPr>
            </m:ctrlPr>
          </m:e>
          <m:sub>
            <m:r>
              <m:rPr>
                <m:sty m:val="p"/>
              </m:rPr>
              <w:rPr>
                <w:rFonts w:hint="default" w:ascii="Cambria Math" w:hAnsi="Cambria Math"/>
                <w:lang w:val="en-US" w:eastAsia="zh-CN"/>
              </w:rPr>
              <m:t>stock</m:t>
            </m:r>
            <m:ctrlPr>
              <w:rPr>
                <w:rFonts w:ascii="Cambria Math" w:hAnsi="Cambria Math"/>
                <w:i w:val="0"/>
                <w:iCs/>
                <w:lang w:val="en-US"/>
              </w:rPr>
            </m:ctrlPr>
          </m:sub>
        </m:sSub>
        <m:r>
          <m:rPr>
            <m:sty m:val="p"/>
          </m:rPr>
          <w:rPr>
            <w:rFonts w:hint="default" w:ascii="Cambria Math" w:hAnsi="Cambria Math"/>
            <w:lang w:val="en-US" w:eastAsia="zh-CN"/>
          </w:rPr>
          <m:t>=</m:t>
        </m:r>
        <m:sSub>
          <m:sSubPr>
            <m:ctrlPr>
              <w:rPr>
                <w:rFonts w:hint="default" w:ascii="Cambria Math" w:hAnsi="Cambria Math"/>
                <w:i w:val="0"/>
                <w:iCs/>
                <w:lang w:val="en-US" w:eastAsia="zh-CN"/>
              </w:rPr>
            </m:ctrlPr>
          </m:sSubPr>
          <m:e>
            <m:r>
              <m:rPr>
                <m:sty m:val="p"/>
              </m:rPr>
              <w:rPr>
                <w:rFonts w:hint="default" w:ascii="Cambria Math" w:hAnsi="Cambria Math"/>
                <w:lang w:val="en-US" w:eastAsia="zh-CN"/>
              </w:rPr>
              <m:t>SOC</m:t>
            </m:r>
            <m:ctrlPr>
              <w:rPr>
                <w:rFonts w:hint="default" w:ascii="Cambria Math" w:hAnsi="Cambria Math"/>
                <w:i w:val="0"/>
                <w:iCs/>
                <w:lang w:val="en-US" w:eastAsia="zh-CN"/>
              </w:rPr>
            </m:ctrlPr>
          </m:e>
          <m:sub>
            <m:r>
              <m:rPr>
                <m:sty m:val="p"/>
              </m:rPr>
              <w:rPr>
                <w:rFonts w:hint="default" w:ascii="Cambria Math" w:hAnsi="Cambria Math"/>
                <w:lang w:val="en-US" w:eastAsia="zh-CN"/>
              </w:rPr>
              <m:t>C</m:t>
            </m:r>
            <m:ctrlPr>
              <w:rPr>
                <w:rFonts w:hint="default" w:ascii="Cambria Math" w:hAnsi="Cambria Math"/>
                <w:i w:val="0"/>
                <w:iCs/>
                <w:lang w:val="en-US" w:eastAsia="zh-CN"/>
              </w:rPr>
            </m:ctrlPr>
          </m:sub>
        </m:sSub>
        <m:r>
          <m:rPr>
            <m:sty m:val="p"/>
          </m:rPr>
          <w:rPr>
            <w:rFonts w:hint="default" w:ascii="Cambria Math" w:hAnsi="Cambria Math" w:cs="Cambria Math"/>
            <w:lang w:val="en-US" w:eastAsia="zh-CN"/>
          </w:rPr>
          <m:t>×BD×D×A</m:t>
        </m:r>
        <m:r>
          <m:rPr>
            <m:sty m:val="p"/>
          </m:rPr>
          <w:rPr>
            <w:rFonts w:ascii="Cambria Math" w:hAnsi="Cambria Math" w:cs="Cambria Math"/>
            <w:lang w:val="en-US"/>
          </w:rPr>
          <m:t>×</m:t>
        </m:r>
        <m:r>
          <m:rPr>
            <m:sty m:val="p"/>
          </m:rPr>
          <w:rPr>
            <w:rFonts w:hint="default" w:ascii="Cambria Math" w:hAnsi="Cambria Math" w:cs="Cambria Math"/>
            <w:lang w:val="en-US" w:eastAsia="zh-CN"/>
          </w:rPr>
          <m:t>0.01</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22</w:t>
      </w:r>
      <w:r>
        <w:rPr>
          <w:rFonts w:hint="eastAsia"/>
          <w:lang w:eastAsia="zh-CN"/>
        </w:rPr>
        <w:fldChar w:fldCharType="end"/>
      </w:r>
      <w:r>
        <w:rPr>
          <w:rFonts w:hint="eastAsia"/>
          <w:lang w:eastAsia="zh-CN"/>
        </w:rPr>
        <w:t>)</w:t>
      </w:r>
    </w:p>
    <w:p w14:paraId="17DAACF1">
      <w:pPr>
        <w:pStyle w:val="62"/>
        <w:rPr>
          <w:rFonts w:hint="eastAsia"/>
          <w:lang w:eastAsia="zh-CN"/>
        </w:rPr>
      </w:pPr>
      <w:r>
        <w:rPr>
          <w:rFonts w:hint="eastAsia"/>
          <w:lang w:eastAsia="zh-CN"/>
        </w:rPr>
        <w:t>式中：</w:t>
      </w:r>
    </w:p>
    <w:p w14:paraId="34DD2D0F">
      <w:pPr>
        <w:pStyle w:val="38"/>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w:t>
      </w:r>
      <w:r>
        <w:rPr>
          <w:rFonts w:hint="default" w:ascii="Times New Roman" w:hAnsi="Times New Roman" w:cs="Times New Roman"/>
          <w:b w:val="0"/>
          <w:i w:val="0"/>
          <w:sz w:val="21"/>
          <w:szCs w:val="21"/>
          <w:lang w:eastAsia="zh-CN"/>
        </w:rPr>
        <w:t>有机</w:t>
      </w:r>
      <w:r>
        <w:rPr>
          <w:rFonts w:hint="default" w:ascii="Times New Roman" w:hAnsi="Times New Roman" w:cs="Times New Roman"/>
          <w:b w:val="0"/>
          <w:i w:val="0"/>
          <w:iCs/>
          <w:sz w:val="21"/>
          <w:szCs w:val="21"/>
          <w:lang w:eastAsia="zh-CN"/>
        </w:rPr>
        <w:t>碳储量（</w:t>
      </w:r>
      <w:r>
        <w:rPr>
          <w:rFonts w:hint="default" w:ascii="Times New Roman" w:hAnsi="Times New Roman" w:cs="Times New Roman"/>
          <w:b w:val="0"/>
          <w:i w:val="0"/>
          <w:iCs/>
          <w:sz w:val="21"/>
          <w:szCs w:val="21"/>
          <w:lang w:val="en-US" w:eastAsia="zh-CN"/>
        </w:rPr>
        <w:t>kg C）</w:t>
      </w:r>
      <w:r>
        <w:rPr>
          <w:rFonts w:hint="default" w:ascii="Times New Roman" w:hAnsi="Times New Roman" w:cs="Times New Roman"/>
          <w:b w:val="0"/>
          <w:i w:val="0"/>
          <w:iCs/>
          <w:sz w:val="21"/>
          <w:szCs w:val="21"/>
          <w:lang w:eastAsia="zh-CN"/>
        </w:rPr>
        <w:t>；</w:t>
      </w:r>
    </w:p>
    <w:p w14:paraId="7C46CDAB">
      <w:pPr>
        <w:pStyle w:val="38"/>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——土壤有机碳储</w:t>
      </w:r>
      <w:r>
        <w:rPr>
          <w:rFonts w:hint="default" w:ascii="Times New Roman" w:hAnsi="Times New Roman" w:cs="Times New Roman"/>
          <w:b w:val="0"/>
          <w:i w:val="0"/>
          <w:iCs/>
          <w:sz w:val="21"/>
          <w:szCs w:val="21"/>
          <w:lang w:val="en-US" w:eastAsia="zh-CN"/>
        </w:rPr>
        <w:t>含量</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g/kg）</w:t>
      </w:r>
      <w:r>
        <w:rPr>
          <w:rFonts w:hint="default" w:ascii="Times New Roman" w:hAnsi="Times New Roman" w:cs="Times New Roman"/>
          <w:b w:val="0"/>
          <w:i w:val="0"/>
          <w:iCs/>
          <w:sz w:val="21"/>
          <w:szCs w:val="21"/>
          <w:lang w:eastAsia="zh-CN"/>
        </w:rPr>
        <w:t>；</w:t>
      </w:r>
    </w:p>
    <w:p w14:paraId="64505907">
      <w:pPr>
        <w:pStyle w:val="38"/>
        <w:bidi w:val="0"/>
        <w:rPr>
          <w:rFonts w:hint="default" w:ascii="Times New Roman" w:hAnsi="Times New Roman" w:eastAsia="宋体"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BD</m:t>
        </m:r>
      </m:oMath>
      <w:r>
        <w:rPr>
          <w:rFonts w:hint="default" w:ascii="Times New Roman" w:hAnsi="Times New Roman" w:cs="Times New Roman"/>
          <w:b w:val="0"/>
          <w:i w:val="0"/>
          <w:iCs/>
          <w:sz w:val="21"/>
          <w:szCs w:val="21"/>
          <w:lang w:eastAsia="zh-CN"/>
        </w:rPr>
        <w:t>——土壤</w:t>
      </w:r>
      <w:r>
        <w:rPr>
          <w:rFonts w:hint="default" w:ascii="Times New Roman" w:hAnsi="Times New Roman" w:cs="Times New Roman"/>
          <w:b w:val="0"/>
          <w:i w:val="0"/>
          <w:iCs/>
          <w:sz w:val="21"/>
          <w:szCs w:val="21"/>
          <w:lang w:val="en-US" w:eastAsia="zh-CN"/>
        </w:rPr>
        <w:t>容重</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g/cm³）</w:t>
      </w:r>
      <w:r>
        <w:rPr>
          <w:rFonts w:hint="default" w:ascii="Times New Roman" w:hAnsi="Times New Roman" w:cs="Times New Roman"/>
          <w:b w:val="0"/>
          <w:i w:val="0"/>
          <w:iCs/>
          <w:sz w:val="21"/>
          <w:szCs w:val="21"/>
          <w:lang w:eastAsia="zh-CN"/>
        </w:rPr>
        <w:t>；</w:t>
      </w:r>
    </w:p>
    <w:p w14:paraId="46A769EA">
      <w:pPr>
        <w:pStyle w:val="38"/>
        <w:bidi w:val="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D</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计算</w:t>
      </w:r>
      <w:r>
        <w:rPr>
          <w:rFonts w:hint="default" w:ascii="Times New Roman" w:hAnsi="Times New Roman" w:cs="Times New Roman"/>
          <w:b w:val="0"/>
          <w:i w:val="0"/>
          <w:sz w:val="21"/>
          <w:szCs w:val="21"/>
          <w:lang w:val="en-US" w:eastAsia="zh-CN"/>
        </w:rPr>
        <w:t>土层</w:t>
      </w:r>
      <w:r>
        <w:rPr>
          <w:rFonts w:hint="default" w:ascii="Times New Roman" w:hAnsi="Times New Roman" w:cs="Times New Roman"/>
          <w:b w:val="0"/>
          <w:i w:val="0"/>
          <w:iCs/>
          <w:sz w:val="21"/>
          <w:szCs w:val="21"/>
          <w:lang w:val="en-US" w:eastAsia="zh-CN"/>
        </w:rPr>
        <w:t>深度</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cm），取0 cm～20 cm 或 0 cm～30 cm</w:t>
      </w:r>
      <w:r>
        <w:rPr>
          <w:rFonts w:hint="default" w:ascii="Times New Roman" w:hAnsi="Times New Roman" w:cs="Times New Roman"/>
          <w:b w:val="0"/>
          <w:i w:val="0"/>
          <w:iCs/>
          <w:sz w:val="21"/>
          <w:szCs w:val="21"/>
          <w:lang w:eastAsia="zh-CN"/>
        </w:rPr>
        <w:t>；</w:t>
      </w:r>
    </w:p>
    <w:p w14:paraId="1E60A9CB">
      <w:pPr>
        <w:pStyle w:val="38"/>
        <w:bidi w:val="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A</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种植面积</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m²）</w:t>
      </w:r>
      <w:r>
        <w:rPr>
          <w:rFonts w:hint="default" w:ascii="Times New Roman" w:hAnsi="Times New Roman" w:cs="Times New Roman"/>
          <w:b w:val="0"/>
          <w:i w:val="0"/>
          <w:iCs/>
          <w:sz w:val="21"/>
          <w:szCs w:val="21"/>
          <w:lang w:eastAsia="zh-CN"/>
        </w:rPr>
        <w:t>；</w:t>
      </w:r>
    </w:p>
    <w:p w14:paraId="2A5E475B">
      <w:pPr>
        <w:pStyle w:val="38"/>
        <w:bidi w:val="0"/>
        <w:rPr>
          <w:rFonts w:hint="default" w:ascii="Times New Roman" w:hAnsi="Times New Roman" w:cs="Times New Roman"/>
          <w:lang w:eastAsia="zh-CN"/>
        </w:rPr>
      </w:pPr>
      <m:oMath>
        <m:r>
          <m:rPr>
            <m:nor/>
            <m:sty m:val="p"/>
          </m:rPr>
          <w:rPr>
            <w:rFonts w:hint="default" w:ascii="Times New Roman" w:hAnsi="Times New Roman" w:cs="Times New Roman"/>
            <w:b w:val="0"/>
            <w:i w:val="0"/>
            <w:kern w:val="2"/>
            <w:sz w:val="21"/>
            <w:szCs w:val="21"/>
            <w:lang w:val="en-US" w:eastAsia="zh-CN" w:bidi="ar-SA"/>
          </w:rPr>
          <m:t>0.01</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单位换算系数。</w:t>
      </w:r>
    </w:p>
    <w:p w14:paraId="7EADC5F5">
      <w:pPr>
        <w:pStyle w:val="37"/>
        <w:bidi w:val="0"/>
        <w:rPr>
          <w:rFonts w:hint="eastAsia"/>
          <w:lang w:eastAsia="zh-CN"/>
        </w:rPr>
      </w:pPr>
      <w:bookmarkStart w:id="78" w:name="_Toc23922"/>
      <w:r>
        <w:rPr>
          <w:rFonts w:hint="eastAsia"/>
          <w:lang w:eastAsia="zh-CN"/>
        </w:rPr>
        <w:t>包装阶段 GHG 排放量</w:t>
      </w:r>
      <w:bookmarkEnd w:id="78"/>
    </w:p>
    <w:p w14:paraId="4CE063CC">
      <w:pPr>
        <w:pStyle w:val="38"/>
        <w:bidi w:val="0"/>
        <w:rPr>
          <w:rFonts w:hint="eastAsia" w:ascii="Times New Roman" w:hAnsi="Times New Roman" w:eastAsia="宋体" w:cs="Times New Roman"/>
          <w:b w:val="0"/>
          <w:i w:val="0"/>
          <w:sz w:val="21"/>
          <w:szCs w:val="21"/>
          <w:lang w:val="en-US" w:eastAsia="zh-CN"/>
        </w:rPr>
      </w:pPr>
      <w:r>
        <w:rPr>
          <w:rFonts w:hint="eastAsia" w:ascii="Times New Roman" w:hAnsi="Times New Roman" w:eastAsia="宋体" w:cs="Times New Roman"/>
          <w:b w:val="0"/>
          <w:i w:val="0"/>
          <w:sz w:val="21"/>
          <w:szCs w:val="21"/>
          <w:lang w:val="en-US" w:eastAsia="zh-CN"/>
        </w:rPr>
        <w:t>包装阶段 GHG 排放由包装作业耗能构成。包装作业分为人工包装或机器包装，人工包装不产生温室气体排放，机器包装根据耗能计算温室气体排放量。计算公式如下：</w:t>
      </w:r>
    </w:p>
    <w:p w14:paraId="0DA2296A">
      <w:pPr>
        <w:pStyle w:val="115"/>
        <w:bidi w:val="0"/>
        <w:rPr>
          <w:rFonts w:hint="eastAsia"/>
          <w:lang w:val="en-US" w:eastAsia="zh-CN"/>
        </w:rPr>
      </w:pPr>
      <w:r>
        <w:rPr>
          <w:rFonts w:hint="eastAsia"/>
          <w:lang w:val="en-US" w:eastAsia="zh-CN"/>
        </w:rPr>
        <w:tab/>
      </w:r>
      <m:oMath>
        <m:sSub>
          <m:sSubPr>
            <m:ctrlPr>
              <w:rPr>
                <w:rFonts w:hint="default" w:ascii="Cambria Math" w:hAnsi="Cambria Math" w:cs="Times New Roman"/>
                <w:i w:val="0"/>
                <w:iCs w:val="0"/>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CE</m:t>
            </m:r>
            <m:ctrlPr>
              <w:rPr>
                <w:rFonts w:hint="default" w:ascii="Cambria Math" w:hAnsi="Cambria Math" w:cs="Times New Roman"/>
                <w:i w:val="0"/>
                <w:iCs w:val="0"/>
                <w:kern w:val="2"/>
                <w:sz w:val="21"/>
                <w:szCs w:val="21"/>
                <w:lang w:val="en-US" w:eastAsia="zh-CN" w:bidi="ar-SA"/>
              </w:rPr>
            </m:ctrlPr>
          </m:e>
          <m:sub>
            <m:r>
              <m:rPr>
                <m:sty m:val="p"/>
              </m:rPr>
              <w:rPr>
                <w:rFonts w:hint="default" w:ascii="Cambria Math" w:hAnsi="Cambria Math" w:cs="Times New Roman"/>
                <w:kern w:val="2"/>
                <w:sz w:val="21"/>
                <w:szCs w:val="21"/>
                <w:lang w:val="en-US" w:eastAsia="zh-CN" w:bidi="ar-SA"/>
              </w:rPr>
              <m:t>machine</m:t>
            </m:r>
            <m:r>
              <m:rPr>
                <m:sty m:val="p"/>
              </m:rPr>
              <w:rPr>
                <w:rFonts w:hint="eastAsia" w:ascii="Cambria Math" w:hAnsi="Cambria Math" w:cs="Times New Roman"/>
                <w:kern w:val="2"/>
                <w:sz w:val="21"/>
                <w:szCs w:val="21"/>
                <w:lang w:val="en-US" w:eastAsia="zh-CN" w:bidi="ar-SA"/>
              </w:rPr>
              <m:t>ry</m:t>
            </m:r>
            <m:r>
              <m:rPr>
                <m:sty m:val="p"/>
              </m:rPr>
              <w:rPr>
                <w:rFonts w:hint="default" w:ascii="Cambria Math" w:hAnsi="Cambria Math" w:cs="Times New Roman"/>
                <w:kern w:val="2"/>
                <w:sz w:val="21"/>
                <w:szCs w:val="21"/>
                <w:lang w:val="en-US" w:eastAsia="zh-CN" w:bidi="ar-SA"/>
              </w:rPr>
              <m:t>,</m:t>
            </m:r>
            <m:r>
              <m:rPr>
                <m:sty m:val="p"/>
              </m:rPr>
              <w:rPr>
                <w:rFonts w:hint="eastAsia" w:ascii="Cambria Math" w:hAnsi="Cambria Math" w:cs="Times New Roman"/>
                <w:kern w:val="2"/>
                <w:sz w:val="21"/>
                <w:szCs w:val="21"/>
                <w:lang w:val="en-US" w:eastAsia="zh-CN" w:bidi="ar-SA"/>
              </w:rPr>
              <m:t>package</m:t>
            </m:r>
            <m:ctrlPr>
              <w:rPr>
                <w:rFonts w:hint="default" w:ascii="Cambria Math" w:hAnsi="Cambria Math" w:cs="Times New Roman"/>
                <w:i w:val="0"/>
                <w:iCs w:val="0"/>
                <w:kern w:val="2"/>
                <w:sz w:val="21"/>
                <w:szCs w:val="21"/>
                <w:lang w:val="en-US" w:eastAsia="zh-CN" w:bidi="ar-SA"/>
              </w:rPr>
            </m:ctrlPr>
          </m:sub>
        </m:sSub>
        <m:r>
          <m:rPr>
            <m:sty m:val="p"/>
          </m:rPr>
          <w:rPr>
            <w:rFonts w:hint="default" w:ascii="Cambria Math" w:hAnsi="Cambria Math" w:cs="Times New Roman"/>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sty m:val="p"/>
              </m:rPr>
              <w:rPr>
                <w:rFonts w:hint="default" w:ascii="Cambria Math" w:hAnsi="Cambria Math" w:cs="Times New Roman"/>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E</m:t>
                </m:r>
                <m:ctrlPr>
                  <w:rPr>
                    <w:rFonts w:hint="default" w:ascii="Cambria Math" w:hAnsi="Cambria Math" w:cs="Times New Roman"/>
                    <w:i w:val="0"/>
                    <w:iCs w:val="0"/>
                    <w:kern w:val="2"/>
                    <w:sz w:val="21"/>
                    <w:szCs w:val="21"/>
                    <w:lang w:val="en-US" w:eastAsia="zh-CN" w:bidi="ar-SA"/>
                  </w:rPr>
                </m:ctrlPr>
              </m:e>
              <m:sub>
                <m:r>
                  <m:rPr>
                    <m:sty m:val="p"/>
                  </m:rPr>
                  <w:rPr>
                    <w:rFonts w:hint="default" w:ascii="Cambria Math" w:hAnsi="Cambria Math" w:eastAsia="宋体" w:cs="宋体"/>
                    <w:sz w:val="24"/>
                    <w:szCs w:val="24"/>
                  </w:rPr>
                  <m:t>electricity</m:t>
                </m:r>
                <m:r>
                  <m:rPr>
                    <m:sty m:val="p"/>
                  </m:rPr>
                  <w:rPr>
                    <w:rFonts w:hint="default" w:ascii="Cambria Math" w:hAnsi="Cambria Math" w:cs="宋体"/>
                    <w:sz w:val="24"/>
                    <w:szCs w:val="24"/>
                    <w:lang w:val="en-US" w:eastAsia="zh-CN"/>
                  </w:rPr>
                  <m:t>,</m:t>
                </m:r>
                <m:r>
                  <m:rPr>
                    <m:sty m:val="p"/>
                  </m:rPr>
                  <w:rPr>
                    <w:rFonts w:hint="eastAsia" w:ascii="Cambria Math" w:hAnsi="Cambria Math" w:cs="宋体"/>
                    <w:sz w:val="24"/>
                    <w:szCs w:val="24"/>
                    <w:lang w:val="en-US" w:eastAsia="zh-CN"/>
                  </w:rPr>
                  <m:t>package</m:t>
                </m:r>
                <m:ctrlPr>
                  <w:rPr>
                    <w:rFonts w:hint="default" w:ascii="Cambria Math" w:hAnsi="Cambria Math" w:cs="Times New Roman"/>
                    <w:i w:val="0"/>
                    <w:iCs w:val="0"/>
                    <w:kern w:val="2"/>
                    <w:sz w:val="21"/>
                    <w:szCs w:val="21"/>
                    <w:lang w:val="en-US" w:eastAsia="zh-CN" w:bidi="ar-SA"/>
                  </w:rPr>
                </m:ctrlPr>
              </m:sub>
            </m:sSub>
            <m:r>
              <m:rPr>
                <m:sty m:val="p"/>
              </m:rPr>
              <w:rPr>
                <w:rFonts w:ascii="Cambria Math" w:hAnsi="Cambria Math" w:cs="Times New Roman"/>
                <w:kern w:val="2"/>
                <w:sz w:val="21"/>
                <w:szCs w:val="21"/>
                <w:lang w:val="en-US" w:bidi="ar-SA"/>
              </w:rPr>
              <m:t>×</m:t>
            </m:r>
            <m:sSub>
              <m:sSubPr>
                <m:ctrlPr>
                  <w:rPr>
                    <w:rFonts w:ascii="Cambria Math" w:hAnsi="Cambria Math" w:cs="Times New Roman"/>
                    <w:i w:val="0"/>
                    <w:iCs w:val="0"/>
                    <w:kern w:val="2"/>
                    <w:sz w:val="21"/>
                    <w:szCs w:val="21"/>
                    <w:lang w:val="en-US" w:bidi="ar-SA"/>
                  </w:rPr>
                </m:ctrlPr>
              </m:sSubPr>
              <m:e>
                <m:r>
                  <m:rPr>
                    <m:sty m:val="p"/>
                  </m:rPr>
                  <w:rPr>
                    <w:rFonts w:hint="default" w:ascii="Cambria Math" w:hAnsi="Cambria Math" w:cs="Times New Roman"/>
                    <w:kern w:val="2"/>
                    <w:sz w:val="21"/>
                    <w:szCs w:val="21"/>
                    <w:lang w:val="en-US" w:eastAsia="zh-CN" w:bidi="ar-SA"/>
                  </w:rPr>
                  <m:t>EF</m:t>
                </m:r>
                <m:ctrlPr>
                  <w:rPr>
                    <w:rFonts w:ascii="Cambria Math" w:hAnsi="Cambria Math" w:cs="Times New Roman"/>
                    <w:i w:val="0"/>
                    <w:iCs w:val="0"/>
                    <w:kern w:val="2"/>
                    <w:sz w:val="21"/>
                    <w:szCs w:val="21"/>
                    <w:lang w:val="en-US" w:bidi="ar-SA"/>
                  </w:rPr>
                </m:ctrlPr>
              </m:e>
              <m:sub>
                <m:r>
                  <m:rPr>
                    <m:sty m:val="p"/>
                  </m:rPr>
                  <w:rPr>
                    <w:rFonts w:hint="default" w:ascii="Cambria Math" w:hAnsi="Cambria Math" w:eastAsia="宋体" w:cs="宋体"/>
                    <w:sz w:val="24"/>
                    <w:szCs w:val="24"/>
                  </w:rPr>
                  <m:t>electricity</m:t>
                </m:r>
                <m:ctrlPr>
                  <w:rPr>
                    <w:rFonts w:ascii="Cambria Math" w:hAnsi="Cambria Math" w:cs="Times New Roman"/>
                    <w:i w:val="0"/>
                    <w:iCs w:val="0"/>
                    <w:kern w:val="2"/>
                    <w:sz w:val="21"/>
                    <w:szCs w:val="21"/>
                    <w:lang w:val="en-US" w:bidi="ar-SA"/>
                  </w:rPr>
                </m:ctrlPr>
              </m:sub>
            </m:sSub>
            <m:r>
              <m:rPr>
                <m:sty m:val="p"/>
              </m:rPr>
              <w:rPr>
                <w:rFonts w:hint="default" w:ascii="Cambria Math" w:hAnsi="Cambria Math" w:cs="Times New Roman"/>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sty m:val="p"/>
                  </m:rPr>
                  <w:rPr>
                    <w:rFonts w:hint="default" w:ascii="Cambria Math" w:hAnsi="Cambria Math" w:cs="Times New Roman"/>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F</m:t>
                    </m:r>
                    <m:ctrlPr>
                      <w:rPr>
                        <w:rFonts w:hint="default" w:ascii="Cambria Math" w:hAnsi="Cambria Math" w:cs="Times New Roman"/>
                        <w:i w:val="0"/>
                        <w:iCs w:val="0"/>
                        <w:kern w:val="2"/>
                        <w:sz w:val="21"/>
                        <w:szCs w:val="21"/>
                        <w:lang w:val="en-US" w:eastAsia="zh-CN" w:bidi="ar-SA"/>
                      </w:rPr>
                    </m:ctrlPr>
                  </m:e>
                  <m:sub>
                    <m:r>
                      <m:rPr>
                        <m:sty m:val="p"/>
                      </m:rPr>
                      <w:rPr>
                        <w:rFonts w:hint="default" w:ascii="Cambria Math" w:hAnsi="Cambria Math" w:cs="Times New Roman"/>
                        <w:kern w:val="2"/>
                        <w:sz w:val="21"/>
                        <w:szCs w:val="21"/>
                        <w:lang w:val="en-US" w:eastAsia="zh-CN" w:bidi="ar-SA"/>
                      </w:rPr>
                      <m:t>fuel,</m:t>
                    </m:r>
                    <m:r>
                      <m:rPr>
                        <m:sty m:val="p"/>
                      </m:rPr>
                      <w:rPr>
                        <w:rFonts w:hint="eastAsia" w:ascii="Cambria Math" w:hAnsi="Cambria Math" w:cs="Times New Roman"/>
                        <w:kern w:val="2"/>
                        <w:sz w:val="21"/>
                        <w:szCs w:val="21"/>
                        <w:lang w:val="en-US" w:eastAsia="zh-CN" w:bidi="ar-SA"/>
                      </w:rPr>
                      <m:t>package</m:t>
                    </m:r>
                    <m:ctrlPr>
                      <w:rPr>
                        <w:rFonts w:hint="default" w:ascii="Cambria Math" w:hAnsi="Cambria Math" w:cs="Times New Roman"/>
                        <w:i w:val="0"/>
                        <w:iCs w:val="0"/>
                        <w:kern w:val="2"/>
                        <w:sz w:val="21"/>
                        <w:szCs w:val="21"/>
                        <w:lang w:val="en-US" w:eastAsia="zh-CN" w:bidi="ar-SA"/>
                      </w:rPr>
                    </m:ctrlPr>
                  </m:sub>
                </m:sSub>
                <m:r>
                  <m:rPr>
                    <m:sty m:val="p"/>
                  </m:rPr>
                  <w:rPr>
                    <w:rFonts w:ascii="Cambria Math" w:hAnsi="Cambria Math" w:cs="Times New Roman"/>
                    <w:kern w:val="2"/>
                    <w:sz w:val="21"/>
                    <w:szCs w:val="21"/>
                    <w:lang w:val="en-US" w:bidi="ar-SA"/>
                  </w:rPr>
                  <m:t>×</m:t>
                </m:r>
                <m:sSub>
                  <m:sSubPr>
                    <m:ctrlPr>
                      <w:rPr>
                        <w:rFonts w:ascii="Cambria Math" w:hAnsi="Cambria Math" w:cs="Times New Roman"/>
                        <w:i w:val="0"/>
                        <w:iCs w:val="0"/>
                        <w:kern w:val="2"/>
                        <w:sz w:val="21"/>
                        <w:szCs w:val="21"/>
                        <w:lang w:val="en-US" w:bidi="ar-SA"/>
                      </w:rPr>
                    </m:ctrlPr>
                  </m:sSubPr>
                  <m:e>
                    <m:r>
                      <m:rPr>
                        <m:sty m:val="p"/>
                      </m:rPr>
                      <w:rPr>
                        <w:rFonts w:hint="default" w:ascii="Cambria Math" w:hAnsi="Cambria Math" w:cs="Times New Roman"/>
                        <w:kern w:val="2"/>
                        <w:sz w:val="21"/>
                        <w:szCs w:val="21"/>
                        <w:lang w:val="en-US" w:eastAsia="zh-CN" w:bidi="ar-SA"/>
                      </w:rPr>
                      <m:t>EF</m:t>
                    </m:r>
                    <m:ctrlPr>
                      <w:rPr>
                        <w:rFonts w:ascii="Cambria Math" w:hAnsi="Cambria Math" w:cs="Times New Roman"/>
                        <w:i w:val="0"/>
                        <w:iCs w:val="0"/>
                        <w:kern w:val="2"/>
                        <w:sz w:val="21"/>
                        <w:szCs w:val="21"/>
                        <w:lang w:val="en-US" w:bidi="ar-SA"/>
                      </w:rPr>
                    </m:ctrlPr>
                  </m:e>
                  <m:sub>
                    <m:r>
                      <m:rPr>
                        <m:sty m:val="p"/>
                      </m:rPr>
                      <w:rPr>
                        <w:rFonts w:hint="default" w:ascii="Cambria Math" w:hAnsi="Cambria Math" w:cs="Times New Roman"/>
                        <w:kern w:val="2"/>
                        <w:sz w:val="21"/>
                        <w:szCs w:val="21"/>
                        <w:lang w:val="en-US" w:eastAsia="zh-CN" w:bidi="ar-SA"/>
                      </w:rPr>
                      <m:t>fue</m:t>
                    </m:r>
                    <m:r>
                      <m:rPr>
                        <m:sty m:val="p"/>
                      </m:rPr>
                      <w:rPr>
                        <w:rFonts w:hint="eastAsia" w:ascii="Cambria Math" w:hAnsi="Cambria Math" w:cs="Times New Roman"/>
                        <w:kern w:val="2"/>
                        <w:sz w:val="21"/>
                        <w:szCs w:val="21"/>
                        <w:lang w:val="en-US" w:eastAsia="zh-CN" w:bidi="ar-SA"/>
                      </w:rPr>
                      <m:t>l</m:t>
                    </m:r>
                    <m:ctrlPr>
                      <w:rPr>
                        <w:rFonts w:ascii="Cambria Math" w:hAnsi="Cambria Math" w:cs="Times New Roman"/>
                        <w:i w:val="0"/>
                        <w:iCs w:val="0"/>
                        <w:kern w:val="2"/>
                        <w:sz w:val="21"/>
                        <w:szCs w:val="21"/>
                        <w:lang w:val="en-US" w:bidi="ar-SA"/>
                      </w:rPr>
                    </m:ctrlPr>
                  </m:sub>
                </m:sSub>
                <m:r>
                  <m:rPr>
                    <m:sty m:val="p"/>
                  </m:rPr>
                  <w:rPr>
                    <w:rFonts w:hint="default" w:ascii="Cambria Math" w:hAnsi="Cambria Math" w:cs="Times New Roman"/>
                    <w:kern w:val="2"/>
                    <w:sz w:val="21"/>
                    <w:szCs w:val="21"/>
                    <w:lang w:val="en-US" w:eastAsia="zh-CN" w:bidi="ar-SA"/>
                  </w:rPr>
                  <m:t>)</m:t>
                </m:r>
                <m:ctrlPr>
                  <w:rPr>
                    <w:rFonts w:hint="default" w:ascii="Cambria Math" w:hAnsi="Cambria Math" w:cs="Times New Roman"/>
                    <w:i w:val="0"/>
                    <w:iCs w:val="0"/>
                    <w:kern w:val="2"/>
                    <w:sz w:val="21"/>
                    <w:szCs w:val="21"/>
                    <w:lang w:val="en-US" w:eastAsia="zh-CN" w:bidi="ar-SA"/>
                  </w:rPr>
                </m:ctrlPr>
              </m:e>
            </m:nary>
            <m:ctrlPr>
              <w:rPr>
                <w:rFonts w:hint="default" w:ascii="Cambria Math" w:hAnsi="Cambria Math" w:cs="Times New Roman"/>
                <w:i w:val="0"/>
                <w:iCs w:val="0"/>
                <w:kern w:val="2"/>
                <w:sz w:val="21"/>
                <w:szCs w:val="21"/>
                <w:lang w:val="en-US" w:eastAsia="zh-CN" w:bidi="ar-SA"/>
              </w:rPr>
            </m:ctrlPr>
          </m:e>
        </m:nary>
      </m:oMath>
      <w:r>
        <w:rPr>
          <w:rFonts w:hint="eastAsia" w:ascii="微软雅黑" w:hAnsi="微软雅黑" w:eastAsia="微软雅黑" w:cs="微软雅黑"/>
          <w:lang w:val="en-US" w:eastAsia="zh-CN"/>
        </w:rPr>
        <w:tab/>
      </w:r>
      <w:r>
        <w:rPr>
          <w:rFonts w:hint="eastAsia"/>
          <w:lang w:val="en-US" w:eastAsia="zh-CN"/>
        </w:rPr>
        <w:t>(</w:t>
      </w:r>
      <w:r>
        <w:rPr>
          <w:rFonts w:hint="eastAsia"/>
          <w:lang w:val="en-US" w:eastAsia="zh-CN"/>
        </w:rPr>
        <w:fldChar w:fldCharType="begin"/>
      </w:r>
      <w:r>
        <w:rPr>
          <w:rFonts w:hint="eastAsia"/>
          <w:lang w:val="en-US" w:eastAsia="zh-CN"/>
        </w:rPr>
        <w:instrText xml:space="preserve"> SEQ 公式 \* ARABIC </w:instrText>
      </w:r>
      <w:r>
        <w:rPr>
          <w:rFonts w:hint="eastAsia"/>
          <w:lang w:val="en-US" w:eastAsia="zh-CN"/>
        </w:rPr>
        <w:fldChar w:fldCharType="separate"/>
      </w:r>
      <w:r>
        <w:rPr>
          <w:rFonts w:hint="eastAsia"/>
          <w:lang w:val="en-US" w:eastAsia="zh-CN"/>
        </w:rPr>
        <w:t>23</w:t>
      </w:r>
      <w:r>
        <w:rPr>
          <w:rFonts w:hint="eastAsia"/>
          <w:lang w:val="en-US" w:eastAsia="zh-CN"/>
        </w:rPr>
        <w:fldChar w:fldCharType="end"/>
      </w:r>
      <w:r>
        <w:rPr>
          <w:rFonts w:hint="eastAsia"/>
          <w:lang w:val="en-US" w:eastAsia="zh-CN"/>
        </w:rPr>
        <w:t>)</w:t>
      </w:r>
    </w:p>
    <w:p w14:paraId="25A7FA5D">
      <w:pPr>
        <w:pStyle w:val="62"/>
        <w:rPr>
          <w:rFonts w:hint="eastAsia"/>
          <w:lang w:val="en-US" w:eastAsia="zh-CN"/>
        </w:rPr>
      </w:pPr>
      <w:r>
        <w:rPr>
          <w:rFonts w:hint="eastAsia"/>
          <w:lang w:val="en-US" w:eastAsia="zh-CN"/>
        </w:rPr>
        <w:t>式中：</w:t>
      </w:r>
    </w:p>
    <w:p w14:paraId="49433DB0">
      <w:pPr>
        <w:pStyle w:val="38"/>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包装作业耗电量（kWh）</w:t>
      </w:r>
      <w:r>
        <w:rPr>
          <w:rFonts w:hint="default" w:ascii="Times New Roman" w:hAnsi="Times New Roman" w:cs="Times New Roman"/>
          <w:b w:val="0"/>
          <w:i w:val="0"/>
          <w:iCs/>
          <w:sz w:val="21"/>
          <w:szCs w:val="21"/>
          <w:lang w:eastAsia="zh-CN"/>
        </w:rPr>
        <w:t>；</w:t>
      </w:r>
    </w:p>
    <w:p w14:paraId="38953848">
      <w:pPr>
        <w:pStyle w:val="38"/>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kern w:val="2"/>
          <w:sz w:val="21"/>
          <w:szCs w:val="21"/>
          <w:lang w:val="en-US" w:eastAsia="zh-CN" w:bidi="ar-SA"/>
        </w:rPr>
        <w:t>区域电网排放因子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CO₂e/kW·h</w:t>
      </w:r>
      <w:r>
        <w:rPr>
          <w:rFonts w:hint="default" w:ascii="Times New Roman" w:hAnsi="Times New Roman" w:cs="Times New Roman"/>
          <w:b w:val="0"/>
          <w:i w:val="0"/>
          <w:iCs/>
          <w:kern w:val="2"/>
          <w:sz w:val="21"/>
          <w:szCs w:val="21"/>
          <w:lang w:val="en-US" w:eastAsia="zh-CN" w:bidi="ar-SA"/>
        </w:rPr>
        <w:t>），广东省取值为</w:t>
      </w:r>
      <w:r>
        <w:rPr>
          <w:rFonts w:hint="default" w:ascii="Times New Roman" w:hAnsi="Times New Roman" w:eastAsia="宋体" w:cs="Times New Roman"/>
          <w:b w:val="0"/>
          <w:i w:val="0"/>
          <w:iCs/>
          <w:kern w:val="2"/>
          <w:sz w:val="21"/>
          <w:szCs w:val="21"/>
          <w:lang w:val="en-US" w:eastAsia="zh-CN" w:bidi="ar-SA"/>
        </w:rPr>
        <w:t>0.4403</w:t>
      </w:r>
      <w:r>
        <w:rPr>
          <w:rFonts w:hint="default" w:ascii="Times New Roman" w:hAnsi="Times New Roman" w:cs="Times New Roman"/>
          <w:b w:val="0"/>
          <w:i w:val="0"/>
          <w:iCs/>
          <w:sz w:val="21"/>
          <w:szCs w:val="21"/>
          <w:lang w:eastAsia="zh-CN"/>
        </w:rPr>
        <w:t>；</w:t>
      </w:r>
    </w:p>
    <w:p w14:paraId="4A40EB68">
      <w:pPr>
        <w:pStyle w:val="38"/>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w:t>
      </w:r>
      <w:r>
        <w:rPr>
          <w:rFonts w:hint="default" w:ascii="Times New Roman" w:hAnsi="Times New Roman" w:cs="Times New Roman"/>
          <w:b w:val="0"/>
          <w:i w:val="0"/>
          <w:sz w:val="21"/>
          <w:szCs w:val="21"/>
          <w:lang w:val="en-US" w:eastAsia="zh-CN"/>
        </w:rPr>
        <w:t>化石</w:t>
      </w:r>
      <w:r>
        <w:rPr>
          <w:rFonts w:hint="default" w:ascii="Times New Roman" w:hAnsi="Times New Roman" w:cs="Times New Roman"/>
          <w:b w:val="0"/>
          <w:i w:val="0"/>
          <w:iCs/>
          <w:sz w:val="21"/>
          <w:szCs w:val="21"/>
          <w:lang w:val="en-US" w:eastAsia="zh-CN"/>
        </w:rPr>
        <w:t>燃料消耗量（kg或m³）</w:t>
      </w:r>
      <w:r>
        <w:rPr>
          <w:rFonts w:hint="default" w:ascii="Times New Roman" w:hAnsi="Times New Roman" w:cs="Times New Roman"/>
          <w:b w:val="0"/>
          <w:i w:val="0"/>
          <w:iCs/>
          <w:sz w:val="21"/>
          <w:szCs w:val="21"/>
          <w:lang w:eastAsia="zh-CN"/>
        </w:rPr>
        <w:t>；</w:t>
      </w:r>
    </w:p>
    <w:p w14:paraId="6EC27C1B">
      <w:pPr>
        <w:pStyle w:val="38"/>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化石燃料</w:t>
      </w:r>
      <w:r>
        <w:rPr>
          <w:rFonts w:hint="default" w:ascii="Times New Roman" w:hAnsi="Times New Roman" w:eastAsia="宋体" w:cs="Times New Roman"/>
          <w:b w:val="0"/>
          <w:i w:val="0"/>
          <w:iCs/>
          <w:kern w:val="2"/>
          <w:sz w:val="21"/>
          <w:szCs w:val="21"/>
          <w:lang w:val="en-US" w:eastAsia="zh-CN" w:bidi="ar-SA"/>
        </w:rPr>
        <w:t>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w:t>
      </w:r>
      <w:r>
        <w:rPr>
          <w:rFonts w:hint="default" w:ascii="Times New Roman" w:hAnsi="Times New Roman" w:cs="Times New Roman"/>
          <w:b w:val="0"/>
          <w:i w:val="0"/>
          <w:iCs/>
          <w:kern w:val="2"/>
          <w:sz w:val="21"/>
          <w:szCs w:val="21"/>
          <w:lang w:val="en-US" w:eastAsia="zh-CN" w:bidi="ar-SA"/>
        </w:rPr>
        <w:t>kg或m³），</w:t>
      </w:r>
      <w:r>
        <w:rPr>
          <w:rFonts w:hint="default" w:ascii="Times New Roman" w:hAnsi="Times New Roman" w:eastAsia="宋体" w:cs="Times New Roman"/>
          <w:b w:val="0"/>
          <w:i w:val="0"/>
          <w:iCs/>
          <w:kern w:val="2"/>
          <w:sz w:val="21"/>
          <w:szCs w:val="21"/>
          <w:lang w:val="en-US" w:eastAsia="zh-CN" w:bidi="ar-SA"/>
        </w:rPr>
        <w:t>见附录 B</w:t>
      </w:r>
      <w:r>
        <w:rPr>
          <w:rFonts w:hint="default" w:ascii="Times New Roman" w:hAnsi="Times New Roman" w:cs="Times New Roman"/>
          <w:b w:val="0"/>
          <w:i w:val="0"/>
          <w:iCs/>
          <w:kern w:val="2"/>
          <w:sz w:val="21"/>
          <w:szCs w:val="21"/>
          <w:lang w:val="en-US" w:eastAsia="zh-CN" w:bidi="ar-SA"/>
        </w:rPr>
        <w:t>。</w:t>
      </w:r>
    </w:p>
    <w:p w14:paraId="3CD105CF">
      <w:pPr>
        <w:pStyle w:val="107"/>
        <w:bidi w:val="0"/>
        <w:rPr>
          <w:rFonts w:hint="eastAsia"/>
          <w:lang w:val="en-US" w:eastAsia="zh-CN"/>
        </w:rPr>
      </w:pPr>
      <w:bookmarkStart w:id="79" w:name="_Toc12431"/>
      <w:r>
        <w:rPr>
          <w:rFonts w:hint="eastAsia"/>
          <w:lang w:val="en-US" w:eastAsia="zh-CN"/>
        </w:rPr>
        <w:t>结果汇总与不确定性分析</w:t>
      </w:r>
      <w:bookmarkEnd w:id="79"/>
    </w:p>
    <w:p w14:paraId="2F26F653">
      <w:pPr>
        <w:pStyle w:val="38"/>
        <w:rPr>
          <w:rFonts w:hint="default" w:ascii="Times New Roman" w:hAnsi="Times New Roman" w:cs="Times New Roman"/>
          <w:lang w:val="en-US" w:eastAsia="zh-CN"/>
        </w:rPr>
      </w:pPr>
      <w:r>
        <w:rPr>
          <w:rFonts w:hint="default" w:ascii="Times New Roman" w:hAnsi="Times New Roman" w:cs="Times New Roman"/>
          <w:lang w:val="en-US" w:eastAsia="zh-CN"/>
        </w:rPr>
        <w:t>按公式（1）汇总得到功能单位碳足迹后，宜同时给出按“1朵”（宜注明平均单朵质量）折算的参考值，并列出各阶段排放贡献占比。</w:t>
      </w:r>
    </w:p>
    <w:p w14:paraId="7BB8ED02">
      <w:pPr>
        <w:pStyle w:val="38"/>
        <w:rPr>
          <w:rFonts w:hint="default" w:ascii="Times New Roman" w:hAnsi="Times New Roman" w:cs="Times New Roman"/>
          <w:lang w:val="en-US" w:eastAsia="zh-CN"/>
        </w:rPr>
      </w:pPr>
      <w:r>
        <w:rPr>
          <w:rFonts w:hint="default" w:ascii="Times New Roman" w:hAnsi="Times New Roman" w:cs="Times New Roman"/>
          <w:lang w:val="en-US" w:eastAsia="zh-CN"/>
        </w:rPr>
        <w:t>宜对活动数据与排放因子开展不确定性分析，并对补光耗电、灌溉耗电量与取水量、肥料施用量、残体还田比例与含氮量、冷藏耗电、包装材料用量等关键参数开展敏感性分析（宜采用±10%扰动），识别对结果影响显著的参数，在核算报告中说明结果的稳定程度。</w:t>
      </w:r>
    </w:p>
    <w:p w14:paraId="5860CAF9">
      <w:pPr>
        <w:pStyle w:val="106"/>
        <w:bidi w:val="0"/>
        <w:rPr>
          <w:rFonts w:hint="eastAsia"/>
          <w:lang w:val="en-US" w:eastAsia="zh-CN"/>
        </w:rPr>
      </w:pPr>
      <w:bookmarkStart w:id="80" w:name="_Toc10984"/>
      <w:bookmarkStart w:id="81" w:name="_Toc4136"/>
      <w:bookmarkStart w:id="82" w:name="_Toc2807"/>
      <w:r>
        <w:rPr>
          <w:rFonts w:hint="eastAsia"/>
          <w:lang w:val="en-US" w:eastAsia="zh-CN"/>
        </w:rPr>
        <w:t>核算报告</w:t>
      </w:r>
      <w:bookmarkEnd w:id="80"/>
      <w:bookmarkEnd w:id="81"/>
      <w:bookmarkEnd w:id="82"/>
    </w:p>
    <w:p w14:paraId="6E3677B9">
      <w:pPr>
        <w:pStyle w:val="164"/>
        <w:bidi w:val="0"/>
        <w:rPr>
          <w:rFonts w:hint="eastAsia"/>
          <w:lang w:val="en-US" w:eastAsia="zh-CN"/>
        </w:rPr>
      </w:pPr>
      <w:r>
        <w:rPr>
          <w:rFonts w:hint="eastAsia"/>
          <w:lang w:val="en-US" w:eastAsia="zh-CN"/>
        </w:rPr>
        <w:t>核算报告至少应包括核算主体基本信息、概述、功能单位、系统边界、数据收集与处理、核算结果、结果解释等部分。报告模板见附录C。</w:t>
      </w:r>
    </w:p>
    <w:p w14:paraId="761F6BEB">
      <w:pPr>
        <w:pStyle w:val="164"/>
        <w:bidi w:val="0"/>
        <w:rPr>
          <w:rFonts w:hint="eastAsia"/>
          <w:lang w:val="en-US" w:eastAsia="zh-CN"/>
        </w:rPr>
      </w:pPr>
      <w:r>
        <w:rPr>
          <w:rFonts w:hint="eastAsia"/>
          <w:lang w:val="en-US" w:eastAsia="zh-CN"/>
        </w:rPr>
        <w:t>核算报告应说明所采用的分配方法与依据、取舍环节及依据、清除量的处理方式、数据的不确定性及局限性。</w:t>
      </w:r>
    </w:p>
    <w:p w14:paraId="4ABAAF6A">
      <w:pPr>
        <w:pStyle w:val="164"/>
        <w:bidi w:val="0"/>
        <w:rPr>
          <w:rFonts w:hint="eastAsia"/>
          <w:lang w:val="en-US" w:eastAsia="zh-CN"/>
        </w:rPr>
      </w:pPr>
      <w:r>
        <w:rPr>
          <w:rFonts w:hint="eastAsia"/>
          <w:lang w:val="en-US" w:eastAsia="zh-CN"/>
        </w:rPr>
        <w:t>核算报告宜同时披露下列信息项，供结果使用者参考：</w:t>
      </w:r>
    </w:p>
    <w:p w14:paraId="0758D8FF">
      <w:pPr>
        <w:pStyle w:val="176"/>
        <w:numPr>
          <w:ilvl w:val="0"/>
          <w:numId w:val="37"/>
        </w:numPr>
        <w:bidi w:val="0"/>
        <w:ind w:left="851" w:leftChars="0" w:hanging="426" w:firstLineChars="0"/>
        <w:rPr>
          <w:rFonts w:hint="eastAsia"/>
          <w:lang w:val="en-US" w:eastAsia="zh-CN"/>
        </w:rPr>
      </w:pPr>
      <w:r>
        <w:rPr>
          <w:rFonts w:hint="eastAsia"/>
          <w:lang w:val="en-US" w:eastAsia="zh-CN"/>
        </w:rPr>
        <w:t>植株生物量碳与枯落物碳（按本文件规定核算，作为信息项披露）；</w:t>
      </w:r>
    </w:p>
    <w:p w14:paraId="4D044434">
      <w:pPr>
        <w:pStyle w:val="176"/>
        <w:numPr>
          <w:ilvl w:val="0"/>
          <w:numId w:val="37"/>
        </w:numPr>
        <w:bidi w:val="0"/>
        <w:ind w:left="851" w:leftChars="0" w:hanging="426" w:firstLineChars="0"/>
        <w:rPr>
          <w:rFonts w:hint="eastAsia"/>
          <w:lang w:val="en-US" w:eastAsia="zh-CN"/>
        </w:rPr>
      </w:pPr>
      <w:r>
        <w:rPr>
          <w:rFonts w:hint="eastAsia"/>
          <w:lang w:val="en-US" w:eastAsia="zh-CN"/>
        </w:rPr>
        <w:t>轮作批次数、单棚单季株数与平均单朵质量；</w:t>
      </w:r>
    </w:p>
    <w:p w14:paraId="54DBB0EB">
      <w:pPr>
        <w:pStyle w:val="176"/>
        <w:numPr>
          <w:ilvl w:val="0"/>
          <w:numId w:val="37"/>
        </w:numPr>
        <w:bidi w:val="0"/>
        <w:ind w:left="851" w:leftChars="0" w:hanging="426" w:firstLineChars="0"/>
        <w:rPr>
          <w:rFonts w:hint="eastAsia"/>
          <w:lang w:val="en-US" w:eastAsia="zh-CN"/>
        </w:rPr>
      </w:pPr>
      <w:r>
        <w:rPr>
          <w:rFonts w:hint="eastAsia"/>
          <w:lang w:val="en-US" w:eastAsia="zh-CN"/>
        </w:rPr>
        <w:t>各阶段排放贡献占比与关键排放环节识别结果；</w:t>
      </w:r>
    </w:p>
    <w:p w14:paraId="78BA879A">
      <w:pPr>
        <w:pStyle w:val="176"/>
        <w:numPr>
          <w:ilvl w:val="0"/>
          <w:numId w:val="37"/>
        </w:numPr>
        <w:bidi w:val="0"/>
        <w:ind w:left="851" w:leftChars="0" w:hanging="426" w:firstLineChars="0"/>
        <w:rPr>
          <w:rFonts w:hint="eastAsia"/>
          <w:lang w:val="en-US" w:eastAsia="zh-CN"/>
        </w:rPr>
      </w:pPr>
      <w:r>
        <w:rPr>
          <w:rFonts w:hint="eastAsia"/>
          <w:lang w:val="en-US" w:eastAsia="zh-CN"/>
        </w:rPr>
        <w:t>敏感性分析与不确定性分析结果。</w:t>
      </w:r>
    </w:p>
    <w:p w14:paraId="4F3A76CD">
      <w:pPr>
        <w:pStyle w:val="176"/>
        <w:numPr>
          <w:ilvl w:val="0"/>
          <w:numId w:val="37"/>
        </w:numPr>
        <w:bidi w:val="0"/>
        <w:ind w:left="851" w:leftChars="0" w:hanging="426" w:firstLineChars="0"/>
        <w:rPr>
          <w:rFonts w:hint="eastAsia"/>
          <w:lang w:val="en-US" w:eastAsia="zh-CN"/>
        </w:rPr>
      </w:pPr>
      <w:r>
        <w:rPr>
          <w:rFonts w:hint="eastAsia"/>
          <w:lang w:val="en-US" w:eastAsia="zh-CN"/>
        </w:rPr>
        <w:t>灌溉取水量与灌溉耗电量，以及采收残体产生量、含水率与还田比例。</w:t>
      </w:r>
    </w:p>
    <w:p w14:paraId="3CE57814">
      <w:pPr>
        <w:pStyle w:val="106"/>
        <w:bidi w:val="0"/>
        <w:rPr>
          <w:rFonts w:hint="eastAsia"/>
          <w:lang w:val="en-US" w:eastAsia="zh-CN"/>
        </w:rPr>
      </w:pPr>
      <w:bookmarkStart w:id="83" w:name="_Toc12912"/>
      <w:r>
        <w:rPr>
          <w:rFonts w:hint="eastAsia"/>
          <w:lang w:val="en-US" w:eastAsia="zh-CN"/>
        </w:rPr>
        <w:t>声明标识</w:t>
      </w:r>
      <w:bookmarkEnd w:id="83"/>
    </w:p>
    <w:p w14:paraId="4256121F">
      <w:pPr>
        <w:pStyle w:val="38"/>
        <w:rPr>
          <w:rFonts w:hint="default"/>
          <w:lang w:val="en-US" w:eastAsia="zh-CN"/>
        </w:rPr>
      </w:pPr>
      <w:r>
        <w:rPr>
          <w:rFonts w:hint="eastAsia"/>
          <w:lang w:val="en-US" w:eastAsia="zh-CN"/>
        </w:rPr>
        <w:t>如需声明时，可按照GB/T 24025或ISO 14026的规定进行，确保声明的科学性与规范性；同时，也可遵循《广东产品碳足迹评价与标识管理暂行办法》的要求开展工作。</w:t>
      </w:r>
    </w:p>
    <w:p w14:paraId="578C3DA3">
      <w:pPr>
        <w:pStyle w:val="38"/>
        <w:rPr>
          <w:rFonts w:hint="eastAsia"/>
          <w:lang w:val="en-US" w:eastAsia="zh-CN"/>
        </w:rPr>
        <w:sectPr>
          <w:pgSz w:w="11906" w:h="16838"/>
          <w:pgMar w:top="1928" w:right="1134" w:bottom="1134" w:left="1134" w:header="1418" w:footer="1134" w:gutter="284"/>
          <w:pgNumType w:start="1"/>
          <w:cols w:space="425" w:num="1"/>
          <w:formProt w:val="0"/>
          <w:docGrid w:linePitch="312" w:charSpace="0"/>
        </w:sectPr>
      </w:pPr>
    </w:p>
    <w:bookmarkEnd w:id="26"/>
    <w:p w14:paraId="10647A3D">
      <w:pPr>
        <w:pStyle w:val="200"/>
        <w:bidi w:val="0"/>
        <w:rPr>
          <w:rFonts w:hint="eastAsia"/>
          <w:lang w:val="en-US" w:eastAsia="zh-CN"/>
        </w:rPr>
      </w:pPr>
      <w:bookmarkStart w:id="84" w:name="BookMark5"/>
    </w:p>
    <w:p w14:paraId="1FEBBABA">
      <w:pPr>
        <w:pStyle w:val="201"/>
        <w:bidi w:val="0"/>
        <w:rPr>
          <w:rFonts w:hint="eastAsia"/>
          <w:lang w:val="en-US" w:eastAsia="zh-CN"/>
        </w:rPr>
      </w:pPr>
    </w:p>
    <w:p w14:paraId="48C83195">
      <w:pPr>
        <w:pStyle w:val="81"/>
        <w:bidi w:val="0"/>
        <w:rPr>
          <w:rFonts w:hint="eastAsia"/>
          <w:lang w:val="en-US" w:eastAsia="zh-CN"/>
        </w:rPr>
      </w:pPr>
      <w:bookmarkStart w:id="85" w:name="_Toc27132"/>
      <w:bookmarkStart w:id="86" w:name="_Toc7343"/>
      <w:bookmarkStart w:id="87" w:name="_Toc22556"/>
      <w:r>
        <w:rPr>
          <w:rFonts w:hint="eastAsia"/>
          <w:lang w:val="en-US" w:eastAsia="zh-CN"/>
        </w:rPr>
        <w:br w:type="textWrapping"/>
      </w:r>
      <w:r>
        <w:rPr>
          <w:rFonts w:hint="eastAsia"/>
          <w:lang w:val="en-US" w:eastAsia="zh-CN"/>
        </w:rPr>
        <w:t>（资料性）</w:t>
      </w:r>
      <w:r>
        <w:rPr>
          <w:rFonts w:hint="eastAsia"/>
          <w:lang w:val="en-US" w:eastAsia="zh-CN"/>
        </w:rPr>
        <w:br w:type="textWrapping"/>
      </w:r>
      <w:r>
        <w:rPr>
          <w:rFonts w:hint="eastAsia"/>
          <w:lang w:val="en-US" w:eastAsia="zh-CN"/>
        </w:rPr>
        <w:t>食用菊花产品碳足迹需监测和获取的活动数据及相关要求</w:t>
      </w:r>
      <w:bookmarkEnd w:id="85"/>
      <w:bookmarkEnd w:id="86"/>
      <w:bookmarkEnd w:id="87"/>
    </w:p>
    <w:p w14:paraId="21499D58">
      <w:pPr>
        <w:pStyle w:val="38"/>
        <w:bidi w:val="0"/>
        <w:rPr>
          <w:rFonts w:hint="eastAsia"/>
          <w:lang w:val="en-US" w:eastAsia="zh-CN"/>
        </w:rPr>
      </w:pPr>
      <w:r>
        <w:rPr>
          <w:rFonts w:hint="eastAsia"/>
          <w:lang w:val="en-US" w:eastAsia="zh-CN"/>
        </w:rPr>
        <w:t>需监测和获取的活动数据及相关要求见表A.1。</w:t>
      </w:r>
    </w:p>
    <w:p w14:paraId="771814ED">
      <w:pPr>
        <w:pStyle w:val="82"/>
        <w:bidi w:val="0"/>
        <w:rPr>
          <w:rFonts w:hint="eastAsia"/>
          <w:lang w:val="en-US" w:eastAsia="zh-CN"/>
        </w:rPr>
      </w:pPr>
      <w:r>
        <w:rPr>
          <w:rFonts w:hint="eastAsia"/>
          <w:lang w:val="en-US" w:eastAsia="zh-CN"/>
        </w:rPr>
        <w:t>食用菊花产品碳足迹需监测和获取的活动数据及相关要求</w:t>
      </w:r>
    </w:p>
    <w:tbl>
      <w:tblPr>
        <w:tblStyle w:val="28"/>
        <w:tblW w:w="48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2874"/>
        <w:gridCol w:w="1935"/>
        <w:gridCol w:w="3125"/>
      </w:tblGrid>
      <w:tr w14:paraId="0A00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47" w:type="pct"/>
            <w:vAlign w:val="center"/>
          </w:tcPr>
          <w:p w14:paraId="092BDF25">
            <w:pPr>
              <w:spacing w:line="280" w:lineRule="exact"/>
              <w:jc w:val="center"/>
              <w:rPr>
                <w:highlight w:val="none"/>
              </w:rPr>
            </w:pPr>
            <w:r>
              <w:rPr>
                <w:rFonts w:hint="eastAsia" w:ascii="Times New Roman" w:hAnsi="Times New Roman" w:eastAsia="黑体"/>
                <w:b/>
                <w:i w:val="0"/>
                <w:sz w:val="21"/>
                <w:highlight w:val="none"/>
              </w:rPr>
              <w:t>阶段</w:t>
            </w:r>
          </w:p>
        </w:tc>
        <w:tc>
          <w:tcPr>
            <w:tcW w:w="1576" w:type="pct"/>
            <w:vAlign w:val="center"/>
          </w:tcPr>
          <w:p w14:paraId="1664DD87">
            <w:pPr>
              <w:spacing w:line="280" w:lineRule="exact"/>
              <w:jc w:val="center"/>
              <w:rPr>
                <w:highlight w:val="none"/>
              </w:rPr>
            </w:pPr>
            <w:r>
              <w:rPr>
                <w:rFonts w:hint="eastAsia" w:ascii="Times New Roman" w:hAnsi="Times New Roman" w:eastAsia="黑体"/>
                <w:b/>
                <w:i w:val="0"/>
                <w:sz w:val="21"/>
                <w:highlight w:val="none"/>
              </w:rPr>
              <w:t>活动数据</w:t>
            </w:r>
          </w:p>
        </w:tc>
        <w:tc>
          <w:tcPr>
            <w:tcW w:w="1061" w:type="pct"/>
            <w:vAlign w:val="center"/>
          </w:tcPr>
          <w:p w14:paraId="58CE5E15">
            <w:pPr>
              <w:spacing w:line="280" w:lineRule="exact"/>
              <w:jc w:val="center"/>
              <w:rPr>
                <w:highlight w:val="none"/>
              </w:rPr>
            </w:pPr>
            <w:r>
              <w:rPr>
                <w:rFonts w:hint="eastAsia" w:ascii="Times New Roman" w:hAnsi="Times New Roman" w:eastAsia="黑体"/>
                <w:b/>
                <w:i w:val="0"/>
                <w:sz w:val="21"/>
                <w:highlight w:val="none"/>
              </w:rPr>
              <w:t>单位</w:t>
            </w:r>
          </w:p>
        </w:tc>
        <w:tc>
          <w:tcPr>
            <w:tcW w:w="1713" w:type="pct"/>
            <w:vAlign w:val="center"/>
          </w:tcPr>
          <w:p w14:paraId="05F1563B">
            <w:pPr>
              <w:spacing w:line="280" w:lineRule="exact"/>
              <w:jc w:val="center"/>
              <w:rPr>
                <w:highlight w:val="none"/>
              </w:rPr>
            </w:pPr>
            <w:r>
              <w:rPr>
                <w:rFonts w:hint="eastAsia" w:ascii="Times New Roman" w:hAnsi="Times New Roman" w:eastAsia="黑体"/>
                <w:b/>
                <w:i w:val="0"/>
                <w:sz w:val="21"/>
                <w:highlight w:val="none"/>
              </w:rPr>
              <w:t>数据来源与要求</w:t>
            </w:r>
          </w:p>
        </w:tc>
      </w:tr>
      <w:tr w14:paraId="3DCD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6D56A62">
            <w:pPr>
              <w:spacing w:line="280" w:lineRule="exact"/>
              <w:jc w:val="both"/>
              <w:rPr>
                <w:rFonts w:hint="default" w:eastAsia="宋体"/>
                <w:highlight w:val="none"/>
                <w:lang w:val="en-US" w:eastAsia="zh-CN"/>
              </w:rPr>
            </w:pPr>
            <w:r>
              <w:rPr>
                <w:rFonts w:hint="eastAsia" w:ascii="Times New Roman" w:hAnsi="Times New Roman"/>
                <w:b w:val="0"/>
                <w:i w:val="0"/>
                <w:sz w:val="21"/>
                <w:highlight w:val="none"/>
                <w:lang w:val="en-US" w:eastAsia="zh-CN"/>
              </w:rPr>
              <w:t>原材料获取与投入</w:t>
            </w:r>
          </w:p>
        </w:tc>
        <w:tc>
          <w:tcPr>
            <w:tcW w:w="1576" w:type="pct"/>
            <w:vAlign w:val="center"/>
          </w:tcPr>
          <w:p w14:paraId="374875CD">
            <w:pPr>
              <w:spacing w:line="280" w:lineRule="exact"/>
              <w:jc w:val="both"/>
              <w:rPr>
                <w:highlight w:val="none"/>
              </w:rPr>
            </w:pPr>
            <w:r>
              <w:rPr>
                <w:rFonts w:hint="eastAsia" w:ascii="Times New Roman" w:hAnsi="Times New Roman" w:eastAsia="宋体"/>
                <w:b w:val="0"/>
                <w:i w:val="0"/>
                <w:sz w:val="21"/>
                <w:highlight w:val="none"/>
              </w:rPr>
              <w:t>种苗来源与数量（自产／外购）</w:t>
            </w:r>
          </w:p>
        </w:tc>
        <w:tc>
          <w:tcPr>
            <w:tcW w:w="1061" w:type="pct"/>
            <w:vAlign w:val="center"/>
          </w:tcPr>
          <w:p w14:paraId="05C77A96">
            <w:pPr>
              <w:spacing w:line="280" w:lineRule="exact"/>
              <w:jc w:val="both"/>
              <w:rPr>
                <w:highlight w:val="none"/>
              </w:rPr>
            </w:pPr>
            <w:r>
              <w:rPr>
                <w:rFonts w:hint="eastAsia" w:ascii="Times New Roman" w:hAnsi="Times New Roman" w:eastAsia="宋体"/>
                <w:b w:val="0"/>
                <w:i w:val="0"/>
                <w:sz w:val="21"/>
                <w:highlight w:val="none"/>
              </w:rPr>
              <w:t>株</w:t>
            </w:r>
          </w:p>
        </w:tc>
        <w:tc>
          <w:tcPr>
            <w:tcW w:w="1713" w:type="pct"/>
            <w:vAlign w:val="center"/>
          </w:tcPr>
          <w:p w14:paraId="7E637CDD">
            <w:pPr>
              <w:spacing w:line="280" w:lineRule="exact"/>
              <w:jc w:val="both"/>
              <w:rPr>
                <w:highlight w:val="none"/>
              </w:rPr>
            </w:pPr>
            <w:r>
              <w:rPr>
                <w:rFonts w:hint="eastAsia" w:ascii="Times New Roman" w:hAnsi="Times New Roman" w:eastAsia="宋体"/>
                <w:b w:val="0"/>
                <w:i w:val="0"/>
                <w:sz w:val="21"/>
                <w:highlight w:val="none"/>
              </w:rPr>
              <w:t>自产记录；外购的采购发票、育苗公司发货单</w:t>
            </w:r>
          </w:p>
        </w:tc>
      </w:tr>
      <w:tr w14:paraId="19A6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7C19A2C">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42C25672">
            <w:pPr>
              <w:spacing w:line="280" w:lineRule="exact"/>
              <w:jc w:val="both"/>
              <w:rPr>
                <w:highlight w:val="none"/>
              </w:rPr>
            </w:pPr>
            <w:r>
              <w:rPr>
                <w:rFonts w:hint="eastAsia" w:ascii="Times New Roman" w:hAnsi="Times New Roman" w:eastAsia="宋体"/>
                <w:b w:val="0"/>
                <w:i w:val="0"/>
                <w:sz w:val="21"/>
                <w:highlight w:val="none"/>
              </w:rPr>
              <w:t>穴盘数量与材质</w:t>
            </w:r>
          </w:p>
        </w:tc>
        <w:tc>
          <w:tcPr>
            <w:tcW w:w="1061" w:type="pct"/>
            <w:vAlign w:val="center"/>
          </w:tcPr>
          <w:p w14:paraId="09EBED42">
            <w:pPr>
              <w:spacing w:line="280" w:lineRule="exact"/>
              <w:jc w:val="both"/>
              <w:rPr>
                <w:highlight w:val="none"/>
              </w:rPr>
            </w:pPr>
            <w:r>
              <w:rPr>
                <w:rFonts w:hint="eastAsia" w:ascii="Times New Roman" w:hAnsi="Times New Roman" w:eastAsia="宋体"/>
                <w:b w:val="0"/>
                <w:i w:val="0"/>
                <w:sz w:val="21"/>
                <w:highlight w:val="none"/>
              </w:rPr>
              <w:t>个、kg</w:t>
            </w:r>
          </w:p>
        </w:tc>
        <w:tc>
          <w:tcPr>
            <w:tcW w:w="1713" w:type="pct"/>
            <w:vAlign w:val="center"/>
          </w:tcPr>
          <w:p w14:paraId="7378061D">
            <w:pPr>
              <w:spacing w:line="280" w:lineRule="exact"/>
              <w:jc w:val="both"/>
              <w:rPr>
                <w:highlight w:val="none"/>
              </w:rPr>
            </w:pPr>
            <w:r>
              <w:rPr>
                <w:rFonts w:hint="eastAsia" w:ascii="Times New Roman" w:hAnsi="Times New Roman" w:eastAsia="宋体"/>
                <w:b w:val="0"/>
                <w:i w:val="0"/>
                <w:sz w:val="21"/>
                <w:highlight w:val="none"/>
              </w:rPr>
              <w:t>采购台账；自产育苗且需移栽时填写</w:t>
            </w:r>
          </w:p>
        </w:tc>
      </w:tr>
      <w:tr w14:paraId="5B3C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626E9F16">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1482E8C8">
            <w:pPr>
              <w:spacing w:line="280" w:lineRule="exact"/>
              <w:jc w:val="both"/>
              <w:rPr>
                <w:rFonts w:hint="eastAsia" w:eastAsia="宋体"/>
                <w:highlight w:val="none"/>
                <w:lang w:eastAsia="zh-CN"/>
              </w:rPr>
            </w:pPr>
            <w:r>
              <w:rPr>
                <w:rFonts w:hint="eastAsia" w:ascii="Times New Roman" w:hAnsi="Times New Roman" w:eastAsia="宋体"/>
                <w:b w:val="0"/>
                <w:i w:val="0"/>
                <w:sz w:val="21"/>
                <w:highlight w:val="none"/>
              </w:rPr>
              <w:t>育苗基质／栽培基质类型与用量</w:t>
            </w:r>
          </w:p>
        </w:tc>
        <w:tc>
          <w:tcPr>
            <w:tcW w:w="1061" w:type="pct"/>
            <w:vAlign w:val="center"/>
          </w:tcPr>
          <w:p w14:paraId="3A78E56B">
            <w:pPr>
              <w:spacing w:line="280" w:lineRule="exact"/>
              <w:jc w:val="both"/>
              <w:rPr>
                <w:rFonts w:hint="default" w:eastAsia="宋体"/>
                <w:highlight w:val="none"/>
                <w:lang w:val="en-US" w:eastAsia="zh-CN"/>
              </w:rPr>
            </w:pPr>
            <w:r>
              <w:rPr>
                <w:rFonts w:hint="eastAsia" w:ascii="Times New Roman" w:hAnsi="Times New Roman" w:eastAsia="宋体"/>
                <w:b w:val="0"/>
                <w:i w:val="0"/>
                <w:sz w:val="21"/>
                <w:highlight w:val="none"/>
              </w:rPr>
              <w:t>kg</w:t>
            </w:r>
          </w:p>
        </w:tc>
        <w:tc>
          <w:tcPr>
            <w:tcW w:w="1713" w:type="pct"/>
            <w:vAlign w:val="center"/>
          </w:tcPr>
          <w:p w14:paraId="561A3A01">
            <w:pPr>
              <w:spacing w:line="280" w:lineRule="exact"/>
              <w:jc w:val="both"/>
              <w:rPr>
                <w:highlight w:val="none"/>
              </w:rPr>
            </w:pPr>
            <w:r>
              <w:rPr>
                <w:rFonts w:hint="eastAsia" w:ascii="Times New Roman" w:hAnsi="Times New Roman" w:eastAsia="宋体"/>
                <w:b w:val="0"/>
                <w:i w:val="0"/>
                <w:sz w:val="21"/>
                <w:highlight w:val="none"/>
              </w:rPr>
              <w:t>采购发票；宜注明是否重复使用</w:t>
            </w:r>
          </w:p>
        </w:tc>
      </w:tr>
      <w:tr w14:paraId="302C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2620976">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1468AC23">
            <w:pPr>
              <w:spacing w:line="280" w:lineRule="exact"/>
              <w:jc w:val="both"/>
              <w:rPr>
                <w:highlight w:val="none"/>
              </w:rPr>
            </w:pPr>
            <w:r>
              <w:rPr>
                <w:rFonts w:hint="eastAsia" w:ascii="Times New Roman" w:hAnsi="Times New Roman" w:eastAsia="宋体"/>
                <w:b w:val="0"/>
                <w:i w:val="0"/>
                <w:sz w:val="21"/>
                <w:highlight w:val="none"/>
              </w:rPr>
              <w:t>生根剂用量</w:t>
            </w:r>
          </w:p>
        </w:tc>
        <w:tc>
          <w:tcPr>
            <w:tcW w:w="1061" w:type="pct"/>
            <w:vAlign w:val="center"/>
          </w:tcPr>
          <w:p w14:paraId="0ECA6FE7">
            <w:pPr>
              <w:spacing w:line="280" w:lineRule="exact"/>
              <w:jc w:val="both"/>
              <w:rPr>
                <w:highlight w:val="none"/>
              </w:rPr>
            </w:pPr>
            <w:r>
              <w:rPr>
                <w:rFonts w:hint="eastAsia" w:ascii="Times New Roman" w:hAnsi="Times New Roman" w:eastAsia="宋体"/>
                <w:b w:val="0"/>
                <w:i w:val="0"/>
                <w:sz w:val="21"/>
                <w:highlight w:val="none"/>
              </w:rPr>
              <w:t>kg或L</w:t>
            </w:r>
          </w:p>
        </w:tc>
        <w:tc>
          <w:tcPr>
            <w:tcW w:w="1713" w:type="pct"/>
            <w:vAlign w:val="center"/>
          </w:tcPr>
          <w:p w14:paraId="320941FD">
            <w:pPr>
              <w:spacing w:line="280" w:lineRule="exact"/>
              <w:jc w:val="both"/>
              <w:rPr>
                <w:highlight w:val="none"/>
              </w:rPr>
            </w:pPr>
            <w:r>
              <w:rPr>
                <w:rFonts w:hint="eastAsia" w:ascii="Times New Roman" w:hAnsi="Times New Roman" w:eastAsia="宋体"/>
                <w:b w:val="0"/>
                <w:i w:val="0"/>
                <w:sz w:val="21"/>
                <w:highlight w:val="none"/>
              </w:rPr>
              <w:t>采购台账、领用记录</w:t>
            </w:r>
          </w:p>
        </w:tc>
      </w:tr>
      <w:tr w14:paraId="01A9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pct"/>
            <w:vAlign w:val="center"/>
          </w:tcPr>
          <w:p w14:paraId="064BFB1A">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3A19B549">
            <w:pPr>
              <w:spacing w:line="280" w:lineRule="exact"/>
              <w:jc w:val="both"/>
              <w:rPr>
                <w:highlight w:val="none"/>
              </w:rPr>
            </w:pPr>
            <w:r>
              <w:rPr>
                <w:rFonts w:hint="eastAsia" w:ascii="Times New Roman" w:hAnsi="Times New Roman" w:eastAsia="宋体"/>
                <w:b w:val="0"/>
                <w:i w:val="0"/>
                <w:sz w:val="21"/>
                <w:highlight w:val="none"/>
              </w:rPr>
              <w:t>肥料类型、施肥方式与施用量</w:t>
            </w:r>
          </w:p>
        </w:tc>
        <w:tc>
          <w:tcPr>
            <w:tcW w:w="1061" w:type="pct"/>
            <w:vAlign w:val="center"/>
          </w:tcPr>
          <w:p w14:paraId="6D122383">
            <w:pPr>
              <w:spacing w:line="280" w:lineRule="exact"/>
              <w:jc w:val="both"/>
              <w:rPr>
                <w:highlight w:val="none"/>
              </w:rPr>
            </w:pPr>
            <w:r>
              <w:rPr>
                <w:rFonts w:hint="eastAsia" w:ascii="Times New Roman" w:hAnsi="Times New Roman" w:eastAsia="宋体"/>
                <w:b w:val="0"/>
                <w:i w:val="0"/>
                <w:sz w:val="21"/>
                <w:highlight w:val="none"/>
              </w:rPr>
              <w:t>kg、kg N/P₂O₅/K₂O</w:t>
            </w:r>
          </w:p>
        </w:tc>
        <w:tc>
          <w:tcPr>
            <w:tcW w:w="1713" w:type="pct"/>
            <w:vAlign w:val="center"/>
          </w:tcPr>
          <w:p w14:paraId="350C3170">
            <w:pPr>
              <w:spacing w:line="280" w:lineRule="exact"/>
              <w:jc w:val="both"/>
              <w:rPr>
                <w:highlight w:val="none"/>
              </w:rPr>
            </w:pPr>
            <w:r>
              <w:rPr>
                <w:rFonts w:hint="eastAsia" w:ascii="Times New Roman" w:hAnsi="Times New Roman" w:eastAsia="宋体"/>
                <w:b w:val="0"/>
                <w:i w:val="0"/>
                <w:sz w:val="21"/>
                <w:highlight w:val="none"/>
              </w:rPr>
              <w:t>采购发票、施用台账、折纯计算</w:t>
            </w:r>
          </w:p>
        </w:tc>
      </w:tr>
      <w:tr w14:paraId="4CD5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5D02205">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5A30AC6C">
            <w:pPr>
              <w:spacing w:line="280" w:lineRule="exact"/>
              <w:jc w:val="both"/>
              <w:rPr>
                <w:highlight w:val="none"/>
              </w:rPr>
            </w:pPr>
            <w:r>
              <w:rPr>
                <w:rFonts w:hint="eastAsia" w:ascii="Times New Roman" w:hAnsi="Times New Roman" w:eastAsia="宋体"/>
                <w:b w:val="0"/>
                <w:i w:val="0"/>
                <w:sz w:val="21"/>
                <w:highlight w:val="none"/>
              </w:rPr>
              <w:t>农药类型、有效成分与施用量</w:t>
            </w:r>
          </w:p>
        </w:tc>
        <w:tc>
          <w:tcPr>
            <w:tcW w:w="1061" w:type="pct"/>
            <w:vAlign w:val="center"/>
          </w:tcPr>
          <w:p w14:paraId="7AE1C4D6">
            <w:pPr>
              <w:spacing w:line="280" w:lineRule="exact"/>
              <w:jc w:val="both"/>
              <w:rPr>
                <w:highlight w:val="none"/>
              </w:rPr>
            </w:pPr>
            <w:r>
              <w:rPr>
                <w:rFonts w:hint="eastAsia" w:ascii="Times New Roman" w:hAnsi="Times New Roman" w:eastAsia="宋体"/>
                <w:b w:val="0"/>
                <w:i w:val="0"/>
                <w:sz w:val="21"/>
                <w:highlight w:val="none"/>
              </w:rPr>
              <w:t>kg或L</w:t>
            </w:r>
          </w:p>
        </w:tc>
        <w:tc>
          <w:tcPr>
            <w:tcW w:w="1713" w:type="pct"/>
            <w:vAlign w:val="center"/>
          </w:tcPr>
          <w:p w14:paraId="50E42446">
            <w:pPr>
              <w:spacing w:line="280" w:lineRule="exact"/>
              <w:jc w:val="both"/>
              <w:rPr>
                <w:highlight w:val="none"/>
              </w:rPr>
            </w:pPr>
            <w:r>
              <w:rPr>
                <w:rFonts w:hint="eastAsia" w:ascii="Times New Roman" w:hAnsi="Times New Roman" w:eastAsia="宋体"/>
                <w:b w:val="0"/>
                <w:i w:val="0"/>
                <w:sz w:val="21"/>
                <w:highlight w:val="none"/>
              </w:rPr>
              <w:t>采购发票、植保记录</w:t>
            </w:r>
          </w:p>
        </w:tc>
      </w:tr>
      <w:tr w14:paraId="4932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0B732083">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03C532C6">
            <w:pPr>
              <w:spacing w:line="280" w:lineRule="exact"/>
              <w:jc w:val="both"/>
              <w:rPr>
                <w:highlight w:val="none"/>
              </w:rPr>
            </w:pPr>
            <w:r>
              <w:rPr>
                <w:rFonts w:hint="eastAsia" w:ascii="Times New Roman" w:hAnsi="Times New Roman" w:eastAsia="宋体"/>
                <w:b w:val="0"/>
                <w:i w:val="0"/>
                <w:sz w:val="21"/>
                <w:highlight w:val="none"/>
              </w:rPr>
              <w:t>种植袋材质、单袋质量与使用年限／循环次数</w:t>
            </w:r>
          </w:p>
        </w:tc>
        <w:tc>
          <w:tcPr>
            <w:tcW w:w="1061" w:type="pct"/>
            <w:vAlign w:val="center"/>
          </w:tcPr>
          <w:p w14:paraId="690E6F0A">
            <w:pPr>
              <w:spacing w:line="280" w:lineRule="exact"/>
              <w:jc w:val="both"/>
              <w:rPr>
                <w:highlight w:val="none"/>
              </w:rPr>
            </w:pPr>
            <w:r>
              <w:rPr>
                <w:rFonts w:hint="eastAsia" w:ascii="Times New Roman" w:hAnsi="Times New Roman" w:eastAsia="宋体"/>
                <w:b w:val="0"/>
                <w:i w:val="0"/>
                <w:sz w:val="21"/>
                <w:highlight w:val="none"/>
              </w:rPr>
              <w:t>kg/个、a或次</w:t>
            </w:r>
          </w:p>
        </w:tc>
        <w:tc>
          <w:tcPr>
            <w:tcW w:w="1713" w:type="pct"/>
            <w:vAlign w:val="center"/>
          </w:tcPr>
          <w:p w14:paraId="24E94909">
            <w:pPr>
              <w:spacing w:line="280" w:lineRule="exact"/>
              <w:jc w:val="both"/>
              <w:rPr>
                <w:highlight w:val="none"/>
              </w:rPr>
            </w:pPr>
            <w:r>
              <w:rPr>
                <w:rFonts w:hint="eastAsia" w:ascii="Times New Roman" w:hAnsi="Times New Roman" w:eastAsia="宋体"/>
                <w:b w:val="0"/>
                <w:i w:val="0"/>
                <w:sz w:val="21"/>
                <w:highlight w:val="none"/>
              </w:rPr>
              <w:t>供应商规格说明</w:t>
            </w:r>
          </w:p>
        </w:tc>
      </w:tr>
      <w:tr w14:paraId="1250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ACB574E">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51585F54">
            <w:pPr>
              <w:spacing w:line="280" w:lineRule="exact"/>
              <w:jc w:val="both"/>
              <w:rPr>
                <w:highlight w:val="none"/>
              </w:rPr>
            </w:pPr>
            <w:r>
              <w:rPr>
                <w:rFonts w:hint="eastAsia" w:ascii="Times New Roman" w:hAnsi="Times New Roman" w:eastAsia="宋体"/>
                <w:b w:val="0"/>
                <w:i w:val="0"/>
                <w:sz w:val="21"/>
                <w:highlight w:val="none"/>
              </w:rPr>
              <w:t>补光灯具类型、功率、数量与照度</w:t>
            </w:r>
          </w:p>
        </w:tc>
        <w:tc>
          <w:tcPr>
            <w:tcW w:w="1061" w:type="pct"/>
            <w:vAlign w:val="center"/>
          </w:tcPr>
          <w:p w14:paraId="31EFE0CA">
            <w:pPr>
              <w:spacing w:line="280" w:lineRule="exact"/>
              <w:jc w:val="both"/>
              <w:rPr>
                <w:highlight w:val="none"/>
              </w:rPr>
            </w:pPr>
            <w:r>
              <w:rPr>
                <w:rFonts w:hint="eastAsia" w:ascii="Times New Roman" w:hAnsi="Times New Roman" w:eastAsia="宋体"/>
                <w:b w:val="0"/>
                <w:i w:val="0"/>
                <w:sz w:val="21"/>
                <w:highlight w:val="none"/>
              </w:rPr>
              <w:t>W、盏、lx</w:t>
            </w:r>
          </w:p>
        </w:tc>
        <w:tc>
          <w:tcPr>
            <w:tcW w:w="1713" w:type="pct"/>
            <w:vAlign w:val="center"/>
          </w:tcPr>
          <w:p w14:paraId="24B4461E">
            <w:pPr>
              <w:spacing w:line="280" w:lineRule="exact"/>
              <w:jc w:val="both"/>
              <w:rPr>
                <w:highlight w:val="none"/>
              </w:rPr>
            </w:pPr>
            <w:r>
              <w:rPr>
                <w:rFonts w:hint="eastAsia" w:ascii="Times New Roman" w:hAnsi="Times New Roman" w:eastAsia="宋体"/>
                <w:b w:val="0"/>
                <w:i w:val="0"/>
                <w:sz w:val="21"/>
                <w:highlight w:val="none"/>
              </w:rPr>
              <w:t>设备清单、铭牌参数</w:t>
            </w:r>
          </w:p>
        </w:tc>
      </w:tr>
      <w:tr w14:paraId="1DBB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2537665">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2AA42764">
            <w:pPr>
              <w:spacing w:line="280" w:lineRule="exact"/>
              <w:jc w:val="both"/>
              <w:rPr>
                <w:highlight w:val="none"/>
              </w:rPr>
            </w:pPr>
            <w:r>
              <w:rPr>
                <w:rFonts w:hint="eastAsia" w:ascii="Times New Roman" w:hAnsi="Times New Roman" w:eastAsia="宋体"/>
                <w:b w:val="0"/>
                <w:i w:val="0"/>
                <w:sz w:val="21"/>
                <w:highlight w:val="none"/>
              </w:rPr>
              <w:t>每日补光时长与补光天数</w:t>
            </w:r>
          </w:p>
        </w:tc>
        <w:tc>
          <w:tcPr>
            <w:tcW w:w="1061" w:type="pct"/>
            <w:vAlign w:val="center"/>
          </w:tcPr>
          <w:p w14:paraId="1723A4FE">
            <w:pPr>
              <w:spacing w:line="280" w:lineRule="exact"/>
              <w:jc w:val="both"/>
              <w:rPr>
                <w:highlight w:val="none"/>
              </w:rPr>
            </w:pPr>
            <w:r>
              <w:rPr>
                <w:rFonts w:hint="eastAsia" w:ascii="Times New Roman" w:hAnsi="Times New Roman" w:eastAsia="宋体"/>
                <w:b w:val="0"/>
                <w:i w:val="0"/>
                <w:sz w:val="21"/>
                <w:highlight w:val="none"/>
              </w:rPr>
              <w:t>h/d、d</w:t>
            </w:r>
          </w:p>
        </w:tc>
        <w:tc>
          <w:tcPr>
            <w:tcW w:w="1713" w:type="pct"/>
            <w:vAlign w:val="center"/>
          </w:tcPr>
          <w:p w14:paraId="08003670">
            <w:pPr>
              <w:spacing w:line="280" w:lineRule="exact"/>
              <w:jc w:val="both"/>
              <w:rPr>
                <w:highlight w:val="none"/>
              </w:rPr>
            </w:pPr>
            <w:r>
              <w:rPr>
                <w:rFonts w:hint="eastAsia" w:ascii="Times New Roman" w:hAnsi="Times New Roman" w:eastAsia="宋体"/>
                <w:b w:val="0"/>
                <w:i w:val="0"/>
                <w:sz w:val="21"/>
                <w:highlight w:val="none"/>
              </w:rPr>
              <w:t>记录</w:t>
            </w:r>
            <w:r>
              <w:rPr>
                <w:rFonts w:hint="eastAsia" w:ascii="Times New Roman" w:hAnsi="Times New Roman"/>
                <w:b w:val="0"/>
                <w:i w:val="0"/>
                <w:sz w:val="21"/>
                <w:highlight w:val="none"/>
                <w:lang w:val="en-US" w:eastAsia="zh-CN"/>
              </w:rPr>
              <w:t>台账</w:t>
            </w:r>
            <w:r>
              <w:rPr>
                <w:rFonts w:hint="eastAsia" w:ascii="Times New Roman" w:hAnsi="Times New Roman" w:eastAsia="宋体"/>
                <w:b w:val="0"/>
                <w:i w:val="0"/>
                <w:sz w:val="21"/>
                <w:highlight w:val="none"/>
              </w:rPr>
              <w:t>或运行日志</w:t>
            </w:r>
          </w:p>
        </w:tc>
      </w:tr>
      <w:tr w14:paraId="4315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194A04C">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0990B35B">
            <w:pPr>
              <w:spacing w:line="280" w:lineRule="exact"/>
              <w:jc w:val="both"/>
              <w:rPr>
                <w:highlight w:val="none"/>
              </w:rPr>
            </w:pPr>
            <w:r>
              <w:rPr>
                <w:rFonts w:hint="eastAsia" w:ascii="Times New Roman" w:hAnsi="Times New Roman" w:eastAsia="宋体"/>
                <w:b w:val="0"/>
                <w:i w:val="0"/>
                <w:sz w:val="21"/>
                <w:highlight w:val="none"/>
              </w:rPr>
              <w:t>灌溉方式、灌溉频次、取水量与耗电量</w:t>
            </w:r>
          </w:p>
        </w:tc>
        <w:tc>
          <w:tcPr>
            <w:tcW w:w="1061" w:type="pct"/>
            <w:vAlign w:val="center"/>
          </w:tcPr>
          <w:p w14:paraId="2E0D9EC5">
            <w:pPr>
              <w:spacing w:line="280" w:lineRule="exact"/>
              <w:jc w:val="both"/>
              <w:rPr>
                <w:highlight w:val="none"/>
              </w:rPr>
            </w:pPr>
            <w:r>
              <w:rPr>
                <w:rFonts w:hint="eastAsia" w:ascii="Times New Roman" w:hAnsi="Times New Roman" w:eastAsia="宋体"/>
                <w:b w:val="0"/>
                <w:i w:val="0"/>
                <w:sz w:val="21"/>
                <w:highlight w:val="none"/>
              </w:rPr>
              <w:t>m³、kW·h</w:t>
            </w:r>
          </w:p>
        </w:tc>
        <w:tc>
          <w:tcPr>
            <w:tcW w:w="1713" w:type="pct"/>
            <w:vAlign w:val="center"/>
          </w:tcPr>
          <w:p w14:paraId="41A6D79D">
            <w:pPr>
              <w:spacing w:line="280" w:lineRule="exact"/>
              <w:jc w:val="both"/>
              <w:rPr>
                <w:highlight w:val="none"/>
              </w:rPr>
            </w:pPr>
            <w:r>
              <w:rPr>
                <w:rFonts w:hint="eastAsia" w:ascii="Times New Roman" w:hAnsi="Times New Roman" w:eastAsia="宋体"/>
                <w:b w:val="0"/>
                <w:i w:val="0"/>
                <w:sz w:val="21"/>
                <w:highlight w:val="none"/>
              </w:rPr>
              <w:t>水表、电表读数</w:t>
            </w:r>
          </w:p>
        </w:tc>
      </w:tr>
      <w:tr w14:paraId="0FC9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8B14D82">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383C0AA">
            <w:pPr>
              <w:spacing w:line="280" w:lineRule="exact"/>
              <w:jc w:val="both"/>
              <w:rPr>
                <w:highlight w:val="none"/>
              </w:rPr>
            </w:pPr>
            <w:r>
              <w:rPr>
                <w:rFonts w:hint="eastAsia" w:ascii="Times New Roman" w:hAnsi="Times New Roman" w:eastAsia="宋体"/>
                <w:b w:val="0"/>
                <w:i w:val="0"/>
                <w:sz w:val="21"/>
                <w:highlight w:val="none"/>
              </w:rPr>
              <w:t>遮光、保温与防虫材料用量与年限</w:t>
            </w:r>
          </w:p>
        </w:tc>
        <w:tc>
          <w:tcPr>
            <w:tcW w:w="1061" w:type="pct"/>
            <w:vAlign w:val="center"/>
          </w:tcPr>
          <w:p w14:paraId="49BCF5B6">
            <w:pPr>
              <w:spacing w:line="280" w:lineRule="exact"/>
              <w:jc w:val="both"/>
              <w:rPr>
                <w:highlight w:val="none"/>
              </w:rPr>
            </w:pPr>
            <w:r>
              <w:rPr>
                <w:rFonts w:hint="eastAsia" w:ascii="Times New Roman" w:hAnsi="Times New Roman" w:eastAsia="宋体"/>
                <w:b w:val="0"/>
                <w:i w:val="0"/>
                <w:sz w:val="21"/>
                <w:highlight w:val="none"/>
              </w:rPr>
              <w:t>kg、a</w:t>
            </w:r>
          </w:p>
        </w:tc>
        <w:tc>
          <w:tcPr>
            <w:tcW w:w="1713" w:type="pct"/>
            <w:vAlign w:val="center"/>
          </w:tcPr>
          <w:p w14:paraId="0A1F62BD">
            <w:pPr>
              <w:spacing w:line="280" w:lineRule="exact"/>
              <w:jc w:val="both"/>
              <w:rPr>
                <w:highlight w:val="none"/>
              </w:rPr>
            </w:pPr>
            <w:r>
              <w:rPr>
                <w:rFonts w:hint="eastAsia" w:ascii="Times New Roman" w:hAnsi="Times New Roman" w:eastAsia="宋体"/>
                <w:b w:val="0"/>
                <w:i w:val="0"/>
                <w:sz w:val="21"/>
                <w:highlight w:val="none"/>
              </w:rPr>
              <w:t>采购凭证</w:t>
            </w:r>
          </w:p>
        </w:tc>
      </w:tr>
      <w:tr w14:paraId="5397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0A1BBB1">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2AD2C80E">
            <w:pPr>
              <w:spacing w:line="280" w:lineRule="exact"/>
              <w:jc w:val="both"/>
              <w:rPr>
                <w:highlight w:val="none"/>
              </w:rPr>
            </w:pPr>
            <w:r>
              <w:rPr>
                <w:rFonts w:hint="eastAsia" w:ascii="Times New Roman" w:hAnsi="Times New Roman" w:eastAsia="宋体"/>
                <w:b w:val="0"/>
                <w:i w:val="0"/>
                <w:sz w:val="21"/>
                <w:highlight w:val="none"/>
              </w:rPr>
              <w:t>种植阶段耗电量与取水量</w:t>
            </w:r>
          </w:p>
        </w:tc>
        <w:tc>
          <w:tcPr>
            <w:tcW w:w="1061" w:type="pct"/>
            <w:vAlign w:val="center"/>
          </w:tcPr>
          <w:p w14:paraId="57A56EF6">
            <w:pPr>
              <w:spacing w:line="280" w:lineRule="exact"/>
              <w:jc w:val="both"/>
              <w:rPr>
                <w:highlight w:val="none"/>
              </w:rPr>
            </w:pPr>
            <w:r>
              <w:rPr>
                <w:rFonts w:hint="eastAsia" w:ascii="Times New Roman" w:hAnsi="Times New Roman" w:eastAsia="宋体"/>
                <w:b w:val="0"/>
                <w:i w:val="0"/>
                <w:sz w:val="21"/>
                <w:highlight w:val="none"/>
              </w:rPr>
              <w:t>kW·h、m³</w:t>
            </w:r>
          </w:p>
        </w:tc>
        <w:tc>
          <w:tcPr>
            <w:tcW w:w="1713" w:type="pct"/>
            <w:vAlign w:val="center"/>
          </w:tcPr>
          <w:p w14:paraId="5547413B">
            <w:pPr>
              <w:spacing w:line="280" w:lineRule="exact"/>
              <w:jc w:val="both"/>
              <w:rPr>
                <w:highlight w:val="none"/>
              </w:rPr>
            </w:pPr>
            <w:r>
              <w:rPr>
                <w:rFonts w:hint="eastAsia" w:ascii="Times New Roman" w:hAnsi="Times New Roman" w:eastAsia="宋体"/>
                <w:b w:val="0"/>
                <w:i w:val="0"/>
                <w:sz w:val="21"/>
                <w:highlight w:val="none"/>
              </w:rPr>
              <w:t>分表读数；含补光、灌溉与水帘降温，无分表时按功率与时长估算</w:t>
            </w:r>
          </w:p>
        </w:tc>
      </w:tr>
      <w:tr w14:paraId="43D6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50723F8">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5CA22DE">
            <w:pPr>
              <w:spacing w:line="280" w:lineRule="exact"/>
              <w:jc w:val="both"/>
              <w:rPr>
                <w:highlight w:val="none"/>
              </w:rPr>
            </w:pPr>
            <w:r>
              <w:rPr>
                <w:rFonts w:hint="eastAsia" w:ascii="Times New Roman" w:hAnsi="Times New Roman" w:eastAsia="宋体"/>
                <w:b w:val="0"/>
                <w:i w:val="0"/>
                <w:sz w:val="21"/>
                <w:highlight w:val="none"/>
              </w:rPr>
              <w:t>轮作批次数</w:t>
            </w:r>
          </w:p>
        </w:tc>
        <w:tc>
          <w:tcPr>
            <w:tcW w:w="1061" w:type="pct"/>
            <w:vAlign w:val="center"/>
          </w:tcPr>
          <w:p w14:paraId="03B8C4C0">
            <w:pPr>
              <w:spacing w:line="280" w:lineRule="exact"/>
              <w:jc w:val="both"/>
              <w:rPr>
                <w:highlight w:val="none"/>
              </w:rPr>
            </w:pPr>
            <w:r>
              <w:rPr>
                <w:rFonts w:hint="eastAsia" w:ascii="Times New Roman" w:hAnsi="Times New Roman" w:eastAsia="宋体"/>
                <w:b w:val="0"/>
                <w:i w:val="0"/>
                <w:sz w:val="21"/>
                <w:highlight w:val="none"/>
              </w:rPr>
              <w:t>次</w:t>
            </w:r>
          </w:p>
        </w:tc>
        <w:tc>
          <w:tcPr>
            <w:tcW w:w="1713" w:type="pct"/>
            <w:vAlign w:val="center"/>
          </w:tcPr>
          <w:p w14:paraId="52EFA67F">
            <w:pPr>
              <w:spacing w:line="280" w:lineRule="exact"/>
              <w:jc w:val="both"/>
              <w:rPr>
                <w:highlight w:val="none"/>
              </w:rPr>
            </w:pPr>
            <w:r>
              <w:rPr>
                <w:rFonts w:hint="eastAsia" w:ascii="Times New Roman" w:hAnsi="Times New Roman" w:eastAsia="宋体"/>
                <w:b w:val="0"/>
                <w:i w:val="0"/>
                <w:sz w:val="21"/>
                <w:highlight w:val="none"/>
              </w:rPr>
              <w:t>生产记录</w:t>
            </w:r>
          </w:p>
        </w:tc>
      </w:tr>
      <w:tr w14:paraId="58AB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pct"/>
            <w:vAlign w:val="center"/>
          </w:tcPr>
          <w:p w14:paraId="39906B9D">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B1E4AD0">
            <w:pPr>
              <w:spacing w:line="280" w:lineRule="exact"/>
              <w:jc w:val="both"/>
              <w:rPr>
                <w:highlight w:val="none"/>
              </w:rPr>
            </w:pPr>
            <w:r>
              <w:rPr>
                <w:rFonts w:hint="eastAsia" w:ascii="Times New Roman" w:hAnsi="Times New Roman" w:eastAsia="宋体"/>
                <w:b w:val="0"/>
                <w:i w:val="0"/>
                <w:sz w:val="21"/>
                <w:highlight w:val="none"/>
              </w:rPr>
              <w:t>单棚单季定植株数</w:t>
            </w:r>
          </w:p>
        </w:tc>
        <w:tc>
          <w:tcPr>
            <w:tcW w:w="1061" w:type="pct"/>
            <w:vAlign w:val="center"/>
          </w:tcPr>
          <w:p w14:paraId="7671DC79">
            <w:pPr>
              <w:spacing w:line="280" w:lineRule="exact"/>
              <w:jc w:val="both"/>
              <w:rPr>
                <w:highlight w:val="none"/>
              </w:rPr>
            </w:pPr>
            <w:r>
              <w:rPr>
                <w:rFonts w:hint="eastAsia" w:ascii="Times New Roman" w:hAnsi="Times New Roman" w:eastAsia="宋体"/>
                <w:b w:val="0"/>
                <w:i w:val="0"/>
                <w:sz w:val="21"/>
                <w:highlight w:val="none"/>
              </w:rPr>
              <w:t>株/棚·季</w:t>
            </w:r>
          </w:p>
        </w:tc>
        <w:tc>
          <w:tcPr>
            <w:tcW w:w="1713" w:type="pct"/>
            <w:vAlign w:val="center"/>
          </w:tcPr>
          <w:p w14:paraId="38637B0E">
            <w:pPr>
              <w:spacing w:line="280" w:lineRule="exact"/>
              <w:jc w:val="both"/>
              <w:rPr>
                <w:highlight w:val="none"/>
              </w:rPr>
            </w:pPr>
            <w:r>
              <w:rPr>
                <w:rFonts w:hint="eastAsia" w:ascii="Times New Roman" w:hAnsi="Times New Roman" w:eastAsia="宋体"/>
                <w:b w:val="0"/>
                <w:i w:val="0"/>
                <w:sz w:val="21"/>
                <w:highlight w:val="none"/>
              </w:rPr>
              <w:t>定植记录</w:t>
            </w:r>
          </w:p>
        </w:tc>
      </w:tr>
      <w:tr w14:paraId="72FD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39C75A6">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DEA806B">
            <w:pPr>
              <w:spacing w:line="280" w:lineRule="exact"/>
              <w:jc w:val="both"/>
              <w:rPr>
                <w:highlight w:val="none"/>
              </w:rPr>
            </w:pPr>
            <w:r>
              <w:rPr>
                <w:rFonts w:hint="eastAsia" w:ascii="Times New Roman" w:hAnsi="Times New Roman" w:eastAsia="宋体"/>
                <w:b w:val="0"/>
                <w:i w:val="0"/>
                <w:sz w:val="21"/>
                <w:highlight w:val="none"/>
              </w:rPr>
              <w:t>种苗出圃株数与成活率</w:t>
            </w:r>
          </w:p>
        </w:tc>
        <w:tc>
          <w:tcPr>
            <w:tcW w:w="1061" w:type="pct"/>
            <w:vAlign w:val="center"/>
          </w:tcPr>
          <w:p w14:paraId="0E9C27A8">
            <w:pPr>
              <w:spacing w:line="280" w:lineRule="exact"/>
              <w:jc w:val="both"/>
              <w:rPr>
                <w:highlight w:val="none"/>
              </w:rPr>
            </w:pPr>
            <w:r>
              <w:rPr>
                <w:rFonts w:hint="eastAsia" w:ascii="Times New Roman" w:hAnsi="Times New Roman" w:eastAsia="宋体"/>
                <w:b w:val="0"/>
                <w:i w:val="0"/>
                <w:sz w:val="21"/>
                <w:highlight w:val="none"/>
              </w:rPr>
              <w:t>株、%</w:t>
            </w:r>
          </w:p>
        </w:tc>
        <w:tc>
          <w:tcPr>
            <w:tcW w:w="1713" w:type="pct"/>
            <w:vAlign w:val="center"/>
          </w:tcPr>
          <w:p w14:paraId="5427005E">
            <w:pPr>
              <w:spacing w:line="280" w:lineRule="exact"/>
              <w:jc w:val="both"/>
              <w:rPr>
                <w:highlight w:val="none"/>
              </w:rPr>
            </w:pPr>
            <w:r>
              <w:rPr>
                <w:rFonts w:hint="eastAsia" w:ascii="Times New Roman" w:hAnsi="Times New Roman" w:eastAsia="宋体"/>
                <w:b w:val="0"/>
                <w:i w:val="0"/>
                <w:sz w:val="21"/>
                <w:highlight w:val="none"/>
              </w:rPr>
              <w:t>出圃记录</w:t>
            </w:r>
          </w:p>
        </w:tc>
      </w:tr>
      <w:tr w14:paraId="3E9B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4A5776C">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155CBF1E">
            <w:pPr>
              <w:spacing w:line="280" w:lineRule="exact"/>
              <w:jc w:val="both"/>
              <w:rPr>
                <w:highlight w:val="none"/>
              </w:rPr>
            </w:pPr>
            <w:r>
              <w:rPr>
                <w:rFonts w:hint="eastAsia" w:ascii="Times New Roman" w:hAnsi="Times New Roman" w:eastAsia="宋体"/>
                <w:b w:val="0"/>
                <w:i w:val="0"/>
                <w:sz w:val="21"/>
                <w:highlight w:val="none"/>
              </w:rPr>
              <w:t>农机（具）类型与能源消耗量</w:t>
            </w:r>
          </w:p>
        </w:tc>
        <w:tc>
          <w:tcPr>
            <w:tcW w:w="1061" w:type="pct"/>
            <w:vAlign w:val="center"/>
          </w:tcPr>
          <w:p w14:paraId="276D7D29">
            <w:pPr>
              <w:spacing w:line="280" w:lineRule="exact"/>
              <w:jc w:val="both"/>
              <w:rPr>
                <w:highlight w:val="none"/>
              </w:rPr>
            </w:pPr>
            <w:r>
              <w:rPr>
                <w:rFonts w:hint="eastAsia" w:ascii="Times New Roman" w:hAnsi="Times New Roman" w:eastAsia="宋体"/>
                <w:b w:val="0"/>
                <w:i w:val="0"/>
                <w:sz w:val="21"/>
                <w:highlight w:val="none"/>
              </w:rPr>
              <w:t>kg、m³、L、kW·h</w:t>
            </w:r>
          </w:p>
        </w:tc>
        <w:tc>
          <w:tcPr>
            <w:tcW w:w="1713" w:type="pct"/>
            <w:vAlign w:val="center"/>
          </w:tcPr>
          <w:p w14:paraId="297190C3">
            <w:pPr>
              <w:spacing w:line="280" w:lineRule="exact"/>
              <w:jc w:val="both"/>
              <w:rPr>
                <w:highlight w:val="none"/>
              </w:rPr>
            </w:pPr>
            <w:r>
              <w:rPr>
                <w:rFonts w:hint="eastAsia" w:ascii="Times New Roman" w:hAnsi="Times New Roman" w:eastAsia="宋体"/>
                <w:b w:val="0"/>
                <w:i w:val="0"/>
                <w:sz w:val="21"/>
                <w:highlight w:val="none"/>
              </w:rPr>
              <w:t>作业记录、加油记录</w:t>
            </w:r>
          </w:p>
        </w:tc>
      </w:tr>
      <w:tr w14:paraId="2B87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2F14A06">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03A3EA98">
            <w:pPr>
              <w:spacing w:line="280" w:lineRule="exact"/>
              <w:jc w:val="both"/>
              <w:rPr>
                <w:highlight w:val="none"/>
              </w:rPr>
            </w:pPr>
            <w:r>
              <w:rPr>
                <w:rFonts w:hint="eastAsia" w:ascii="Times New Roman" w:hAnsi="Times New Roman" w:eastAsia="宋体"/>
                <w:b w:val="0"/>
                <w:i w:val="0"/>
                <w:sz w:val="21"/>
                <w:highlight w:val="none"/>
              </w:rPr>
              <w:t>鲜花产量与平均单朵质量</w:t>
            </w:r>
          </w:p>
        </w:tc>
        <w:tc>
          <w:tcPr>
            <w:tcW w:w="1061" w:type="pct"/>
            <w:vAlign w:val="center"/>
          </w:tcPr>
          <w:p w14:paraId="49FA7377">
            <w:pPr>
              <w:spacing w:line="280" w:lineRule="exact"/>
              <w:jc w:val="both"/>
              <w:rPr>
                <w:highlight w:val="none"/>
              </w:rPr>
            </w:pPr>
            <w:r>
              <w:rPr>
                <w:rFonts w:hint="eastAsia" w:ascii="Times New Roman" w:hAnsi="Times New Roman" w:eastAsia="宋体"/>
                <w:b w:val="0"/>
                <w:i w:val="0"/>
                <w:sz w:val="21"/>
                <w:highlight w:val="none"/>
              </w:rPr>
              <w:t>kg、g/朵</w:t>
            </w:r>
          </w:p>
        </w:tc>
        <w:tc>
          <w:tcPr>
            <w:tcW w:w="1713" w:type="pct"/>
            <w:vAlign w:val="center"/>
          </w:tcPr>
          <w:p w14:paraId="065F756A">
            <w:pPr>
              <w:spacing w:line="280" w:lineRule="exact"/>
              <w:jc w:val="both"/>
              <w:rPr>
                <w:highlight w:val="none"/>
              </w:rPr>
            </w:pPr>
            <w:r>
              <w:rPr>
                <w:rFonts w:hint="eastAsia" w:ascii="Times New Roman" w:hAnsi="Times New Roman" w:eastAsia="宋体"/>
                <w:b w:val="0"/>
                <w:i w:val="0"/>
                <w:sz w:val="21"/>
                <w:highlight w:val="none"/>
              </w:rPr>
              <w:t>过磅单、销售台账</w:t>
            </w:r>
          </w:p>
        </w:tc>
      </w:tr>
      <w:tr w14:paraId="7B58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710EB29">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55E3C4C0">
            <w:pPr>
              <w:spacing w:line="280" w:lineRule="exact"/>
              <w:jc w:val="both"/>
              <w:rPr>
                <w:highlight w:val="none"/>
              </w:rPr>
            </w:pPr>
            <w:r>
              <w:rPr>
                <w:rFonts w:hint="eastAsia" w:ascii="Times New Roman" w:hAnsi="Times New Roman" w:eastAsia="宋体"/>
                <w:b w:val="0"/>
                <w:i w:val="0"/>
                <w:sz w:val="21"/>
                <w:highlight w:val="none"/>
              </w:rPr>
              <w:t>收获指数、根冠比与残体含氮量</w:t>
            </w:r>
          </w:p>
        </w:tc>
        <w:tc>
          <w:tcPr>
            <w:tcW w:w="1061" w:type="pct"/>
            <w:vAlign w:val="center"/>
          </w:tcPr>
          <w:p w14:paraId="3327CF35">
            <w:pPr>
              <w:spacing w:line="280" w:lineRule="exact"/>
              <w:jc w:val="both"/>
              <w:rPr>
                <w:highlight w:val="none"/>
              </w:rPr>
            </w:pPr>
            <w:r>
              <w:rPr>
                <w:rFonts w:hint="eastAsia" w:ascii="Times New Roman" w:hAnsi="Times New Roman" w:eastAsia="宋体"/>
                <w:b w:val="0"/>
                <w:i w:val="0"/>
                <w:sz w:val="21"/>
                <w:highlight w:val="none"/>
              </w:rPr>
              <w:t>无量纲、kg N/kg</w:t>
            </w:r>
          </w:p>
        </w:tc>
        <w:tc>
          <w:tcPr>
            <w:tcW w:w="1713" w:type="pct"/>
            <w:vAlign w:val="center"/>
          </w:tcPr>
          <w:p w14:paraId="7A50AB72">
            <w:pPr>
              <w:spacing w:line="280" w:lineRule="exact"/>
              <w:jc w:val="both"/>
              <w:rPr>
                <w:highlight w:val="none"/>
              </w:rPr>
            </w:pPr>
            <w:r>
              <w:rPr>
                <w:rFonts w:hint="eastAsia" w:ascii="Times New Roman" w:hAnsi="Times New Roman" w:eastAsia="宋体"/>
                <w:b w:val="0"/>
                <w:i w:val="0"/>
                <w:sz w:val="21"/>
                <w:highlight w:val="none"/>
              </w:rPr>
              <w:t>实测；缺省值见表B.8</w:t>
            </w:r>
          </w:p>
        </w:tc>
      </w:tr>
      <w:tr w14:paraId="6398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CA29425">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2D6D031E">
            <w:pPr>
              <w:spacing w:line="280" w:lineRule="exact"/>
              <w:jc w:val="both"/>
              <w:rPr>
                <w:highlight w:val="none"/>
              </w:rPr>
            </w:pPr>
            <w:r>
              <w:rPr>
                <w:rFonts w:hint="eastAsia" w:ascii="Times New Roman" w:hAnsi="Times New Roman" w:eastAsia="宋体"/>
                <w:b w:val="0"/>
                <w:i w:val="0"/>
                <w:sz w:val="21"/>
                <w:highlight w:val="none"/>
              </w:rPr>
              <w:t>保鲜库功率与耗电量、库温（如使用）</w:t>
            </w:r>
          </w:p>
        </w:tc>
        <w:tc>
          <w:tcPr>
            <w:tcW w:w="1061" w:type="pct"/>
            <w:vAlign w:val="center"/>
          </w:tcPr>
          <w:p w14:paraId="3E735D9D">
            <w:pPr>
              <w:spacing w:line="280" w:lineRule="exact"/>
              <w:jc w:val="both"/>
              <w:rPr>
                <w:highlight w:val="none"/>
              </w:rPr>
            </w:pPr>
            <w:r>
              <w:rPr>
                <w:rFonts w:hint="eastAsia" w:ascii="Times New Roman" w:hAnsi="Times New Roman" w:eastAsia="宋体"/>
                <w:b w:val="0"/>
                <w:i w:val="0"/>
                <w:sz w:val="21"/>
                <w:highlight w:val="none"/>
              </w:rPr>
              <w:t>kW、kW·h、℃</w:t>
            </w:r>
          </w:p>
        </w:tc>
        <w:tc>
          <w:tcPr>
            <w:tcW w:w="1713" w:type="pct"/>
            <w:vAlign w:val="center"/>
          </w:tcPr>
          <w:p w14:paraId="232FCC05">
            <w:pPr>
              <w:spacing w:line="280" w:lineRule="exact"/>
              <w:jc w:val="both"/>
              <w:rPr>
                <w:highlight w:val="none"/>
              </w:rPr>
            </w:pPr>
            <w:r>
              <w:rPr>
                <w:rFonts w:hint="eastAsia" w:ascii="Times New Roman" w:hAnsi="Times New Roman" w:eastAsia="宋体"/>
                <w:b w:val="0"/>
                <w:i w:val="0"/>
                <w:sz w:val="21"/>
                <w:highlight w:val="none"/>
              </w:rPr>
              <w:t>独立电表、运行记录</w:t>
            </w:r>
          </w:p>
        </w:tc>
      </w:tr>
      <w:tr w14:paraId="372A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D9FC72B">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73C039D5">
            <w:pPr>
              <w:spacing w:line="280" w:lineRule="exact"/>
              <w:jc w:val="both"/>
              <w:rPr>
                <w:highlight w:val="none"/>
              </w:rPr>
            </w:pPr>
            <w:r>
              <w:rPr>
                <w:rFonts w:hint="eastAsia" w:ascii="Times New Roman" w:hAnsi="Times New Roman" w:eastAsia="宋体"/>
                <w:b w:val="0"/>
                <w:i w:val="0"/>
                <w:sz w:val="21"/>
                <w:highlight w:val="none"/>
              </w:rPr>
              <w:t>冷藏周转量</w:t>
            </w:r>
          </w:p>
        </w:tc>
        <w:tc>
          <w:tcPr>
            <w:tcW w:w="1061" w:type="pct"/>
            <w:vAlign w:val="center"/>
          </w:tcPr>
          <w:p w14:paraId="2137C265">
            <w:pPr>
              <w:spacing w:line="280" w:lineRule="exact"/>
              <w:jc w:val="both"/>
              <w:rPr>
                <w:highlight w:val="none"/>
              </w:rPr>
            </w:pPr>
            <w:r>
              <w:rPr>
                <w:rFonts w:hint="eastAsia" w:ascii="Times New Roman" w:hAnsi="Times New Roman" w:eastAsia="宋体"/>
                <w:b w:val="0"/>
                <w:i w:val="0"/>
                <w:sz w:val="21"/>
                <w:highlight w:val="none"/>
              </w:rPr>
              <w:t>kg</w:t>
            </w:r>
          </w:p>
        </w:tc>
        <w:tc>
          <w:tcPr>
            <w:tcW w:w="1713" w:type="pct"/>
            <w:vAlign w:val="center"/>
          </w:tcPr>
          <w:p w14:paraId="792925CD">
            <w:pPr>
              <w:spacing w:line="280" w:lineRule="exact"/>
              <w:jc w:val="both"/>
              <w:rPr>
                <w:highlight w:val="none"/>
              </w:rPr>
            </w:pPr>
            <w:r>
              <w:rPr>
                <w:rFonts w:hint="eastAsia" w:ascii="Times New Roman" w:hAnsi="Times New Roman" w:eastAsia="宋体"/>
                <w:b w:val="0"/>
                <w:i w:val="0"/>
                <w:sz w:val="21"/>
                <w:highlight w:val="none"/>
              </w:rPr>
              <w:t>出入库台账</w:t>
            </w:r>
          </w:p>
        </w:tc>
      </w:tr>
      <w:tr w14:paraId="09C3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637219A8">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5B4EEF7C">
            <w:pPr>
              <w:spacing w:line="280" w:lineRule="exact"/>
              <w:jc w:val="both"/>
              <w:rPr>
                <w:highlight w:val="none"/>
              </w:rPr>
            </w:pPr>
            <w:r>
              <w:rPr>
                <w:rFonts w:hint="eastAsia" w:ascii="Times New Roman" w:hAnsi="Times New Roman" w:eastAsia="宋体"/>
                <w:b w:val="0"/>
                <w:i w:val="0"/>
                <w:sz w:val="21"/>
                <w:highlight w:val="none"/>
              </w:rPr>
              <w:t>采收残体产生量与含水率</w:t>
            </w:r>
          </w:p>
        </w:tc>
        <w:tc>
          <w:tcPr>
            <w:tcW w:w="1061" w:type="pct"/>
            <w:vAlign w:val="center"/>
          </w:tcPr>
          <w:p w14:paraId="1D0A0C77">
            <w:pPr>
              <w:spacing w:line="280" w:lineRule="exact"/>
              <w:jc w:val="both"/>
              <w:rPr>
                <w:highlight w:val="none"/>
              </w:rPr>
            </w:pPr>
            <w:r>
              <w:rPr>
                <w:rFonts w:hint="eastAsia" w:ascii="Times New Roman" w:hAnsi="Times New Roman" w:eastAsia="宋体"/>
                <w:b w:val="0"/>
                <w:i w:val="0"/>
                <w:sz w:val="21"/>
                <w:highlight w:val="none"/>
              </w:rPr>
              <w:t>kg、%</w:t>
            </w:r>
          </w:p>
        </w:tc>
        <w:tc>
          <w:tcPr>
            <w:tcW w:w="1713" w:type="pct"/>
            <w:vAlign w:val="center"/>
          </w:tcPr>
          <w:p w14:paraId="029E0535">
            <w:pPr>
              <w:spacing w:line="280" w:lineRule="exact"/>
              <w:jc w:val="both"/>
              <w:rPr>
                <w:highlight w:val="none"/>
              </w:rPr>
            </w:pPr>
            <w:r>
              <w:rPr>
                <w:rFonts w:hint="eastAsia" w:ascii="Times New Roman" w:hAnsi="Times New Roman" w:eastAsia="宋体"/>
                <w:b w:val="0"/>
                <w:i w:val="0"/>
                <w:sz w:val="21"/>
                <w:highlight w:val="none"/>
              </w:rPr>
              <w:t>实测称重；或按公式（6）折算</w:t>
            </w:r>
          </w:p>
        </w:tc>
      </w:tr>
      <w:tr w14:paraId="498C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03679EFC">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05B77EDB">
            <w:pPr>
              <w:spacing w:line="280" w:lineRule="exact"/>
              <w:jc w:val="both"/>
              <w:rPr>
                <w:highlight w:val="none"/>
              </w:rPr>
            </w:pPr>
            <w:r>
              <w:rPr>
                <w:rFonts w:hint="eastAsia" w:ascii="Times New Roman" w:hAnsi="Times New Roman" w:eastAsia="宋体"/>
                <w:b w:val="0"/>
                <w:i w:val="0"/>
                <w:sz w:val="21"/>
                <w:highlight w:val="none"/>
              </w:rPr>
              <w:t>残体处置方式、还田比例与收运距离</w:t>
            </w:r>
          </w:p>
        </w:tc>
        <w:tc>
          <w:tcPr>
            <w:tcW w:w="1061" w:type="pct"/>
            <w:vAlign w:val="center"/>
          </w:tcPr>
          <w:p w14:paraId="243EDBE3">
            <w:pPr>
              <w:spacing w:line="280" w:lineRule="exact"/>
              <w:jc w:val="both"/>
              <w:rPr>
                <w:highlight w:val="none"/>
              </w:rPr>
            </w:pPr>
            <w:r>
              <w:rPr>
                <w:rFonts w:hint="eastAsia" w:ascii="Times New Roman" w:hAnsi="Times New Roman" w:eastAsia="宋体"/>
                <w:b w:val="0"/>
                <w:i w:val="0"/>
                <w:sz w:val="21"/>
                <w:highlight w:val="none"/>
              </w:rPr>
              <w:t>%、km</w:t>
            </w:r>
          </w:p>
        </w:tc>
        <w:tc>
          <w:tcPr>
            <w:tcW w:w="1713" w:type="pct"/>
            <w:vAlign w:val="center"/>
          </w:tcPr>
          <w:p w14:paraId="431F3C1F">
            <w:pPr>
              <w:spacing w:line="280" w:lineRule="exact"/>
              <w:jc w:val="both"/>
              <w:rPr>
                <w:highlight w:val="none"/>
              </w:rPr>
            </w:pPr>
            <w:r>
              <w:rPr>
                <w:rFonts w:hint="eastAsia" w:ascii="Times New Roman" w:hAnsi="Times New Roman" w:eastAsia="宋体"/>
                <w:b w:val="0"/>
                <w:i w:val="0"/>
                <w:sz w:val="21"/>
                <w:highlight w:val="none"/>
              </w:rPr>
              <w:t>园区还田作业记录、环卫清运单据</w:t>
            </w:r>
          </w:p>
        </w:tc>
      </w:tr>
      <w:tr w14:paraId="4F23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E1CF042">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6ED3286C">
            <w:pPr>
              <w:spacing w:line="280" w:lineRule="exact"/>
              <w:jc w:val="both"/>
              <w:rPr>
                <w:highlight w:val="none"/>
              </w:rPr>
            </w:pPr>
            <w:r>
              <w:rPr>
                <w:rFonts w:hint="eastAsia" w:ascii="Times New Roman" w:hAnsi="Times New Roman" w:eastAsia="宋体"/>
                <w:b w:val="0"/>
                <w:i w:val="0"/>
                <w:sz w:val="21"/>
                <w:highlight w:val="none"/>
              </w:rPr>
              <w:t>残体还田作业耗电量或燃油量</w:t>
            </w:r>
          </w:p>
        </w:tc>
        <w:tc>
          <w:tcPr>
            <w:tcW w:w="1061" w:type="pct"/>
            <w:vAlign w:val="center"/>
          </w:tcPr>
          <w:p w14:paraId="35D129AE">
            <w:pPr>
              <w:spacing w:line="280" w:lineRule="exact"/>
              <w:jc w:val="both"/>
              <w:rPr>
                <w:highlight w:val="none"/>
              </w:rPr>
            </w:pPr>
            <w:r>
              <w:rPr>
                <w:rFonts w:hint="eastAsia" w:ascii="Times New Roman" w:hAnsi="Times New Roman" w:eastAsia="宋体"/>
                <w:b w:val="0"/>
                <w:i w:val="0"/>
                <w:sz w:val="21"/>
                <w:highlight w:val="none"/>
              </w:rPr>
              <w:t>kW·h或kg</w:t>
            </w:r>
          </w:p>
        </w:tc>
        <w:tc>
          <w:tcPr>
            <w:tcW w:w="1713" w:type="pct"/>
            <w:vAlign w:val="center"/>
          </w:tcPr>
          <w:p w14:paraId="4F128969">
            <w:pPr>
              <w:spacing w:line="280" w:lineRule="exact"/>
              <w:jc w:val="both"/>
              <w:rPr>
                <w:highlight w:val="none"/>
              </w:rPr>
            </w:pPr>
            <w:r>
              <w:rPr>
                <w:rFonts w:hint="eastAsia" w:ascii="Times New Roman" w:hAnsi="Times New Roman" w:eastAsia="宋体"/>
                <w:b w:val="0"/>
                <w:i w:val="0"/>
                <w:sz w:val="21"/>
                <w:highlight w:val="none"/>
              </w:rPr>
              <w:t>作业记录、电表或加油记录</w:t>
            </w:r>
          </w:p>
        </w:tc>
      </w:tr>
      <w:tr w14:paraId="79A0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6D947B1">
            <w:pPr>
              <w:spacing w:line="280" w:lineRule="exact"/>
              <w:jc w:val="both"/>
              <w:rPr>
                <w:highlight w:val="none"/>
              </w:rPr>
            </w:pPr>
            <w:r>
              <w:rPr>
                <w:rFonts w:hint="eastAsia" w:ascii="Times New Roman" w:hAnsi="Times New Roman" w:eastAsia="宋体"/>
                <w:b w:val="0"/>
                <w:i w:val="0"/>
                <w:sz w:val="21"/>
                <w:highlight w:val="none"/>
              </w:rPr>
              <w:t>包装</w:t>
            </w:r>
          </w:p>
        </w:tc>
        <w:tc>
          <w:tcPr>
            <w:tcW w:w="1576" w:type="pct"/>
            <w:vAlign w:val="center"/>
          </w:tcPr>
          <w:p w14:paraId="05272E99">
            <w:pPr>
              <w:spacing w:line="280" w:lineRule="exact"/>
              <w:jc w:val="both"/>
              <w:rPr>
                <w:highlight w:val="none"/>
              </w:rPr>
            </w:pPr>
            <w:r>
              <w:rPr>
                <w:rFonts w:hint="eastAsia" w:ascii="Times New Roman" w:hAnsi="Times New Roman" w:eastAsia="宋体"/>
                <w:b w:val="0"/>
                <w:i w:val="0"/>
                <w:sz w:val="21"/>
                <w:highlight w:val="none"/>
              </w:rPr>
              <w:t>包装材料类型、规格与用量</w:t>
            </w:r>
          </w:p>
        </w:tc>
        <w:tc>
          <w:tcPr>
            <w:tcW w:w="1061" w:type="pct"/>
            <w:vAlign w:val="center"/>
          </w:tcPr>
          <w:p w14:paraId="1572BE7E">
            <w:pPr>
              <w:spacing w:line="280" w:lineRule="exact"/>
              <w:jc w:val="both"/>
              <w:rPr>
                <w:highlight w:val="none"/>
              </w:rPr>
            </w:pPr>
            <w:r>
              <w:rPr>
                <w:rFonts w:hint="eastAsia" w:ascii="Times New Roman" w:hAnsi="Times New Roman" w:eastAsia="宋体"/>
                <w:b w:val="0"/>
                <w:i w:val="0"/>
                <w:sz w:val="21"/>
                <w:highlight w:val="none"/>
              </w:rPr>
              <w:t>个、kg</w:t>
            </w:r>
          </w:p>
        </w:tc>
        <w:tc>
          <w:tcPr>
            <w:tcW w:w="1713" w:type="pct"/>
            <w:vAlign w:val="center"/>
          </w:tcPr>
          <w:p w14:paraId="40A1B689">
            <w:pPr>
              <w:spacing w:line="280" w:lineRule="exact"/>
              <w:jc w:val="both"/>
              <w:rPr>
                <w:highlight w:val="none"/>
              </w:rPr>
            </w:pPr>
            <w:r>
              <w:rPr>
                <w:rFonts w:hint="eastAsia" w:ascii="Times New Roman" w:hAnsi="Times New Roman" w:eastAsia="宋体"/>
                <w:b w:val="0"/>
                <w:i w:val="0"/>
                <w:sz w:val="21"/>
                <w:highlight w:val="none"/>
              </w:rPr>
              <w:t>采购发票、规格说明</w:t>
            </w:r>
          </w:p>
        </w:tc>
      </w:tr>
      <w:tr w14:paraId="470B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1014F23">
            <w:pPr>
              <w:spacing w:line="280" w:lineRule="exact"/>
              <w:jc w:val="both"/>
              <w:rPr>
                <w:highlight w:val="none"/>
              </w:rPr>
            </w:pPr>
            <w:r>
              <w:rPr>
                <w:rFonts w:hint="eastAsia" w:ascii="Times New Roman" w:hAnsi="Times New Roman" w:eastAsia="宋体"/>
                <w:b w:val="0"/>
                <w:i w:val="0"/>
                <w:sz w:val="21"/>
                <w:highlight w:val="none"/>
              </w:rPr>
              <w:t>包装</w:t>
            </w:r>
          </w:p>
        </w:tc>
        <w:tc>
          <w:tcPr>
            <w:tcW w:w="1576" w:type="pct"/>
            <w:vAlign w:val="center"/>
          </w:tcPr>
          <w:p w14:paraId="56A95168">
            <w:pPr>
              <w:spacing w:line="280" w:lineRule="exact"/>
              <w:jc w:val="both"/>
              <w:rPr>
                <w:highlight w:val="none"/>
              </w:rPr>
            </w:pPr>
            <w:r>
              <w:rPr>
                <w:rFonts w:hint="eastAsia" w:ascii="Times New Roman" w:hAnsi="Times New Roman" w:eastAsia="宋体"/>
                <w:b w:val="0"/>
                <w:i w:val="0"/>
                <w:sz w:val="21"/>
                <w:highlight w:val="none"/>
              </w:rPr>
              <w:t>包装作业方式与耗电量</w:t>
            </w:r>
          </w:p>
        </w:tc>
        <w:tc>
          <w:tcPr>
            <w:tcW w:w="1061" w:type="pct"/>
            <w:vAlign w:val="center"/>
          </w:tcPr>
          <w:p w14:paraId="57A9FC99">
            <w:pPr>
              <w:spacing w:line="280" w:lineRule="exact"/>
              <w:jc w:val="both"/>
              <w:rPr>
                <w:highlight w:val="none"/>
              </w:rPr>
            </w:pPr>
            <w:r>
              <w:rPr>
                <w:rFonts w:hint="eastAsia" w:ascii="Times New Roman" w:hAnsi="Times New Roman" w:eastAsia="宋体"/>
                <w:b w:val="0"/>
                <w:i w:val="0"/>
                <w:sz w:val="21"/>
                <w:highlight w:val="none"/>
              </w:rPr>
              <w:t>—、kW·h</w:t>
            </w:r>
          </w:p>
        </w:tc>
        <w:tc>
          <w:tcPr>
            <w:tcW w:w="1713" w:type="pct"/>
            <w:vAlign w:val="center"/>
          </w:tcPr>
          <w:p w14:paraId="0699E7F7">
            <w:pPr>
              <w:spacing w:line="280" w:lineRule="exact"/>
              <w:jc w:val="both"/>
              <w:rPr>
                <w:highlight w:val="none"/>
              </w:rPr>
            </w:pPr>
            <w:r>
              <w:rPr>
                <w:rFonts w:hint="eastAsia" w:ascii="Times New Roman" w:hAnsi="Times New Roman" w:eastAsia="宋体"/>
                <w:b w:val="0"/>
                <w:i w:val="0"/>
                <w:sz w:val="21"/>
                <w:highlight w:val="none"/>
              </w:rPr>
              <w:t>现阶段为人工包装；采用机械包装的按设备铭牌、电表读数</w:t>
            </w:r>
          </w:p>
        </w:tc>
      </w:tr>
      <w:tr w14:paraId="4D1A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1683037">
            <w:pPr>
              <w:spacing w:line="280" w:lineRule="exact"/>
              <w:jc w:val="both"/>
              <w:rPr>
                <w:highlight w:val="none"/>
              </w:rPr>
            </w:pPr>
            <w:r>
              <w:rPr>
                <w:rFonts w:hint="eastAsia" w:ascii="Times New Roman" w:hAnsi="Times New Roman" w:eastAsia="宋体"/>
                <w:b w:val="0"/>
                <w:i w:val="0"/>
                <w:sz w:val="21"/>
                <w:highlight w:val="none"/>
              </w:rPr>
              <w:t>包装</w:t>
            </w:r>
          </w:p>
        </w:tc>
        <w:tc>
          <w:tcPr>
            <w:tcW w:w="1576" w:type="pct"/>
            <w:vAlign w:val="center"/>
          </w:tcPr>
          <w:p w14:paraId="3285C07C">
            <w:pPr>
              <w:spacing w:line="280" w:lineRule="exact"/>
              <w:jc w:val="both"/>
              <w:rPr>
                <w:highlight w:val="none"/>
              </w:rPr>
            </w:pPr>
            <w:r>
              <w:rPr>
                <w:rFonts w:hint="eastAsia" w:ascii="Times New Roman" w:hAnsi="Times New Roman" w:eastAsia="宋体"/>
                <w:b w:val="0"/>
                <w:i w:val="0"/>
                <w:sz w:val="21"/>
                <w:highlight w:val="none"/>
              </w:rPr>
              <w:t>单位时间包装量</w:t>
            </w:r>
          </w:p>
        </w:tc>
        <w:tc>
          <w:tcPr>
            <w:tcW w:w="1061" w:type="pct"/>
            <w:vAlign w:val="center"/>
          </w:tcPr>
          <w:p w14:paraId="0C025B69">
            <w:pPr>
              <w:spacing w:line="280" w:lineRule="exact"/>
              <w:jc w:val="both"/>
              <w:rPr>
                <w:highlight w:val="none"/>
              </w:rPr>
            </w:pPr>
            <w:r>
              <w:rPr>
                <w:rFonts w:hint="eastAsia" w:ascii="Times New Roman" w:hAnsi="Times New Roman" w:eastAsia="宋体"/>
                <w:b w:val="0"/>
                <w:i w:val="0"/>
                <w:sz w:val="21"/>
                <w:highlight w:val="none"/>
              </w:rPr>
              <w:t>kg/h或朵/h</w:t>
            </w:r>
          </w:p>
        </w:tc>
        <w:tc>
          <w:tcPr>
            <w:tcW w:w="1713" w:type="pct"/>
            <w:vAlign w:val="center"/>
          </w:tcPr>
          <w:p w14:paraId="5AE10D72">
            <w:pPr>
              <w:spacing w:line="280" w:lineRule="exact"/>
              <w:jc w:val="both"/>
              <w:rPr>
                <w:highlight w:val="none"/>
              </w:rPr>
            </w:pPr>
            <w:r>
              <w:rPr>
                <w:rFonts w:hint="eastAsia" w:ascii="Times New Roman" w:hAnsi="Times New Roman" w:eastAsia="宋体"/>
                <w:b w:val="0"/>
                <w:i w:val="0"/>
                <w:sz w:val="21"/>
                <w:highlight w:val="none"/>
              </w:rPr>
              <w:t>作业记录</w:t>
            </w:r>
          </w:p>
        </w:tc>
      </w:tr>
    </w:tbl>
    <w:p w14:paraId="3DFCAD35">
      <w:pPr>
        <w:pStyle w:val="38"/>
        <w:rPr>
          <w:rFonts w:hint="eastAsia"/>
          <w:lang w:val="en-US" w:eastAsia="zh-CN"/>
        </w:rPr>
      </w:pPr>
    </w:p>
    <w:p w14:paraId="6CA596F5">
      <w:pPr>
        <w:pStyle w:val="38"/>
        <w:rPr>
          <w:rFonts w:hint="eastAsia"/>
          <w:lang w:val="en-US" w:eastAsia="zh-CN"/>
        </w:rPr>
      </w:pPr>
    </w:p>
    <w:p w14:paraId="20BC0961">
      <w:pPr>
        <w:pStyle w:val="38"/>
        <w:rPr>
          <w:rFonts w:hint="eastAsia"/>
          <w:lang w:val="en-US" w:eastAsia="zh-CN"/>
        </w:rPr>
      </w:pPr>
    </w:p>
    <w:p w14:paraId="14493DF3">
      <w:pPr>
        <w:pStyle w:val="38"/>
        <w:rPr>
          <w:rFonts w:hint="eastAsia"/>
          <w:lang w:val="en-US" w:eastAsia="zh-CN"/>
        </w:rPr>
        <w:sectPr>
          <w:pgSz w:w="11906" w:h="16838"/>
          <w:pgMar w:top="1928" w:right="1134" w:bottom="1134" w:left="1134" w:header="1418" w:footer="1134" w:gutter="284"/>
          <w:pgNumType w:fmt="decimal"/>
          <w:cols w:space="425" w:num="1"/>
          <w:formProt w:val="0"/>
          <w:docGrid w:linePitch="312" w:charSpace="0"/>
        </w:sectPr>
      </w:pPr>
    </w:p>
    <w:p w14:paraId="1AD37D0E">
      <w:pPr>
        <w:pStyle w:val="200"/>
        <w:bidi w:val="0"/>
        <w:rPr>
          <w:rFonts w:hint="eastAsia"/>
          <w:lang w:val="en-US" w:eastAsia="zh-CN"/>
        </w:rPr>
      </w:pPr>
    </w:p>
    <w:p w14:paraId="2A98F37F">
      <w:pPr>
        <w:pStyle w:val="201"/>
        <w:bidi w:val="0"/>
        <w:rPr>
          <w:rFonts w:hint="eastAsia"/>
          <w:lang w:val="en-US" w:eastAsia="zh-CN"/>
        </w:rPr>
      </w:pPr>
    </w:p>
    <w:p w14:paraId="427A8EF9">
      <w:pPr>
        <w:pStyle w:val="81"/>
        <w:bidi w:val="0"/>
        <w:rPr>
          <w:rFonts w:hint="eastAsia"/>
          <w:lang w:val="en-US" w:eastAsia="zh-CN"/>
        </w:rPr>
      </w:pPr>
      <w:bookmarkStart w:id="88" w:name="_Toc3593"/>
      <w:bookmarkStart w:id="89" w:name="_Toc18134"/>
      <w:bookmarkStart w:id="90" w:name="_Toc21375"/>
      <w:r>
        <w:rPr>
          <w:rFonts w:hint="eastAsia"/>
          <w:lang w:val="en-US" w:eastAsia="zh-CN"/>
        </w:rPr>
        <w:br w:type="textWrapping"/>
      </w:r>
      <w:r>
        <w:rPr>
          <w:rFonts w:hint="eastAsia"/>
          <w:lang w:val="en-US" w:eastAsia="zh-CN"/>
        </w:rPr>
        <w:t>（资料性）</w:t>
      </w:r>
      <w:r>
        <w:rPr>
          <w:rFonts w:hint="eastAsia"/>
          <w:lang w:val="en-US" w:eastAsia="zh-CN"/>
        </w:rPr>
        <w:br w:type="textWrapping"/>
      </w:r>
      <w:r>
        <w:rPr>
          <w:rFonts w:hint="eastAsia"/>
          <w:lang w:val="en-US" w:eastAsia="zh-CN"/>
        </w:rPr>
        <w:t>排放因子推荐值（广东适用）</w:t>
      </w:r>
      <w:bookmarkEnd w:id="88"/>
      <w:bookmarkEnd w:id="89"/>
      <w:bookmarkEnd w:id="90"/>
    </w:p>
    <w:p w14:paraId="1A0509E3">
      <w:pPr>
        <w:pStyle w:val="83"/>
        <w:bidi w:val="0"/>
        <w:rPr>
          <w:rFonts w:hint="eastAsia"/>
          <w:lang w:val="en-US" w:eastAsia="zh-CN"/>
        </w:rPr>
      </w:pPr>
      <w:bookmarkStart w:id="91" w:name="_Toc13498"/>
      <w:r>
        <w:rPr>
          <w:rFonts w:hint="eastAsia"/>
          <w:lang w:val="en-US" w:eastAsia="zh-CN"/>
        </w:rPr>
        <w:t>全球变暖潜势</w:t>
      </w:r>
      <w:bookmarkEnd w:id="91"/>
    </w:p>
    <w:p w14:paraId="7E88EF0C">
      <w:pPr>
        <w:pStyle w:val="82"/>
        <w:bidi w:val="0"/>
        <w:rPr>
          <w:rFonts w:hint="eastAsia"/>
          <w:lang w:val="en-US" w:eastAsia="zh-CN"/>
        </w:rPr>
      </w:pPr>
      <w:r>
        <w:rPr>
          <w:rFonts w:hint="eastAsia"/>
          <w:lang w:val="en-US" w:eastAsia="zh-CN"/>
        </w:rPr>
        <w:t>全球变暖潜势</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3106"/>
        <w:gridCol w:w="3109"/>
        <w:gridCol w:w="3119"/>
      </w:tblGrid>
      <w:tr w14:paraId="7CBA00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184" w:type="dxa"/>
            <w:tcBorders>
              <w:bottom w:val="single" w:color="auto" w:sz="8" w:space="0"/>
            </w:tcBorders>
            <w:vAlign w:val="top"/>
          </w:tcPr>
          <w:p w14:paraId="026C6668">
            <w:pPr>
              <w:spacing w:line="280" w:lineRule="exact"/>
              <w:jc w:val="center"/>
              <w:rPr>
                <w:rFonts w:hint="eastAsia"/>
                <w:lang w:val="en-US" w:eastAsia="zh-CN"/>
              </w:rPr>
            </w:pPr>
            <w:r>
              <w:rPr>
                <w:rFonts w:hint="eastAsia" w:ascii="Times New Roman" w:hAnsi="Times New Roman" w:eastAsia="宋体"/>
                <w:b/>
                <w:i w:val="0"/>
                <w:sz w:val="21"/>
              </w:rPr>
              <w:t>温室气体</w:t>
            </w:r>
          </w:p>
        </w:tc>
        <w:tc>
          <w:tcPr>
            <w:tcW w:w="3185" w:type="dxa"/>
            <w:tcBorders>
              <w:bottom w:val="single" w:color="auto" w:sz="8" w:space="0"/>
            </w:tcBorders>
            <w:vAlign w:val="top"/>
          </w:tcPr>
          <w:p w14:paraId="0D8A954E">
            <w:pPr>
              <w:spacing w:line="280" w:lineRule="exact"/>
              <w:jc w:val="center"/>
              <w:rPr>
                <w:rFonts w:hint="eastAsia"/>
                <w:lang w:val="en-US" w:eastAsia="zh-CN"/>
              </w:rPr>
            </w:pPr>
            <w:r>
              <w:rPr>
                <w:rFonts w:hint="eastAsia" w:ascii="Times New Roman" w:hAnsi="Times New Roman" w:eastAsia="宋体"/>
                <w:b/>
                <w:i w:val="0"/>
                <w:sz w:val="21"/>
              </w:rPr>
              <w:t>分子式</w:t>
            </w:r>
          </w:p>
        </w:tc>
        <w:tc>
          <w:tcPr>
            <w:tcW w:w="3185" w:type="dxa"/>
            <w:tcBorders>
              <w:bottom w:val="single" w:color="auto" w:sz="8" w:space="0"/>
            </w:tcBorders>
            <w:vAlign w:val="top"/>
          </w:tcPr>
          <w:p w14:paraId="3E06D271">
            <w:pPr>
              <w:spacing w:line="280" w:lineRule="exact"/>
              <w:jc w:val="center"/>
              <w:rPr>
                <w:rFonts w:hint="default" w:eastAsia="宋体"/>
                <w:lang w:val="en-US" w:eastAsia="zh-CN"/>
              </w:rPr>
            </w:pPr>
            <w:r>
              <w:rPr>
                <w:rFonts w:hint="eastAsia" w:ascii="Times New Roman" w:hAnsi="Times New Roman" w:eastAsia="宋体"/>
                <w:b/>
                <w:i w:val="0"/>
                <w:sz w:val="21"/>
              </w:rPr>
              <w:t>GWP</w:t>
            </w:r>
            <w:r>
              <w:rPr>
                <w:rFonts w:hint="eastAsia" w:ascii="Times New Roman" w:hAnsi="Times New Roman"/>
                <w:b/>
                <w:i w:val="0"/>
                <w:sz w:val="21"/>
                <w:lang w:val="en-US" w:eastAsia="zh-CN"/>
              </w:rPr>
              <w:t>100</w:t>
            </w:r>
          </w:p>
        </w:tc>
      </w:tr>
      <w:tr w14:paraId="02C70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tcBorders>
              <w:top w:val="single" w:color="auto" w:sz="8" w:space="0"/>
            </w:tcBorders>
            <w:vAlign w:val="top"/>
          </w:tcPr>
          <w:p w14:paraId="046893FB">
            <w:pPr>
              <w:spacing w:line="280" w:lineRule="exact"/>
              <w:jc w:val="both"/>
              <w:rPr>
                <w:rFonts w:hint="eastAsia"/>
                <w:lang w:val="en-US" w:eastAsia="zh-CN"/>
              </w:rPr>
            </w:pPr>
            <w:r>
              <w:rPr>
                <w:rFonts w:hint="eastAsia" w:ascii="Times New Roman" w:hAnsi="Times New Roman" w:eastAsia="宋体"/>
                <w:b w:val="0"/>
                <w:i w:val="0"/>
                <w:sz w:val="21"/>
              </w:rPr>
              <w:t>二氧化碳</w:t>
            </w:r>
          </w:p>
        </w:tc>
        <w:tc>
          <w:tcPr>
            <w:tcW w:w="3185" w:type="dxa"/>
            <w:tcBorders>
              <w:top w:val="single" w:color="auto" w:sz="8" w:space="0"/>
            </w:tcBorders>
            <w:vAlign w:val="top"/>
          </w:tcPr>
          <w:p w14:paraId="4DE5CA19">
            <w:pPr>
              <w:spacing w:line="280" w:lineRule="exact"/>
              <w:jc w:val="both"/>
              <w:rPr>
                <w:rFonts w:hint="eastAsia"/>
                <w:lang w:val="en-US" w:eastAsia="zh-CN"/>
              </w:rPr>
            </w:pPr>
            <w:r>
              <w:rPr>
                <w:rFonts w:hint="eastAsia" w:ascii="Times New Roman" w:hAnsi="Times New Roman" w:eastAsia="宋体"/>
                <w:b w:val="0"/>
                <w:i w:val="0"/>
                <w:sz w:val="21"/>
              </w:rPr>
              <w:t>CO₂</w:t>
            </w:r>
          </w:p>
        </w:tc>
        <w:tc>
          <w:tcPr>
            <w:tcW w:w="3185" w:type="dxa"/>
            <w:tcBorders>
              <w:top w:val="single" w:color="auto" w:sz="8" w:space="0"/>
            </w:tcBorders>
            <w:vAlign w:val="top"/>
          </w:tcPr>
          <w:p w14:paraId="4B595ABF">
            <w:pPr>
              <w:spacing w:line="280" w:lineRule="exact"/>
              <w:jc w:val="both"/>
              <w:rPr>
                <w:rFonts w:hint="eastAsia"/>
                <w:lang w:val="en-US" w:eastAsia="zh-CN"/>
              </w:rPr>
            </w:pPr>
            <w:r>
              <w:rPr>
                <w:rFonts w:hint="eastAsia" w:ascii="Times New Roman" w:hAnsi="Times New Roman" w:eastAsia="宋体"/>
                <w:b w:val="0"/>
                <w:i w:val="0"/>
                <w:sz w:val="21"/>
              </w:rPr>
              <w:t>1</w:t>
            </w:r>
          </w:p>
        </w:tc>
      </w:tr>
      <w:tr w14:paraId="1D159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vAlign w:val="top"/>
          </w:tcPr>
          <w:p w14:paraId="5BD322E3">
            <w:pPr>
              <w:spacing w:line="280" w:lineRule="exact"/>
              <w:jc w:val="both"/>
              <w:rPr>
                <w:rFonts w:hint="eastAsia"/>
                <w:lang w:val="en-US" w:eastAsia="zh-CN"/>
              </w:rPr>
            </w:pPr>
            <w:r>
              <w:rPr>
                <w:rFonts w:hint="eastAsia" w:ascii="Times New Roman" w:hAnsi="Times New Roman" w:eastAsia="宋体"/>
                <w:b w:val="0"/>
                <w:i w:val="0"/>
                <w:sz w:val="21"/>
              </w:rPr>
              <w:t>甲烷（非化石源）</w:t>
            </w:r>
          </w:p>
        </w:tc>
        <w:tc>
          <w:tcPr>
            <w:tcW w:w="3185" w:type="dxa"/>
            <w:vAlign w:val="top"/>
          </w:tcPr>
          <w:p w14:paraId="22F011F9">
            <w:pPr>
              <w:spacing w:line="280" w:lineRule="exact"/>
              <w:jc w:val="both"/>
              <w:rPr>
                <w:rFonts w:hint="eastAsia"/>
                <w:lang w:val="en-US" w:eastAsia="zh-CN"/>
              </w:rPr>
            </w:pPr>
            <w:r>
              <w:rPr>
                <w:rFonts w:hint="eastAsia" w:ascii="Times New Roman" w:hAnsi="Times New Roman" w:eastAsia="宋体"/>
                <w:b w:val="0"/>
                <w:i w:val="0"/>
                <w:sz w:val="21"/>
              </w:rPr>
              <w:t>CH₄</w:t>
            </w:r>
          </w:p>
        </w:tc>
        <w:tc>
          <w:tcPr>
            <w:tcW w:w="3185" w:type="dxa"/>
            <w:vAlign w:val="top"/>
          </w:tcPr>
          <w:p w14:paraId="339C94A6">
            <w:pPr>
              <w:spacing w:line="280" w:lineRule="exact"/>
              <w:jc w:val="both"/>
              <w:rPr>
                <w:rFonts w:hint="eastAsia"/>
                <w:lang w:val="en-US" w:eastAsia="zh-CN"/>
              </w:rPr>
            </w:pPr>
            <w:r>
              <w:rPr>
                <w:rFonts w:hint="eastAsia" w:ascii="Times New Roman" w:hAnsi="Times New Roman" w:eastAsia="宋体"/>
                <w:b w:val="0"/>
                <w:i w:val="0"/>
                <w:sz w:val="21"/>
              </w:rPr>
              <w:t>29.8</w:t>
            </w:r>
          </w:p>
        </w:tc>
      </w:tr>
      <w:tr w14:paraId="09BD6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tcBorders>
              <w:bottom w:val="single" w:color="auto" w:sz="8" w:space="0"/>
            </w:tcBorders>
            <w:vAlign w:val="top"/>
          </w:tcPr>
          <w:p w14:paraId="60B20F65">
            <w:pPr>
              <w:spacing w:line="280" w:lineRule="exact"/>
              <w:jc w:val="both"/>
              <w:rPr>
                <w:rFonts w:hint="eastAsia"/>
                <w:lang w:val="en-US" w:eastAsia="zh-CN"/>
              </w:rPr>
            </w:pPr>
            <w:r>
              <w:rPr>
                <w:rFonts w:hint="eastAsia" w:ascii="Times New Roman" w:hAnsi="Times New Roman" w:eastAsia="宋体"/>
                <w:b w:val="0"/>
                <w:i w:val="0"/>
                <w:sz w:val="21"/>
              </w:rPr>
              <w:t>氧化亚氮</w:t>
            </w:r>
          </w:p>
        </w:tc>
        <w:tc>
          <w:tcPr>
            <w:tcW w:w="3185" w:type="dxa"/>
            <w:tcBorders>
              <w:bottom w:val="single" w:color="auto" w:sz="8" w:space="0"/>
            </w:tcBorders>
            <w:vAlign w:val="top"/>
          </w:tcPr>
          <w:p w14:paraId="7DC3E791">
            <w:pPr>
              <w:spacing w:line="280" w:lineRule="exact"/>
              <w:jc w:val="both"/>
              <w:rPr>
                <w:rFonts w:hint="eastAsia"/>
                <w:lang w:val="en-US" w:eastAsia="zh-CN"/>
              </w:rPr>
            </w:pPr>
            <w:r>
              <w:rPr>
                <w:rFonts w:hint="eastAsia" w:ascii="Times New Roman" w:hAnsi="Times New Roman" w:eastAsia="宋体"/>
                <w:b w:val="0"/>
                <w:i w:val="0"/>
                <w:sz w:val="21"/>
              </w:rPr>
              <w:t>N</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O</w:t>
            </w:r>
          </w:p>
        </w:tc>
        <w:tc>
          <w:tcPr>
            <w:tcW w:w="3185" w:type="dxa"/>
            <w:tcBorders>
              <w:bottom w:val="single" w:color="auto" w:sz="8" w:space="0"/>
            </w:tcBorders>
            <w:vAlign w:val="top"/>
          </w:tcPr>
          <w:p w14:paraId="70466C71">
            <w:pPr>
              <w:spacing w:line="280" w:lineRule="exact"/>
              <w:jc w:val="both"/>
              <w:rPr>
                <w:rFonts w:hint="eastAsia"/>
                <w:lang w:val="en-US" w:eastAsia="zh-CN"/>
              </w:rPr>
            </w:pPr>
            <w:r>
              <w:rPr>
                <w:rFonts w:hint="eastAsia" w:ascii="Times New Roman" w:hAnsi="Times New Roman" w:eastAsia="宋体"/>
                <w:b w:val="0"/>
                <w:i w:val="0"/>
                <w:sz w:val="21"/>
              </w:rPr>
              <w:t>273</w:t>
            </w:r>
          </w:p>
        </w:tc>
      </w:tr>
      <w:tr w14:paraId="07C817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3"/>
            <w:tcBorders>
              <w:top w:val="single" w:color="auto" w:sz="8" w:space="0"/>
            </w:tcBorders>
            <w:vAlign w:val="center"/>
          </w:tcPr>
          <w:p w14:paraId="7E36192D">
            <w:pPr>
              <w:pStyle w:val="180"/>
              <w:bidi w:val="0"/>
              <w:spacing w:line="240" w:lineRule="auto"/>
              <w:jc w:val="both"/>
              <w:rPr>
                <w:rFonts w:hint="eastAsia"/>
                <w:sz w:val="21"/>
                <w:szCs w:val="21"/>
                <w:lang w:val="en-US" w:eastAsia="zh-CN"/>
              </w:rPr>
            </w:pPr>
            <w:r>
              <w:rPr>
                <w:rFonts w:hint="eastAsia"/>
                <w:sz w:val="21"/>
                <w:szCs w:val="21"/>
                <w:lang w:val="en-US" w:eastAsia="zh-CN"/>
              </w:rPr>
              <w:t>数据来源：IPCC《气候变化报告2021：自然科学基础——第一工作组对IPCC第六次评估报告的贡献》。</w:t>
            </w:r>
          </w:p>
        </w:tc>
      </w:tr>
    </w:tbl>
    <w:p w14:paraId="1466B048">
      <w:pPr>
        <w:pStyle w:val="38"/>
        <w:bidi w:val="0"/>
        <w:rPr>
          <w:rFonts w:hint="eastAsia"/>
          <w:lang w:val="en-US" w:eastAsia="zh-CN"/>
        </w:rPr>
      </w:pPr>
    </w:p>
    <w:p w14:paraId="4CD06AFA">
      <w:pPr>
        <w:pStyle w:val="83"/>
        <w:bidi w:val="0"/>
        <w:rPr>
          <w:rFonts w:hint="eastAsia"/>
          <w:lang w:val="en-US" w:eastAsia="zh-CN"/>
        </w:rPr>
      </w:pPr>
      <w:bookmarkStart w:id="92" w:name="_Toc9641"/>
      <w:r>
        <w:rPr>
          <w:rFonts w:hint="eastAsia"/>
          <w:lang w:val="en-US" w:eastAsia="zh-CN"/>
        </w:rPr>
        <w:t>广东地区农田N₂O排放因子</w:t>
      </w:r>
      <w:bookmarkEnd w:id="92"/>
    </w:p>
    <w:p w14:paraId="47E29704">
      <w:pPr>
        <w:pStyle w:val="82"/>
        <w:bidi w:val="0"/>
        <w:rPr>
          <w:rFonts w:hint="eastAsia"/>
          <w:lang w:val="en-US" w:eastAsia="zh-CN"/>
        </w:rPr>
      </w:pPr>
      <w:r>
        <w:rPr>
          <w:rFonts w:hint="eastAsia"/>
          <w:lang w:val="en-US" w:eastAsia="zh-CN"/>
        </w:rPr>
        <w:t>N</w:t>
      </w:r>
      <w:r>
        <w:rPr>
          <w:rFonts w:hint="eastAsia"/>
          <w:vertAlign w:val="subscript"/>
          <w:lang w:val="en-US" w:eastAsia="zh-CN"/>
        </w:rPr>
        <w:t>2</w:t>
      </w:r>
      <w:r>
        <w:rPr>
          <w:rFonts w:hint="eastAsia"/>
          <w:lang w:val="en-US" w:eastAsia="zh-CN"/>
        </w:rPr>
        <w:t>O直接排放因子</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02895E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2CFB2554">
            <w:pPr>
              <w:spacing w:line="280" w:lineRule="exact"/>
              <w:jc w:val="center"/>
              <w:rPr>
                <w:rFonts w:hint="eastAsia"/>
                <w:lang w:val="en-US" w:eastAsia="zh-CN"/>
              </w:rPr>
            </w:pPr>
            <w:r>
              <w:rPr>
                <w:rFonts w:hint="eastAsia" w:ascii="Times New Roman" w:hAnsi="Times New Roman" w:eastAsia="宋体"/>
                <w:b/>
                <w:i w:val="0"/>
                <w:sz w:val="21"/>
              </w:rPr>
              <w:t>区域</w:t>
            </w:r>
          </w:p>
        </w:tc>
        <w:tc>
          <w:tcPr>
            <w:tcW w:w="4777" w:type="dxa"/>
            <w:tcBorders>
              <w:bottom w:val="single" w:color="auto" w:sz="8" w:space="0"/>
            </w:tcBorders>
            <w:vAlign w:val="top"/>
          </w:tcPr>
          <w:p w14:paraId="416E89AC">
            <w:pPr>
              <w:spacing w:line="280" w:lineRule="exact"/>
              <w:jc w:val="center"/>
              <w:rPr>
                <w:rFonts w:hint="eastAsia"/>
                <w:lang w:val="en-US" w:eastAsia="zh-CN"/>
              </w:rPr>
            </w:pPr>
            <w:r>
              <w:rPr>
                <w:rFonts w:hint="eastAsia" w:ascii="Times New Roman" w:hAnsi="Times New Roman" w:eastAsia="宋体"/>
                <w:b/>
                <w:i w:val="0"/>
                <w:sz w:val="21"/>
              </w:rPr>
              <w:t>EF</w:t>
            </w:r>
            <w:r>
              <w:rPr>
                <w:rFonts w:hint="eastAsia" w:ascii="Times New Roman" w:hAnsi="Times New Roman" w:eastAsia="宋体"/>
                <w:b/>
                <w:i w:val="0"/>
                <w:sz w:val="21"/>
                <w:vertAlign w:val="subscript"/>
              </w:rPr>
              <w:t>d</w:t>
            </w:r>
            <w:r>
              <w:rPr>
                <w:rFonts w:hint="eastAsia" w:ascii="Times New Roman" w:hAnsi="Times New Roman" w:eastAsia="宋体"/>
                <w:b/>
                <w:i w:val="0"/>
                <w:sz w:val="21"/>
              </w:rPr>
              <w:t>（kg N</w:t>
            </w:r>
            <w:r>
              <w:rPr>
                <w:rFonts w:hint="eastAsia" w:ascii="Times New Roman" w:hAnsi="Times New Roman"/>
                <w:b/>
                <w:i w:val="0"/>
                <w:sz w:val="21"/>
                <w:vertAlign w:val="subscript"/>
                <w:lang w:val="en-US" w:eastAsia="zh-CN"/>
              </w:rPr>
              <w:t>2</w:t>
            </w:r>
            <w:r>
              <w:rPr>
                <w:rFonts w:hint="eastAsia" w:ascii="Times New Roman" w:hAnsi="Times New Roman" w:eastAsia="宋体"/>
                <w:b/>
                <w:i w:val="0"/>
                <w:sz w:val="21"/>
              </w:rPr>
              <w:t>O-N/kg N）</w:t>
            </w:r>
          </w:p>
        </w:tc>
      </w:tr>
      <w:tr w14:paraId="67455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1D02920A">
            <w:pPr>
              <w:spacing w:line="280" w:lineRule="exact"/>
              <w:jc w:val="both"/>
              <w:rPr>
                <w:rFonts w:hint="eastAsia"/>
                <w:lang w:val="en-US" w:eastAsia="zh-CN"/>
              </w:rPr>
            </w:pPr>
            <w:r>
              <w:rPr>
                <w:rFonts w:hint="eastAsia" w:ascii="Times New Roman" w:hAnsi="Times New Roman" w:eastAsia="宋体"/>
                <w:b w:val="0"/>
                <w:i w:val="0"/>
                <w:sz w:val="21"/>
              </w:rPr>
              <w:t>广东</w:t>
            </w:r>
          </w:p>
        </w:tc>
        <w:tc>
          <w:tcPr>
            <w:tcW w:w="4777" w:type="dxa"/>
            <w:tcBorders>
              <w:top w:val="single" w:color="auto" w:sz="8" w:space="0"/>
            </w:tcBorders>
            <w:vAlign w:val="top"/>
          </w:tcPr>
          <w:p w14:paraId="0FDC84F7">
            <w:pPr>
              <w:spacing w:line="280" w:lineRule="exact"/>
              <w:jc w:val="left"/>
              <w:rPr>
                <w:rFonts w:hint="eastAsia"/>
                <w:lang w:val="en-US" w:eastAsia="zh-CN"/>
              </w:rPr>
            </w:pPr>
            <w:r>
              <w:rPr>
                <w:rFonts w:hint="eastAsia" w:ascii="Times New Roman" w:hAnsi="Times New Roman" w:eastAsia="宋体"/>
                <w:b w:val="0"/>
                <w:i w:val="0"/>
                <w:sz w:val="21"/>
              </w:rPr>
              <w:t>0.0178</w:t>
            </w:r>
          </w:p>
        </w:tc>
      </w:tr>
      <w:tr w14:paraId="45B37F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5878469F">
            <w:pPr>
              <w:spacing w:line="280" w:lineRule="exact"/>
              <w:jc w:val="both"/>
              <w:rPr>
                <w:rFonts w:hint="eastAsia"/>
                <w:lang w:val="en-US" w:eastAsia="zh-CN"/>
              </w:rPr>
            </w:pPr>
            <w:r>
              <w:rPr>
                <w:rFonts w:hint="eastAsia" w:ascii="Times New Roman" w:hAnsi="Times New Roman" w:eastAsia="宋体"/>
                <w:b w:val="0"/>
                <w:i w:val="0"/>
                <w:sz w:val="21"/>
              </w:rPr>
              <w:t>全国其他地区</w:t>
            </w:r>
          </w:p>
        </w:tc>
        <w:tc>
          <w:tcPr>
            <w:tcW w:w="4777" w:type="dxa"/>
            <w:tcBorders>
              <w:bottom w:val="single" w:color="auto" w:sz="8" w:space="0"/>
            </w:tcBorders>
            <w:vAlign w:val="top"/>
          </w:tcPr>
          <w:p w14:paraId="768F0E51">
            <w:pPr>
              <w:spacing w:line="280" w:lineRule="exact"/>
              <w:jc w:val="left"/>
              <w:rPr>
                <w:rFonts w:hint="eastAsia"/>
                <w:lang w:val="en-US" w:eastAsia="zh-CN"/>
              </w:rPr>
            </w:pPr>
            <w:r>
              <w:rPr>
                <w:rFonts w:hint="eastAsia" w:ascii="Times New Roman" w:hAnsi="Times New Roman" w:eastAsia="宋体"/>
                <w:b w:val="0"/>
                <w:i w:val="0"/>
                <w:sz w:val="21"/>
              </w:rPr>
              <w:t>0.0056～0.0114</w:t>
            </w:r>
          </w:p>
        </w:tc>
      </w:tr>
      <w:tr w14:paraId="67D60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2"/>
            <w:tcBorders>
              <w:top w:val="single" w:color="auto" w:sz="8" w:space="0"/>
            </w:tcBorders>
            <w:vAlign w:val="center"/>
          </w:tcPr>
          <w:p w14:paraId="691BEA44">
            <w:pPr>
              <w:pStyle w:val="180"/>
              <w:bidi w:val="0"/>
              <w:spacing w:line="240" w:lineRule="auto"/>
              <w:jc w:val="both"/>
              <w:rPr>
                <w:rFonts w:hint="eastAsia"/>
                <w:sz w:val="21"/>
                <w:szCs w:val="21"/>
                <w:lang w:val="en-US" w:eastAsia="zh-CN"/>
              </w:rPr>
            </w:pPr>
            <w:r>
              <w:rPr>
                <w:rFonts w:hint="eastAsia"/>
                <w:sz w:val="21"/>
                <w:szCs w:val="21"/>
                <w:lang w:val="en-US" w:eastAsia="zh-CN"/>
              </w:rPr>
              <w:t>数据来源：《省级温室气体清单指南（试行）》。</w:t>
            </w:r>
          </w:p>
        </w:tc>
      </w:tr>
    </w:tbl>
    <w:p w14:paraId="012D8DE9">
      <w:pPr>
        <w:pStyle w:val="82"/>
        <w:numPr>
          <w:ilvl w:val="1"/>
          <w:numId w:val="0"/>
        </w:numPr>
        <w:bidi w:val="0"/>
        <w:ind w:leftChars="0"/>
        <w:jc w:val="both"/>
        <w:rPr>
          <w:rFonts w:hint="eastAsia"/>
          <w:lang w:val="en-US" w:eastAsia="zh-CN"/>
        </w:rPr>
      </w:pPr>
    </w:p>
    <w:p w14:paraId="57419A89">
      <w:pPr>
        <w:pStyle w:val="82"/>
        <w:bidi w:val="0"/>
        <w:rPr>
          <w:rFonts w:hint="eastAsia"/>
          <w:lang w:val="en-US" w:eastAsia="zh-CN"/>
        </w:rPr>
      </w:pPr>
      <w:r>
        <w:rPr>
          <w:rFonts w:hint="eastAsia"/>
          <w:lang w:val="en-US" w:eastAsia="zh-CN"/>
        </w:rPr>
        <w:t>N</w:t>
      </w:r>
      <w:r>
        <w:rPr>
          <w:rFonts w:hint="eastAsia"/>
          <w:vertAlign w:val="subscript"/>
          <w:lang w:val="en-US" w:eastAsia="zh-CN"/>
        </w:rPr>
        <w:t>2</w:t>
      </w:r>
      <w:r>
        <w:rPr>
          <w:rFonts w:hint="eastAsia"/>
          <w:lang w:val="en-US" w:eastAsia="zh-CN"/>
        </w:rPr>
        <w:t>O间接排放相关参数</w:t>
      </w:r>
    </w:p>
    <w:tbl>
      <w:tblPr>
        <w:tblStyle w:val="28"/>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6770"/>
        <w:gridCol w:w="843"/>
        <w:gridCol w:w="1714"/>
      </w:tblGrid>
      <w:tr w14:paraId="36B11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629" w:type="pct"/>
            <w:tcBorders>
              <w:bottom w:val="single" w:color="auto" w:sz="8" w:space="0"/>
            </w:tcBorders>
            <w:vAlign w:val="top"/>
          </w:tcPr>
          <w:p w14:paraId="7E013C9A">
            <w:pPr>
              <w:spacing w:line="280" w:lineRule="exact"/>
              <w:jc w:val="center"/>
              <w:rPr>
                <w:rFonts w:hint="eastAsia"/>
                <w:lang w:val="en-US" w:eastAsia="zh-CN"/>
              </w:rPr>
            </w:pPr>
            <w:r>
              <w:rPr>
                <w:rFonts w:hint="eastAsia" w:ascii="Times New Roman" w:hAnsi="Times New Roman" w:eastAsia="宋体"/>
                <w:b/>
                <w:i w:val="0"/>
                <w:sz w:val="21"/>
              </w:rPr>
              <w:t>参数</w:t>
            </w:r>
          </w:p>
        </w:tc>
        <w:tc>
          <w:tcPr>
            <w:tcW w:w="452" w:type="pct"/>
            <w:tcBorders>
              <w:bottom w:val="single" w:color="auto" w:sz="8" w:space="0"/>
            </w:tcBorders>
            <w:vAlign w:val="top"/>
          </w:tcPr>
          <w:p w14:paraId="5B0C9F86">
            <w:pPr>
              <w:spacing w:line="280" w:lineRule="exact"/>
              <w:jc w:val="center"/>
              <w:rPr>
                <w:rFonts w:hint="eastAsia"/>
                <w:lang w:val="en-US" w:eastAsia="zh-CN"/>
              </w:rPr>
            </w:pPr>
            <w:r>
              <w:rPr>
                <w:rFonts w:hint="eastAsia" w:ascii="Times New Roman" w:hAnsi="Times New Roman" w:eastAsia="宋体"/>
                <w:b/>
                <w:i w:val="0"/>
                <w:sz w:val="21"/>
              </w:rPr>
              <w:t>数值</w:t>
            </w:r>
          </w:p>
        </w:tc>
        <w:tc>
          <w:tcPr>
            <w:tcW w:w="917" w:type="pct"/>
            <w:tcBorders>
              <w:bottom w:val="single" w:color="auto" w:sz="8" w:space="0"/>
            </w:tcBorders>
            <w:vAlign w:val="top"/>
          </w:tcPr>
          <w:p w14:paraId="20DB2476">
            <w:pPr>
              <w:spacing w:line="280" w:lineRule="exact"/>
              <w:jc w:val="center"/>
              <w:rPr>
                <w:rFonts w:hint="eastAsia"/>
                <w:lang w:val="en-US" w:eastAsia="zh-CN"/>
              </w:rPr>
            </w:pPr>
            <w:r>
              <w:rPr>
                <w:rFonts w:hint="eastAsia" w:ascii="Times New Roman" w:hAnsi="Times New Roman" w:eastAsia="宋体"/>
                <w:b/>
                <w:i w:val="0"/>
                <w:sz w:val="21"/>
              </w:rPr>
              <w:t>范围</w:t>
            </w:r>
          </w:p>
        </w:tc>
      </w:tr>
      <w:tr w14:paraId="6ABAD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629" w:type="pct"/>
            <w:tcBorders>
              <w:top w:val="single" w:color="auto" w:sz="8" w:space="0"/>
            </w:tcBorders>
            <w:vAlign w:val="top"/>
          </w:tcPr>
          <w:p w14:paraId="39A06AB9">
            <w:pPr>
              <w:spacing w:line="280" w:lineRule="exact"/>
              <w:jc w:val="both"/>
              <w:rPr>
                <w:rFonts w:hint="eastAsia"/>
                <w:lang w:val="en-US" w:eastAsia="zh-CN"/>
              </w:rPr>
            </w:pPr>
            <w:r>
              <w:rPr>
                <w:rFonts w:hint="eastAsia" w:ascii="Times New Roman" w:hAnsi="Times New Roman" w:eastAsia="宋体"/>
                <w:b w:val="0"/>
                <w:i w:val="0"/>
                <w:sz w:val="21"/>
              </w:rPr>
              <w:t>氮挥发沉降排放因子EF</w:t>
            </w:r>
            <w:r>
              <w:rPr>
                <w:rFonts w:hint="eastAsia" w:ascii="Times New Roman" w:hAnsi="Times New Roman" w:eastAsia="宋体"/>
                <w:b w:val="0"/>
                <w:i w:val="0"/>
                <w:sz w:val="21"/>
                <w:vertAlign w:val="subscript"/>
              </w:rPr>
              <w:t>vol/dep</w:t>
            </w:r>
            <w:r>
              <w:rPr>
                <w:rFonts w:hint="eastAsia" w:ascii="Times New Roman" w:hAnsi="Times New Roman" w:eastAsia="宋体"/>
                <w:b w:val="0"/>
                <w:i w:val="0"/>
                <w:sz w:val="21"/>
              </w:rPr>
              <w:t>（kg N</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O-N/kg N）</w:t>
            </w:r>
          </w:p>
        </w:tc>
        <w:tc>
          <w:tcPr>
            <w:tcW w:w="452" w:type="pct"/>
            <w:tcBorders>
              <w:top w:val="single" w:color="auto" w:sz="8" w:space="0"/>
            </w:tcBorders>
            <w:vAlign w:val="top"/>
          </w:tcPr>
          <w:p w14:paraId="2B28978E">
            <w:pPr>
              <w:spacing w:line="280" w:lineRule="exact"/>
              <w:jc w:val="both"/>
              <w:rPr>
                <w:rFonts w:hint="eastAsia"/>
                <w:lang w:val="en-US" w:eastAsia="zh-CN"/>
              </w:rPr>
            </w:pPr>
            <w:r>
              <w:rPr>
                <w:rFonts w:hint="eastAsia" w:ascii="Times New Roman" w:hAnsi="Times New Roman" w:eastAsia="宋体"/>
                <w:b w:val="0"/>
                <w:i w:val="0"/>
                <w:sz w:val="21"/>
              </w:rPr>
              <w:t>0.010</w:t>
            </w:r>
          </w:p>
        </w:tc>
        <w:tc>
          <w:tcPr>
            <w:tcW w:w="917" w:type="pct"/>
            <w:tcBorders>
              <w:top w:val="single" w:color="auto" w:sz="8" w:space="0"/>
            </w:tcBorders>
            <w:vAlign w:val="top"/>
          </w:tcPr>
          <w:p w14:paraId="479BB59C">
            <w:pPr>
              <w:spacing w:line="280" w:lineRule="exact"/>
              <w:jc w:val="both"/>
              <w:rPr>
                <w:rFonts w:hint="eastAsia"/>
                <w:lang w:val="en-US" w:eastAsia="zh-CN"/>
              </w:rPr>
            </w:pPr>
            <w:r>
              <w:rPr>
                <w:rFonts w:hint="eastAsia" w:ascii="Times New Roman" w:hAnsi="Times New Roman" w:eastAsia="宋体"/>
                <w:b w:val="0"/>
                <w:i w:val="0"/>
                <w:sz w:val="21"/>
              </w:rPr>
              <w:t>0.002～0.018</w:t>
            </w:r>
          </w:p>
        </w:tc>
      </w:tr>
      <w:tr w14:paraId="6742B8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629" w:type="pct"/>
            <w:vAlign w:val="top"/>
          </w:tcPr>
          <w:p w14:paraId="33AEA33C">
            <w:pPr>
              <w:spacing w:line="280" w:lineRule="exact"/>
              <w:jc w:val="both"/>
              <w:rPr>
                <w:rFonts w:hint="eastAsia"/>
                <w:lang w:val="en-US" w:eastAsia="zh-CN"/>
              </w:rPr>
            </w:pPr>
            <w:r>
              <w:rPr>
                <w:rFonts w:hint="eastAsia" w:ascii="Times New Roman" w:hAnsi="Times New Roman" w:eastAsia="宋体"/>
                <w:b w:val="0"/>
                <w:i w:val="0"/>
                <w:sz w:val="21"/>
              </w:rPr>
              <w:t>化肥气态氮损失比例Frac_SN</w:t>
            </w:r>
          </w:p>
        </w:tc>
        <w:tc>
          <w:tcPr>
            <w:tcW w:w="452" w:type="pct"/>
            <w:vAlign w:val="top"/>
          </w:tcPr>
          <w:p w14:paraId="68EB6BEE">
            <w:pPr>
              <w:spacing w:line="280" w:lineRule="exact"/>
              <w:jc w:val="both"/>
              <w:rPr>
                <w:rFonts w:hint="eastAsia"/>
                <w:lang w:val="en-US" w:eastAsia="zh-CN"/>
              </w:rPr>
            </w:pPr>
            <w:r>
              <w:rPr>
                <w:rFonts w:hint="eastAsia" w:ascii="Times New Roman" w:hAnsi="Times New Roman" w:eastAsia="宋体"/>
                <w:b w:val="0"/>
                <w:i w:val="0"/>
                <w:sz w:val="21"/>
              </w:rPr>
              <w:t>0.110</w:t>
            </w:r>
          </w:p>
        </w:tc>
        <w:tc>
          <w:tcPr>
            <w:tcW w:w="917" w:type="pct"/>
            <w:vAlign w:val="top"/>
          </w:tcPr>
          <w:p w14:paraId="63B0E989">
            <w:pPr>
              <w:spacing w:line="280" w:lineRule="exact"/>
              <w:jc w:val="both"/>
              <w:rPr>
                <w:rFonts w:hint="eastAsia"/>
                <w:lang w:val="en-US" w:eastAsia="zh-CN"/>
              </w:rPr>
            </w:pPr>
            <w:r>
              <w:rPr>
                <w:rFonts w:hint="eastAsia" w:ascii="Times New Roman" w:hAnsi="Times New Roman" w:eastAsia="宋体"/>
                <w:b w:val="0"/>
                <w:i w:val="0"/>
                <w:sz w:val="21"/>
              </w:rPr>
              <w:t>0.02～0.33</w:t>
            </w:r>
          </w:p>
        </w:tc>
      </w:tr>
      <w:tr w14:paraId="1B47F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629" w:type="pct"/>
            <w:vAlign w:val="top"/>
          </w:tcPr>
          <w:p w14:paraId="5207B134">
            <w:pPr>
              <w:spacing w:line="280" w:lineRule="exact"/>
              <w:jc w:val="both"/>
              <w:rPr>
                <w:rFonts w:hint="eastAsia"/>
                <w:lang w:val="en-US" w:eastAsia="zh-CN"/>
              </w:rPr>
            </w:pPr>
            <w:r>
              <w:rPr>
                <w:rFonts w:hint="eastAsia" w:ascii="Times New Roman" w:hAnsi="Times New Roman" w:eastAsia="宋体"/>
                <w:b w:val="0"/>
                <w:i w:val="0"/>
                <w:sz w:val="21"/>
              </w:rPr>
              <w:t>有机肥气态氮损失比例Frac_ON</w:t>
            </w:r>
          </w:p>
        </w:tc>
        <w:tc>
          <w:tcPr>
            <w:tcW w:w="452" w:type="pct"/>
            <w:vAlign w:val="top"/>
          </w:tcPr>
          <w:p w14:paraId="1B66619D">
            <w:pPr>
              <w:spacing w:line="280" w:lineRule="exact"/>
              <w:jc w:val="both"/>
              <w:rPr>
                <w:rFonts w:hint="eastAsia"/>
                <w:lang w:val="en-US" w:eastAsia="zh-CN"/>
              </w:rPr>
            </w:pPr>
            <w:r>
              <w:rPr>
                <w:rFonts w:hint="eastAsia" w:ascii="Times New Roman" w:hAnsi="Times New Roman" w:eastAsia="宋体"/>
                <w:b w:val="0"/>
                <w:i w:val="0"/>
                <w:sz w:val="21"/>
              </w:rPr>
              <w:t>0.210</w:t>
            </w:r>
          </w:p>
        </w:tc>
        <w:tc>
          <w:tcPr>
            <w:tcW w:w="917" w:type="pct"/>
            <w:vAlign w:val="top"/>
          </w:tcPr>
          <w:p w14:paraId="1BCFE7EE">
            <w:pPr>
              <w:spacing w:line="280" w:lineRule="exact"/>
              <w:jc w:val="both"/>
              <w:rPr>
                <w:rFonts w:hint="eastAsia"/>
                <w:lang w:val="en-US" w:eastAsia="zh-CN"/>
              </w:rPr>
            </w:pPr>
            <w:r>
              <w:rPr>
                <w:rFonts w:hint="eastAsia" w:ascii="Times New Roman" w:hAnsi="Times New Roman" w:eastAsia="宋体"/>
                <w:b w:val="0"/>
                <w:i w:val="0"/>
                <w:sz w:val="21"/>
              </w:rPr>
              <w:t>0.00～0.31</w:t>
            </w:r>
          </w:p>
        </w:tc>
      </w:tr>
      <w:tr w14:paraId="18E2B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5000" w:type="pct"/>
            <w:gridSpan w:val="3"/>
            <w:tcBorders>
              <w:top w:val="single" w:color="auto" w:sz="8" w:space="0"/>
            </w:tcBorders>
            <w:vAlign w:val="center"/>
          </w:tcPr>
          <w:p w14:paraId="21A8BAFE">
            <w:pPr>
              <w:pStyle w:val="180"/>
              <w:bidi w:val="0"/>
              <w:spacing w:line="240" w:lineRule="auto"/>
              <w:jc w:val="both"/>
              <w:rPr>
                <w:rFonts w:hint="eastAsia"/>
                <w:sz w:val="21"/>
                <w:szCs w:val="21"/>
                <w:lang w:val="en-US" w:eastAsia="zh-CN"/>
              </w:rPr>
            </w:pPr>
            <w:r>
              <w:rPr>
                <w:rFonts w:hint="eastAsia"/>
                <w:sz w:val="21"/>
                <w:szCs w:val="21"/>
                <w:lang w:val="en-US" w:eastAsia="zh-CN"/>
              </w:rPr>
              <w:t>数据来源：《2019 Refinement to the 2006 IPCC Guidelines for National Greenhouse Gas Inventories》。</w:t>
            </w:r>
          </w:p>
        </w:tc>
      </w:tr>
    </w:tbl>
    <w:p w14:paraId="028A52AA">
      <w:pPr>
        <w:pStyle w:val="38"/>
        <w:bidi w:val="0"/>
        <w:rPr>
          <w:rFonts w:hint="eastAsia"/>
          <w:lang w:val="en-US" w:eastAsia="zh-CN"/>
        </w:rPr>
      </w:pPr>
    </w:p>
    <w:p w14:paraId="3E301B7E">
      <w:pPr>
        <w:pStyle w:val="83"/>
        <w:bidi w:val="0"/>
        <w:rPr>
          <w:rFonts w:hint="eastAsia"/>
          <w:lang w:val="en-US" w:eastAsia="zh-CN"/>
        </w:rPr>
      </w:pPr>
      <w:bookmarkStart w:id="93" w:name="_Toc2872"/>
      <w:r>
        <w:rPr>
          <w:rFonts w:hint="eastAsia"/>
          <w:lang w:val="en-US" w:eastAsia="zh-CN"/>
        </w:rPr>
        <w:t>肥料上游生产排放因子</w:t>
      </w:r>
      <w:bookmarkEnd w:id="93"/>
    </w:p>
    <w:p w14:paraId="0C203DC5">
      <w:pPr>
        <w:pStyle w:val="82"/>
        <w:bidi w:val="0"/>
        <w:rPr>
          <w:rFonts w:hint="eastAsia"/>
          <w:lang w:val="en-US" w:eastAsia="zh-CN"/>
        </w:rPr>
      </w:pPr>
      <w:r>
        <w:rPr>
          <w:rFonts w:hint="eastAsia"/>
          <w:lang w:val="en-US" w:eastAsia="zh-CN"/>
        </w:rPr>
        <w:t>化肥上游生产排放因子（节选）</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72"/>
        <w:gridCol w:w="4662"/>
      </w:tblGrid>
      <w:tr w14:paraId="1810E3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46D3FDE3">
            <w:pPr>
              <w:spacing w:line="280" w:lineRule="exact"/>
              <w:jc w:val="center"/>
              <w:rPr>
                <w:rFonts w:hint="eastAsia"/>
                <w:lang w:val="en-US" w:eastAsia="zh-CN"/>
              </w:rPr>
            </w:pPr>
            <w:r>
              <w:rPr>
                <w:rFonts w:hint="eastAsia" w:ascii="Times New Roman" w:hAnsi="Times New Roman" w:eastAsia="宋体"/>
                <w:b/>
                <w:i w:val="0"/>
                <w:sz w:val="21"/>
              </w:rPr>
              <w:t>肥料</w:t>
            </w:r>
          </w:p>
        </w:tc>
        <w:tc>
          <w:tcPr>
            <w:tcW w:w="4777" w:type="dxa"/>
            <w:tcBorders>
              <w:bottom w:val="single" w:color="auto" w:sz="8" w:space="0"/>
            </w:tcBorders>
            <w:vAlign w:val="top"/>
          </w:tcPr>
          <w:p w14:paraId="72542E71">
            <w:pPr>
              <w:spacing w:line="280" w:lineRule="exact"/>
              <w:jc w:val="center"/>
              <w:rPr>
                <w:rFonts w:hint="eastAsia"/>
                <w:lang w:val="en-US" w:eastAsia="zh-CN"/>
              </w:rPr>
            </w:pPr>
            <w:r>
              <w:rPr>
                <w:rFonts w:hint="eastAsia" w:ascii="Times New Roman" w:hAnsi="Times New Roman" w:eastAsia="宋体"/>
                <w:b/>
                <w:i w:val="0"/>
                <w:sz w:val="21"/>
              </w:rPr>
              <w:t>排放因子（kg CO</w:t>
            </w:r>
            <w:r>
              <w:rPr>
                <w:rFonts w:hint="eastAsia" w:ascii="Times New Roman" w:hAnsi="Times New Roman"/>
                <w:b/>
                <w:i w:val="0"/>
                <w:sz w:val="21"/>
                <w:vertAlign w:val="subscript"/>
                <w:lang w:val="en-US" w:eastAsia="zh-CN"/>
              </w:rPr>
              <w:t>2</w:t>
            </w:r>
            <w:r>
              <w:rPr>
                <w:rFonts w:hint="eastAsia" w:ascii="Times New Roman" w:hAnsi="Times New Roman" w:eastAsia="宋体"/>
                <w:b/>
                <w:i w:val="0"/>
                <w:sz w:val="21"/>
              </w:rPr>
              <w:t>e/kg 养分）</w:t>
            </w:r>
          </w:p>
        </w:tc>
      </w:tr>
      <w:tr w14:paraId="3E2737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44024763">
            <w:pPr>
              <w:spacing w:line="280" w:lineRule="exact"/>
              <w:jc w:val="both"/>
              <w:rPr>
                <w:rFonts w:hint="eastAsia"/>
                <w:lang w:val="en-US" w:eastAsia="zh-CN"/>
              </w:rPr>
            </w:pPr>
            <w:r>
              <w:rPr>
                <w:rFonts w:hint="eastAsia" w:ascii="Times New Roman" w:hAnsi="Times New Roman" w:eastAsia="宋体"/>
                <w:b w:val="0"/>
                <w:i w:val="0"/>
                <w:sz w:val="21"/>
              </w:rPr>
              <w:t>尿素（氮肥）</w:t>
            </w:r>
          </w:p>
        </w:tc>
        <w:tc>
          <w:tcPr>
            <w:tcW w:w="4777" w:type="dxa"/>
            <w:tcBorders>
              <w:top w:val="single" w:color="auto" w:sz="8" w:space="0"/>
            </w:tcBorders>
            <w:vAlign w:val="top"/>
          </w:tcPr>
          <w:p w14:paraId="5383191F">
            <w:pPr>
              <w:spacing w:line="280" w:lineRule="exact"/>
              <w:jc w:val="left"/>
              <w:rPr>
                <w:rFonts w:hint="eastAsia"/>
                <w:lang w:val="en-US" w:eastAsia="zh-CN"/>
              </w:rPr>
            </w:pPr>
            <w:r>
              <w:rPr>
                <w:rFonts w:hint="eastAsia" w:ascii="Times New Roman" w:hAnsi="Times New Roman" w:eastAsia="宋体"/>
                <w:b w:val="0"/>
                <w:i w:val="0"/>
                <w:sz w:val="21"/>
              </w:rPr>
              <w:t>2.79</w:t>
            </w:r>
          </w:p>
        </w:tc>
      </w:tr>
      <w:tr w14:paraId="414F2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7A8FAABB">
            <w:pPr>
              <w:spacing w:line="280" w:lineRule="exact"/>
              <w:jc w:val="both"/>
              <w:rPr>
                <w:rFonts w:hint="eastAsia"/>
                <w:lang w:val="en-US" w:eastAsia="zh-CN"/>
              </w:rPr>
            </w:pPr>
            <w:r>
              <w:rPr>
                <w:rFonts w:hint="eastAsia" w:ascii="Times New Roman" w:hAnsi="Times New Roman" w:eastAsia="宋体"/>
                <w:b w:val="0"/>
                <w:i w:val="0"/>
                <w:sz w:val="21"/>
              </w:rPr>
              <w:t>硝酸铵（氮肥）</w:t>
            </w:r>
          </w:p>
        </w:tc>
        <w:tc>
          <w:tcPr>
            <w:tcW w:w="4777" w:type="dxa"/>
            <w:vAlign w:val="top"/>
          </w:tcPr>
          <w:p w14:paraId="599B2707">
            <w:pPr>
              <w:spacing w:line="280" w:lineRule="exact"/>
              <w:jc w:val="left"/>
              <w:rPr>
                <w:rFonts w:hint="eastAsia"/>
                <w:lang w:val="en-US" w:eastAsia="zh-CN"/>
              </w:rPr>
            </w:pPr>
            <w:r>
              <w:rPr>
                <w:rFonts w:hint="eastAsia" w:ascii="Times New Roman" w:hAnsi="Times New Roman" w:eastAsia="宋体"/>
                <w:b w:val="0"/>
                <w:i w:val="0"/>
                <w:sz w:val="21"/>
              </w:rPr>
              <w:t>3.89</w:t>
            </w:r>
          </w:p>
        </w:tc>
      </w:tr>
      <w:tr w14:paraId="40989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340BB950">
            <w:pPr>
              <w:spacing w:line="280" w:lineRule="exact"/>
              <w:jc w:val="both"/>
              <w:rPr>
                <w:rFonts w:hint="eastAsia"/>
                <w:lang w:val="en-US" w:eastAsia="zh-CN"/>
              </w:rPr>
            </w:pPr>
            <w:r>
              <w:rPr>
                <w:rFonts w:hint="eastAsia" w:ascii="Times New Roman" w:hAnsi="Times New Roman" w:eastAsia="宋体"/>
                <w:b w:val="0"/>
                <w:i w:val="0"/>
                <w:sz w:val="21"/>
              </w:rPr>
              <w:t>无机氮肥</w:t>
            </w:r>
          </w:p>
        </w:tc>
        <w:tc>
          <w:tcPr>
            <w:tcW w:w="4777" w:type="dxa"/>
            <w:vAlign w:val="top"/>
          </w:tcPr>
          <w:p w14:paraId="485C6D4A">
            <w:pPr>
              <w:spacing w:line="280" w:lineRule="exact"/>
              <w:jc w:val="left"/>
              <w:rPr>
                <w:rFonts w:hint="eastAsia"/>
                <w:lang w:val="en-US" w:eastAsia="zh-CN"/>
              </w:rPr>
            </w:pPr>
            <w:r>
              <w:rPr>
                <w:rFonts w:hint="eastAsia" w:ascii="Times New Roman" w:hAnsi="Times New Roman" w:eastAsia="宋体"/>
                <w:b w:val="0"/>
                <w:i w:val="0"/>
                <w:sz w:val="21"/>
              </w:rPr>
              <w:t>10.80</w:t>
            </w:r>
          </w:p>
        </w:tc>
      </w:tr>
      <w:tr w14:paraId="776401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2BC48754">
            <w:pPr>
              <w:spacing w:line="280" w:lineRule="exact"/>
              <w:jc w:val="both"/>
              <w:rPr>
                <w:rFonts w:hint="eastAsia"/>
                <w:lang w:val="en-US" w:eastAsia="zh-CN"/>
              </w:rPr>
            </w:pPr>
            <w:r>
              <w:rPr>
                <w:rFonts w:hint="eastAsia" w:ascii="Times New Roman" w:hAnsi="Times New Roman" w:eastAsia="宋体"/>
                <w:b w:val="0"/>
                <w:i w:val="0"/>
                <w:sz w:val="21"/>
              </w:rPr>
              <w:t>磷酸二铵（磷肥）</w:t>
            </w:r>
          </w:p>
        </w:tc>
        <w:tc>
          <w:tcPr>
            <w:tcW w:w="4777" w:type="dxa"/>
            <w:vAlign w:val="top"/>
          </w:tcPr>
          <w:p w14:paraId="567E36EA">
            <w:pPr>
              <w:spacing w:line="280" w:lineRule="exact"/>
              <w:jc w:val="left"/>
              <w:rPr>
                <w:rFonts w:hint="eastAsia"/>
                <w:lang w:val="en-US" w:eastAsia="zh-CN"/>
              </w:rPr>
            </w:pPr>
            <w:r>
              <w:rPr>
                <w:rFonts w:hint="eastAsia" w:ascii="Times New Roman" w:hAnsi="Times New Roman" w:eastAsia="宋体"/>
                <w:b w:val="0"/>
                <w:i w:val="0"/>
                <w:sz w:val="21"/>
              </w:rPr>
              <w:t>2.06</w:t>
            </w:r>
          </w:p>
        </w:tc>
      </w:tr>
      <w:tr w14:paraId="65D77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7798D306">
            <w:pPr>
              <w:spacing w:line="280" w:lineRule="exact"/>
              <w:jc w:val="both"/>
              <w:rPr>
                <w:rFonts w:hint="eastAsia"/>
                <w:lang w:val="en-US" w:eastAsia="zh-CN"/>
              </w:rPr>
            </w:pPr>
            <w:r>
              <w:rPr>
                <w:rFonts w:hint="eastAsia" w:ascii="Times New Roman" w:hAnsi="Times New Roman" w:eastAsia="宋体"/>
                <w:b w:val="0"/>
                <w:i w:val="0"/>
                <w:sz w:val="21"/>
              </w:rPr>
              <w:t>无机磷肥（P₂O₅）</w:t>
            </w:r>
          </w:p>
        </w:tc>
        <w:tc>
          <w:tcPr>
            <w:tcW w:w="4777" w:type="dxa"/>
            <w:vAlign w:val="top"/>
          </w:tcPr>
          <w:p w14:paraId="2B92B49A">
            <w:pPr>
              <w:spacing w:line="280" w:lineRule="exact"/>
              <w:jc w:val="left"/>
              <w:rPr>
                <w:rFonts w:hint="eastAsia"/>
                <w:lang w:val="en-US" w:eastAsia="zh-CN"/>
              </w:rPr>
            </w:pPr>
            <w:r>
              <w:rPr>
                <w:rFonts w:hint="eastAsia" w:ascii="Times New Roman" w:hAnsi="Times New Roman" w:eastAsia="宋体"/>
                <w:b w:val="0"/>
                <w:i w:val="0"/>
                <w:sz w:val="21"/>
              </w:rPr>
              <w:t>4.18</w:t>
            </w:r>
          </w:p>
        </w:tc>
      </w:tr>
      <w:tr w14:paraId="717C6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7354D687">
            <w:pPr>
              <w:spacing w:line="280" w:lineRule="exact"/>
              <w:jc w:val="both"/>
              <w:rPr>
                <w:rFonts w:hint="eastAsia"/>
                <w:lang w:val="en-US" w:eastAsia="zh-CN"/>
              </w:rPr>
            </w:pPr>
            <w:r>
              <w:rPr>
                <w:rFonts w:hint="eastAsia" w:ascii="Times New Roman" w:hAnsi="Times New Roman" w:eastAsia="宋体"/>
                <w:b w:val="0"/>
                <w:i w:val="0"/>
                <w:sz w:val="21"/>
              </w:rPr>
              <w:t>硝酸钾（钾肥）</w:t>
            </w:r>
          </w:p>
        </w:tc>
        <w:tc>
          <w:tcPr>
            <w:tcW w:w="4777" w:type="dxa"/>
            <w:vAlign w:val="top"/>
          </w:tcPr>
          <w:p w14:paraId="56305E81">
            <w:pPr>
              <w:spacing w:line="280" w:lineRule="exact"/>
              <w:jc w:val="left"/>
              <w:rPr>
                <w:rFonts w:hint="eastAsia"/>
                <w:lang w:val="en-US" w:eastAsia="zh-CN"/>
              </w:rPr>
            </w:pPr>
            <w:r>
              <w:rPr>
                <w:rFonts w:hint="eastAsia" w:ascii="Times New Roman" w:hAnsi="Times New Roman" w:eastAsia="宋体"/>
                <w:b w:val="0"/>
                <w:i w:val="0"/>
                <w:sz w:val="21"/>
              </w:rPr>
              <w:t>3.12</w:t>
            </w:r>
          </w:p>
        </w:tc>
      </w:tr>
      <w:tr w14:paraId="210022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4F484383">
            <w:pPr>
              <w:spacing w:line="280" w:lineRule="exact"/>
              <w:jc w:val="both"/>
              <w:rPr>
                <w:rFonts w:hint="eastAsia"/>
                <w:lang w:val="en-US" w:eastAsia="zh-CN"/>
              </w:rPr>
            </w:pPr>
            <w:r>
              <w:rPr>
                <w:rFonts w:hint="eastAsia" w:ascii="Times New Roman" w:hAnsi="Times New Roman" w:eastAsia="宋体"/>
                <w:b w:val="0"/>
                <w:i w:val="0"/>
                <w:sz w:val="21"/>
              </w:rPr>
              <w:t>无机钾肥（K₂O）</w:t>
            </w:r>
          </w:p>
        </w:tc>
        <w:tc>
          <w:tcPr>
            <w:tcW w:w="4777" w:type="dxa"/>
            <w:vAlign w:val="top"/>
          </w:tcPr>
          <w:p w14:paraId="75855066">
            <w:pPr>
              <w:spacing w:line="280" w:lineRule="exact"/>
              <w:jc w:val="left"/>
              <w:rPr>
                <w:rFonts w:hint="eastAsia"/>
                <w:lang w:val="en-US" w:eastAsia="zh-CN"/>
              </w:rPr>
            </w:pPr>
            <w:r>
              <w:rPr>
                <w:rFonts w:hint="eastAsia" w:ascii="Times New Roman" w:hAnsi="Times New Roman" w:eastAsia="宋体"/>
                <w:b w:val="0"/>
                <w:i w:val="0"/>
                <w:sz w:val="21"/>
              </w:rPr>
              <w:t>9.29</w:t>
            </w:r>
          </w:p>
        </w:tc>
      </w:tr>
      <w:tr w14:paraId="68BDD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0E63595C">
            <w:pPr>
              <w:spacing w:line="280" w:lineRule="exact"/>
              <w:jc w:val="both"/>
              <w:rPr>
                <w:rFonts w:hint="eastAsia"/>
                <w:lang w:val="en-US" w:eastAsia="zh-CN"/>
              </w:rPr>
            </w:pPr>
            <w:r>
              <w:rPr>
                <w:rFonts w:hint="eastAsia" w:ascii="Times New Roman" w:hAnsi="Times New Roman" w:eastAsia="宋体"/>
                <w:b w:val="0"/>
                <w:i w:val="0"/>
                <w:sz w:val="21"/>
              </w:rPr>
              <w:t>复合肥（NPK 15-15-15）</w:t>
            </w:r>
          </w:p>
        </w:tc>
        <w:tc>
          <w:tcPr>
            <w:tcW w:w="4777" w:type="dxa"/>
            <w:vAlign w:val="top"/>
          </w:tcPr>
          <w:p w14:paraId="2F933E95">
            <w:pPr>
              <w:spacing w:line="280" w:lineRule="exact"/>
              <w:jc w:val="left"/>
              <w:rPr>
                <w:rFonts w:hint="eastAsia"/>
                <w:lang w:val="en-US" w:eastAsia="zh-CN"/>
              </w:rPr>
            </w:pPr>
            <w:r>
              <w:rPr>
                <w:rFonts w:hint="eastAsia" w:ascii="Times New Roman" w:hAnsi="Times New Roman" w:eastAsia="宋体"/>
                <w:b w:val="0"/>
                <w:i w:val="0"/>
                <w:sz w:val="21"/>
              </w:rPr>
              <w:t>2.00</w:t>
            </w:r>
          </w:p>
        </w:tc>
      </w:tr>
      <w:tr w14:paraId="64C491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43FFB31B">
            <w:pPr>
              <w:spacing w:line="280" w:lineRule="exact"/>
              <w:jc w:val="both"/>
              <w:rPr>
                <w:rFonts w:hint="eastAsia"/>
                <w:lang w:val="en-US" w:eastAsia="zh-CN"/>
              </w:rPr>
            </w:pPr>
            <w:r>
              <w:rPr>
                <w:rFonts w:hint="eastAsia" w:ascii="Times New Roman" w:hAnsi="Times New Roman" w:eastAsia="宋体"/>
                <w:b w:val="0"/>
                <w:i w:val="0"/>
                <w:sz w:val="21"/>
              </w:rPr>
              <w:t>复合肥（NPK 26-15-15）</w:t>
            </w:r>
          </w:p>
        </w:tc>
        <w:tc>
          <w:tcPr>
            <w:tcW w:w="4777" w:type="dxa"/>
            <w:tcBorders>
              <w:bottom w:val="single" w:color="auto" w:sz="8" w:space="0"/>
            </w:tcBorders>
            <w:vAlign w:val="top"/>
          </w:tcPr>
          <w:p w14:paraId="5A59C00D">
            <w:pPr>
              <w:spacing w:line="280" w:lineRule="exact"/>
              <w:jc w:val="left"/>
              <w:rPr>
                <w:rFonts w:hint="eastAsia"/>
                <w:lang w:val="en-US" w:eastAsia="zh-CN"/>
              </w:rPr>
            </w:pPr>
            <w:r>
              <w:rPr>
                <w:rFonts w:hint="eastAsia" w:ascii="Times New Roman" w:hAnsi="Times New Roman" w:eastAsia="宋体"/>
                <w:b w:val="0"/>
                <w:i w:val="0"/>
                <w:sz w:val="21"/>
              </w:rPr>
              <w:t>3.41</w:t>
            </w:r>
          </w:p>
        </w:tc>
      </w:tr>
      <w:tr w14:paraId="3DCC3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2"/>
            <w:tcBorders>
              <w:top w:val="single" w:color="auto" w:sz="8" w:space="0"/>
            </w:tcBorders>
            <w:vAlign w:val="center"/>
          </w:tcPr>
          <w:p w14:paraId="05C6FB61">
            <w:pPr>
              <w:pStyle w:val="180"/>
              <w:bidi w:val="0"/>
              <w:spacing w:line="240" w:lineRule="auto"/>
              <w:jc w:val="both"/>
              <w:rPr>
                <w:rFonts w:hint="eastAsia"/>
                <w:sz w:val="21"/>
                <w:szCs w:val="21"/>
                <w:lang w:val="en-US" w:eastAsia="zh-CN"/>
              </w:rPr>
            </w:pPr>
            <w:r>
              <w:rPr>
                <w:rFonts w:hint="eastAsia"/>
                <w:sz w:val="21"/>
                <w:szCs w:val="21"/>
                <w:lang w:val="en-US" w:eastAsia="zh-CN"/>
              </w:rPr>
              <w:t>数据来源：ecoinvent v3.12 cutoff 数据库（中国或全球数据）。</w:t>
            </w:r>
          </w:p>
        </w:tc>
      </w:tr>
    </w:tbl>
    <w:p w14:paraId="10AA3157">
      <w:pPr>
        <w:pStyle w:val="38"/>
        <w:bidi w:val="0"/>
        <w:rPr>
          <w:rFonts w:hint="eastAsia"/>
          <w:lang w:val="en-US" w:eastAsia="zh-CN"/>
        </w:rPr>
      </w:pPr>
    </w:p>
    <w:p w14:paraId="6714A0F6">
      <w:pPr>
        <w:pStyle w:val="83"/>
        <w:bidi w:val="0"/>
        <w:rPr>
          <w:rFonts w:hint="eastAsia"/>
          <w:lang w:val="en-US" w:eastAsia="zh-CN"/>
        </w:rPr>
      </w:pPr>
      <w:bookmarkStart w:id="94" w:name="_Toc14570"/>
      <w:r>
        <w:rPr>
          <w:rFonts w:hint="eastAsia"/>
          <w:lang w:val="en-US" w:eastAsia="zh-CN"/>
        </w:rPr>
        <w:t>能源排放因子</w:t>
      </w:r>
      <w:bookmarkEnd w:id="94"/>
    </w:p>
    <w:p w14:paraId="3CF2B748">
      <w:pPr>
        <w:pStyle w:val="82"/>
        <w:bidi w:val="0"/>
        <w:rPr>
          <w:rFonts w:hint="eastAsia"/>
          <w:lang w:val="en-US" w:eastAsia="zh-CN"/>
        </w:rPr>
      </w:pPr>
      <w:r>
        <w:rPr>
          <w:rFonts w:hint="eastAsia"/>
          <w:lang w:val="en-US" w:eastAsia="zh-CN"/>
        </w:rPr>
        <w:t>能源排放因子</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7"/>
        <w:gridCol w:w="4677"/>
      </w:tblGrid>
      <w:tr w14:paraId="59333E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5E03C1E8">
            <w:pPr>
              <w:spacing w:line="280" w:lineRule="exact"/>
              <w:jc w:val="center"/>
              <w:rPr>
                <w:rFonts w:hint="eastAsia"/>
                <w:lang w:val="en-US" w:eastAsia="zh-CN"/>
              </w:rPr>
            </w:pPr>
            <w:r>
              <w:rPr>
                <w:rFonts w:hint="eastAsia" w:ascii="Times New Roman" w:hAnsi="Times New Roman" w:eastAsia="宋体"/>
                <w:b/>
                <w:i w:val="0"/>
                <w:sz w:val="21"/>
              </w:rPr>
              <w:t>能源</w:t>
            </w:r>
          </w:p>
        </w:tc>
        <w:tc>
          <w:tcPr>
            <w:tcW w:w="4777" w:type="dxa"/>
            <w:tcBorders>
              <w:bottom w:val="single" w:color="auto" w:sz="8" w:space="0"/>
            </w:tcBorders>
            <w:vAlign w:val="top"/>
          </w:tcPr>
          <w:p w14:paraId="7E2996A2">
            <w:pPr>
              <w:spacing w:line="280" w:lineRule="exact"/>
              <w:jc w:val="center"/>
              <w:rPr>
                <w:rFonts w:hint="eastAsia"/>
                <w:lang w:val="en-US" w:eastAsia="zh-CN"/>
              </w:rPr>
            </w:pPr>
            <w:r>
              <w:rPr>
                <w:rFonts w:hint="eastAsia" w:ascii="Times New Roman" w:hAnsi="Times New Roman" w:eastAsia="宋体"/>
                <w:b/>
                <w:i w:val="0"/>
                <w:sz w:val="21"/>
              </w:rPr>
              <w:t>排放因子</w:t>
            </w:r>
          </w:p>
        </w:tc>
      </w:tr>
      <w:tr w14:paraId="7E567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0CCF989C">
            <w:pPr>
              <w:spacing w:line="280" w:lineRule="exact"/>
              <w:jc w:val="both"/>
              <w:rPr>
                <w:rFonts w:hint="eastAsia"/>
                <w:lang w:val="en-US" w:eastAsia="zh-CN"/>
              </w:rPr>
            </w:pPr>
            <w:r>
              <w:rPr>
                <w:rFonts w:hint="eastAsia" w:ascii="Times New Roman" w:hAnsi="Times New Roman" w:eastAsia="宋体"/>
                <w:b w:val="0"/>
                <w:i w:val="0"/>
                <w:sz w:val="21"/>
              </w:rPr>
              <w:t>广东电网（电力）</w:t>
            </w:r>
          </w:p>
        </w:tc>
        <w:tc>
          <w:tcPr>
            <w:tcW w:w="4777" w:type="dxa"/>
            <w:tcBorders>
              <w:top w:val="single" w:color="auto" w:sz="8" w:space="0"/>
            </w:tcBorders>
            <w:vAlign w:val="top"/>
          </w:tcPr>
          <w:p w14:paraId="2F384BD3">
            <w:pPr>
              <w:spacing w:line="280" w:lineRule="exact"/>
              <w:jc w:val="left"/>
              <w:rPr>
                <w:rFonts w:hint="eastAsia"/>
                <w:lang w:val="en-US" w:eastAsia="zh-CN"/>
              </w:rPr>
            </w:pPr>
            <w:r>
              <w:rPr>
                <w:rFonts w:hint="eastAsia" w:ascii="Times New Roman" w:hAnsi="Times New Roman" w:eastAsia="宋体"/>
                <w:b w:val="0"/>
                <w:i w:val="0"/>
                <w:sz w:val="21"/>
              </w:rPr>
              <w:t>0.4403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e/kW</w:t>
            </w:r>
            <w:r>
              <w:rPr>
                <w:rFonts w:hint="eastAsia" w:ascii="Times New Roman" w:hAnsi="Times New Roman"/>
                <w:b w:val="0"/>
                <w:i w:val="0"/>
                <w:sz w:val="21"/>
                <w:lang w:val="en-US" w:eastAsia="zh-CN"/>
              </w:rPr>
              <w:t>·</w:t>
            </w:r>
            <w:r>
              <w:rPr>
                <w:rFonts w:hint="eastAsia" w:ascii="Times New Roman" w:hAnsi="Times New Roman" w:eastAsia="宋体"/>
                <w:b w:val="0"/>
                <w:i w:val="0"/>
                <w:sz w:val="21"/>
              </w:rPr>
              <w:t>h</w:t>
            </w:r>
          </w:p>
        </w:tc>
      </w:tr>
      <w:tr w14:paraId="3F19C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363FAFD6">
            <w:pPr>
              <w:spacing w:line="280" w:lineRule="exact"/>
              <w:jc w:val="both"/>
              <w:rPr>
                <w:rFonts w:hint="eastAsia"/>
                <w:lang w:val="en-US" w:eastAsia="zh-CN"/>
              </w:rPr>
            </w:pPr>
            <w:r>
              <w:rPr>
                <w:rFonts w:hint="eastAsia" w:ascii="Times New Roman" w:hAnsi="Times New Roman" w:eastAsia="宋体"/>
                <w:b w:val="0"/>
                <w:i w:val="0"/>
                <w:sz w:val="21"/>
              </w:rPr>
              <w:t>柴油（固定源）</w:t>
            </w:r>
          </w:p>
        </w:tc>
        <w:tc>
          <w:tcPr>
            <w:tcW w:w="4777" w:type="dxa"/>
            <w:vAlign w:val="top"/>
          </w:tcPr>
          <w:p w14:paraId="595689EF">
            <w:pPr>
              <w:spacing w:line="280" w:lineRule="exact"/>
              <w:jc w:val="left"/>
              <w:rPr>
                <w:rFonts w:hint="eastAsia"/>
                <w:lang w:val="en-US" w:eastAsia="zh-CN"/>
              </w:rPr>
            </w:pPr>
            <w:r>
              <w:rPr>
                <w:rFonts w:hint="eastAsia" w:ascii="Times New Roman" w:hAnsi="Times New Roman" w:eastAsia="宋体"/>
                <w:b w:val="0"/>
                <w:i w:val="0"/>
                <w:sz w:val="21"/>
              </w:rPr>
              <w:t>3.1081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1E8890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4D12F7BE">
            <w:pPr>
              <w:spacing w:line="280" w:lineRule="exact"/>
              <w:jc w:val="both"/>
              <w:rPr>
                <w:rFonts w:hint="eastAsia"/>
                <w:lang w:val="en-US" w:eastAsia="zh-CN"/>
              </w:rPr>
            </w:pPr>
            <w:r>
              <w:rPr>
                <w:rFonts w:hint="eastAsia" w:ascii="Times New Roman" w:hAnsi="Times New Roman" w:eastAsia="宋体"/>
                <w:b w:val="0"/>
                <w:i w:val="0"/>
                <w:sz w:val="21"/>
              </w:rPr>
              <w:t>柴油（非道路移动源）</w:t>
            </w:r>
          </w:p>
        </w:tc>
        <w:tc>
          <w:tcPr>
            <w:tcW w:w="4777" w:type="dxa"/>
            <w:vAlign w:val="top"/>
          </w:tcPr>
          <w:p w14:paraId="6279014C">
            <w:pPr>
              <w:spacing w:line="280" w:lineRule="exact"/>
              <w:jc w:val="left"/>
              <w:rPr>
                <w:rFonts w:hint="eastAsia"/>
                <w:lang w:val="en-US" w:eastAsia="zh-CN"/>
              </w:rPr>
            </w:pPr>
            <w:r>
              <w:rPr>
                <w:rFonts w:hint="eastAsia" w:ascii="Times New Roman" w:hAnsi="Times New Roman" w:eastAsia="宋体"/>
                <w:b w:val="0"/>
                <w:i w:val="0"/>
                <w:sz w:val="21"/>
              </w:rPr>
              <w:t>3.1480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303095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4D8D3E49">
            <w:pPr>
              <w:spacing w:line="280" w:lineRule="exact"/>
              <w:jc w:val="both"/>
              <w:rPr>
                <w:rFonts w:hint="eastAsia"/>
                <w:lang w:val="en-US" w:eastAsia="zh-CN"/>
              </w:rPr>
            </w:pPr>
            <w:r>
              <w:rPr>
                <w:rFonts w:hint="eastAsia" w:ascii="Times New Roman" w:hAnsi="Times New Roman" w:eastAsia="宋体"/>
                <w:b w:val="0"/>
                <w:i w:val="0"/>
                <w:sz w:val="21"/>
              </w:rPr>
              <w:t>汽油（非道路—四冲程）</w:t>
            </w:r>
          </w:p>
        </w:tc>
        <w:tc>
          <w:tcPr>
            <w:tcW w:w="4777" w:type="dxa"/>
            <w:vAlign w:val="top"/>
          </w:tcPr>
          <w:p w14:paraId="22EEAF7C">
            <w:pPr>
              <w:spacing w:line="280" w:lineRule="exact"/>
              <w:jc w:val="left"/>
              <w:rPr>
                <w:rFonts w:hint="eastAsia"/>
                <w:lang w:val="en-US" w:eastAsia="zh-CN"/>
              </w:rPr>
            </w:pPr>
            <w:r>
              <w:rPr>
                <w:rFonts w:hint="eastAsia" w:ascii="Times New Roman" w:hAnsi="Times New Roman" w:eastAsia="宋体"/>
                <w:b w:val="0"/>
                <w:i w:val="0"/>
                <w:sz w:val="21"/>
              </w:rPr>
              <w:t>3.0127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71EAE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2A0C3A24">
            <w:pPr>
              <w:spacing w:line="280" w:lineRule="exact"/>
              <w:jc w:val="both"/>
              <w:rPr>
                <w:rFonts w:hint="eastAsia"/>
                <w:lang w:val="en-US" w:eastAsia="zh-CN"/>
              </w:rPr>
            </w:pPr>
            <w:r>
              <w:rPr>
                <w:rFonts w:hint="eastAsia" w:ascii="Times New Roman" w:hAnsi="Times New Roman" w:eastAsia="宋体"/>
                <w:b w:val="0"/>
                <w:i w:val="0"/>
                <w:sz w:val="21"/>
              </w:rPr>
              <w:t>汽油（非道路—二冲程）</w:t>
            </w:r>
          </w:p>
        </w:tc>
        <w:tc>
          <w:tcPr>
            <w:tcW w:w="4777" w:type="dxa"/>
            <w:tcBorders>
              <w:bottom w:val="single" w:color="auto" w:sz="8" w:space="0"/>
            </w:tcBorders>
            <w:vAlign w:val="top"/>
          </w:tcPr>
          <w:p w14:paraId="42C22BB6">
            <w:pPr>
              <w:spacing w:line="280" w:lineRule="exact"/>
              <w:jc w:val="left"/>
              <w:rPr>
                <w:rFonts w:hint="eastAsia"/>
                <w:lang w:val="en-US" w:eastAsia="zh-CN"/>
              </w:rPr>
            </w:pPr>
            <w:r>
              <w:rPr>
                <w:rFonts w:hint="eastAsia" w:ascii="Times New Roman" w:hAnsi="Times New Roman" w:eastAsia="宋体"/>
                <w:b w:val="0"/>
                <w:i w:val="0"/>
                <w:sz w:val="21"/>
              </w:rPr>
              <w:t>3.1608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2ACE4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2"/>
            <w:tcBorders>
              <w:top w:val="single" w:color="auto" w:sz="8" w:space="0"/>
            </w:tcBorders>
            <w:vAlign w:val="center"/>
          </w:tcPr>
          <w:p w14:paraId="60CCF6E1">
            <w:pPr>
              <w:pStyle w:val="180"/>
              <w:bidi w:val="0"/>
              <w:spacing w:line="240" w:lineRule="auto"/>
              <w:jc w:val="both"/>
              <w:rPr>
                <w:rFonts w:hint="eastAsia"/>
                <w:sz w:val="21"/>
                <w:szCs w:val="21"/>
                <w:lang w:val="en-US" w:eastAsia="zh-CN"/>
              </w:rPr>
            </w:pPr>
            <w:r>
              <w:rPr>
                <w:rFonts w:hint="eastAsia"/>
                <w:sz w:val="21"/>
                <w:szCs w:val="21"/>
                <w:lang w:val="en-US" w:eastAsia="zh-CN"/>
              </w:rPr>
              <w:t>注：燃料消耗量以体积（L）计量时，按20 ℃密度折算：柴油0.835 kg/L，汽油0.725 kg/L；宜优先采用实测密度。</w:t>
            </w:r>
          </w:p>
          <w:p w14:paraId="61004AE2">
            <w:pPr>
              <w:pStyle w:val="180"/>
              <w:bidi w:val="0"/>
              <w:spacing w:line="240" w:lineRule="auto"/>
              <w:jc w:val="both"/>
              <w:rPr>
                <w:rFonts w:hint="eastAsia"/>
                <w:sz w:val="21"/>
                <w:szCs w:val="21"/>
                <w:lang w:val="en-US" w:eastAsia="zh-CN"/>
              </w:rPr>
            </w:pPr>
            <w:r>
              <w:rPr>
                <w:rFonts w:hint="eastAsia"/>
                <w:sz w:val="21"/>
                <w:szCs w:val="21"/>
                <w:lang w:val="en-US" w:eastAsia="zh-CN"/>
              </w:rPr>
              <w:t>数据来源：生态环境部、国家统计局《关于发布2022年电力二氧化碳排放因子的公告》；IPCC《气候变化报告2021》。</w:t>
            </w:r>
          </w:p>
        </w:tc>
      </w:tr>
    </w:tbl>
    <w:p w14:paraId="22AE345B">
      <w:pPr>
        <w:pStyle w:val="38"/>
        <w:bidi w:val="0"/>
        <w:rPr>
          <w:rFonts w:hint="eastAsia"/>
          <w:lang w:val="en-US" w:eastAsia="zh-CN"/>
        </w:rPr>
      </w:pPr>
    </w:p>
    <w:p w14:paraId="6B7A237D">
      <w:pPr>
        <w:pStyle w:val="83"/>
        <w:bidi w:val="0"/>
        <w:rPr>
          <w:rFonts w:hint="eastAsia"/>
          <w:lang w:val="en-US" w:eastAsia="zh-CN"/>
        </w:rPr>
      </w:pPr>
      <w:bookmarkStart w:id="95" w:name="_Toc15975"/>
      <w:r>
        <w:rPr>
          <w:rFonts w:hint="eastAsia"/>
          <w:lang w:val="en-US" w:eastAsia="zh-CN"/>
        </w:rPr>
        <w:t>包装材料与农业投入品排放因子</w:t>
      </w:r>
      <w:bookmarkEnd w:id="95"/>
    </w:p>
    <w:p w14:paraId="6324F2A9">
      <w:pPr>
        <w:pStyle w:val="82"/>
        <w:bidi w:val="0"/>
        <w:rPr>
          <w:rFonts w:hint="eastAsia"/>
          <w:lang w:val="en-US" w:eastAsia="zh-CN"/>
        </w:rPr>
      </w:pPr>
      <w:r>
        <w:rPr>
          <w:rFonts w:hint="eastAsia"/>
          <w:lang w:val="en-US" w:eastAsia="zh-CN"/>
        </w:rPr>
        <w:t>包装材料与农业投入品排放因子（节选）</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7"/>
        <w:gridCol w:w="4677"/>
      </w:tblGrid>
      <w:tr w14:paraId="7124E3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5E276BC2">
            <w:pPr>
              <w:spacing w:line="280" w:lineRule="exact"/>
              <w:jc w:val="center"/>
              <w:rPr>
                <w:rFonts w:hint="eastAsia"/>
                <w:lang w:val="en-US" w:eastAsia="zh-CN"/>
              </w:rPr>
            </w:pPr>
            <w:r>
              <w:rPr>
                <w:rFonts w:hint="eastAsia" w:ascii="Times New Roman" w:hAnsi="Times New Roman" w:eastAsia="宋体"/>
                <w:b/>
                <w:i w:val="0"/>
                <w:sz w:val="21"/>
              </w:rPr>
              <w:t>材料</w:t>
            </w:r>
          </w:p>
        </w:tc>
        <w:tc>
          <w:tcPr>
            <w:tcW w:w="4777" w:type="dxa"/>
            <w:tcBorders>
              <w:bottom w:val="single" w:color="auto" w:sz="8" w:space="0"/>
            </w:tcBorders>
            <w:vAlign w:val="top"/>
          </w:tcPr>
          <w:p w14:paraId="381FE27D">
            <w:pPr>
              <w:spacing w:line="280" w:lineRule="exact"/>
              <w:jc w:val="center"/>
              <w:rPr>
                <w:rFonts w:hint="eastAsia"/>
                <w:lang w:val="en-US" w:eastAsia="zh-CN"/>
              </w:rPr>
            </w:pPr>
            <w:r>
              <w:rPr>
                <w:rFonts w:hint="eastAsia" w:ascii="Times New Roman" w:hAnsi="Times New Roman" w:eastAsia="宋体"/>
                <w:b/>
                <w:i w:val="0"/>
                <w:sz w:val="21"/>
              </w:rPr>
              <w:t>排放因子（kg CO</w:t>
            </w:r>
            <w:r>
              <w:rPr>
                <w:rFonts w:hint="eastAsia" w:ascii="Times New Roman" w:hAnsi="Times New Roman"/>
                <w:b/>
                <w:i w:val="0"/>
                <w:sz w:val="21"/>
                <w:vertAlign w:val="subscript"/>
                <w:lang w:val="en-US" w:eastAsia="zh-CN"/>
              </w:rPr>
              <w:t>2</w:t>
            </w:r>
            <w:r>
              <w:rPr>
                <w:rFonts w:hint="eastAsia" w:ascii="Times New Roman" w:hAnsi="Times New Roman" w:eastAsia="宋体"/>
                <w:b/>
                <w:i w:val="0"/>
                <w:sz w:val="21"/>
              </w:rPr>
              <w:t>e/kg）</w:t>
            </w:r>
          </w:p>
        </w:tc>
      </w:tr>
      <w:tr w14:paraId="44C17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6E1EE5F1">
            <w:pPr>
              <w:spacing w:line="280" w:lineRule="exact"/>
              <w:jc w:val="both"/>
              <w:rPr>
                <w:rFonts w:hint="eastAsia"/>
                <w:lang w:val="en-US" w:eastAsia="zh-CN"/>
              </w:rPr>
            </w:pPr>
            <w:r>
              <w:rPr>
                <w:rFonts w:hint="eastAsia" w:ascii="Times New Roman" w:hAnsi="Times New Roman" w:eastAsia="宋体"/>
                <w:b w:val="0"/>
                <w:i w:val="0"/>
                <w:sz w:val="21"/>
              </w:rPr>
              <w:t>瓦楞纸箱</w:t>
            </w:r>
          </w:p>
        </w:tc>
        <w:tc>
          <w:tcPr>
            <w:tcW w:w="4777" w:type="dxa"/>
            <w:tcBorders>
              <w:top w:val="single" w:color="auto" w:sz="8" w:space="0"/>
            </w:tcBorders>
            <w:vAlign w:val="top"/>
          </w:tcPr>
          <w:p w14:paraId="42117DD1">
            <w:pPr>
              <w:spacing w:line="280" w:lineRule="exact"/>
              <w:jc w:val="both"/>
              <w:rPr>
                <w:rFonts w:hint="eastAsia"/>
                <w:lang w:val="en-US" w:eastAsia="zh-CN"/>
              </w:rPr>
            </w:pPr>
            <w:r>
              <w:rPr>
                <w:rFonts w:hint="eastAsia" w:ascii="Times New Roman" w:hAnsi="Times New Roman" w:eastAsia="宋体"/>
                <w:b w:val="0"/>
                <w:i w:val="0"/>
                <w:sz w:val="21"/>
              </w:rPr>
              <w:t>1.3035</w:t>
            </w:r>
          </w:p>
        </w:tc>
      </w:tr>
      <w:tr w14:paraId="4F2B9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02CD4A49">
            <w:pPr>
              <w:spacing w:line="280" w:lineRule="exact"/>
              <w:jc w:val="both"/>
              <w:rPr>
                <w:rFonts w:hint="eastAsia"/>
                <w:lang w:val="en-US" w:eastAsia="zh-CN"/>
              </w:rPr>
            </w:pPr>
            <w:r>
              <w:rPr>
                <w:rFonts w:hint="eastAsia" w:ascii="Times New Roman" w:hAnsi="Times New Roman" w:eastAsia="宋体"/>
                <w:b w:val="0"/>
                <w:i w:val="0"/>
                <w:sz w:val="21"/>
              </w:rPr>
              <w:t>无纺布袋</w:t>
            </w:r>
          </w:p>
        </w:tc>
        <w:tc>
          <w:tcPr>
            <w:tcW w:w="4777" w:type="dxa"/>
            <w:vAlign w:val="top"/>
          </w:tcPr>
          <w:p w14:paraId="0C3CF4D5">
            <w:pPr>
              <w:spacing w:line="280" w:lineRule="exact"/>
              <w:jc w:val="both"/>
              <w:rPr>
                <w:rFonts w:hint="eastAsia"/>
                <w:lang w:val="en-US" w:eastAsia="zh-CN"/>
              </w:rPr>
            </w:pPr>
            <w:r>
              <w:rPr>
                <w:rFonts w:hint="eastAsia" w:ascii="Times New Roman" w:hAnsi="Times New Roman" w:eastAsia="宋体"/>
                <w:b w:val="0"/>
                <w:i w:val="0"/>
                <w:sz w:val="21"/>
              </w:rPr>
              <w:t>4.2992</w:t>
            </w:r>
          </w:p>
        </w:tc>
      </w:tr>
      <w:tr w14:paraId="4EEEC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0EB82F58">
            <w:pPr>
              <w:spacing w:line="280" w:lineRule="exact"/>
              <w:jc w:val="both"/>
              <w:rPr>
                <w:rFonts w:hint="eastAsia"/>
                <w:lang w:val="en-US" w:eastAsia="zh-CN"/>
              </w:rPr>
            </w:pPr>
            <w:r>
              <w:rPr>
                <w:rFonts w:hint="eastAsia" w:ascii="Times New Roman" w:hAnsi="Times New Roman" w:eastAsia="宋体"/>
                <w:b w:val="0"/>
                <w:i w:val="0"/>
                <w:sz w:val="21"/>
              </w:rPr>
              <w:t>塑料袋</w:t>
            </w:r>
          </w:p>
        </w:tc>
        <w:tc>
          <w:tcPr>
            <w:tcW w:w="4777" w:type="dxa"/>
            <w:tcBorders>
              <w:bottom w:val="single" w:color="auto" w:sz="8" w:space="0"/>
            </w:tcBorders>
            <w:vAlign w:val="top"/>
          </w:tcPr>
          <w:p w14:paraId="0E7B951B">
            <w:pPr>
              <w:spacing w:line="280" w:lineRule="exact"/>
              <w:jc w:val="both"/>
              <w:rPr>
                <w:rFonts w:hint="eastAsia"/>
                <w:lang w:val="en-US" w:eastAsia="zh-CN"/>
              </w:rPr>
            </w:pPr>
            <w:r>
              <w:rPr>
                <w:rFonts w:hint="eastAsia" w:ascii="Times New Roman" w:hAnsi="Times New Roman" w:eastAsia="宋体"/>
                <w:b w:val="0"/>
                <w:i w:val="0"/>
                <w:sz w:val="21"/>
              </w:rPr>
              <w:t>0.0331</w:t>
            </w:r>
          </w:p>
        </w:tc>
      </w:tr>
      <w:tr w14:paraId="0BBDCA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2"/>
            <w:tcBorders>
              <w:top w:val="single" w:color="auto" w:sz="8" w:space="0"/>
            </w:tcBorders>
            <w:vAlign w:val="center"/>
          </w:tcPr>
          <w:p w14:paraId="5A01DCDC">
            <w:pPr>
              <w:pStyle w:val="180"/>
              <w:bidi w:val="0"/>
              <w:spacing w:line="240" w:lineRule="auto"/>
              <w:jc w:val="both"/>
              <w:rPr>
                <w:rFonts w:hint="eastAsia"/>
                <w:sz w:val="21"/>
                <w:szCs w:val="21"/>
                <w:lang w:val="en-US" w:eastAsia="zh-CN"/>
              </w:rPr>
            </w:pPr>
            <w:r>
              <w:rPr>
                <w:rFonts w:hint="eastAsia"/>
                <w:sz w:val="21"/>
                <w:szCs w:val="21"/>
                <w:lang w:val="en-US" w:eastAsia="zh-CN"/>
              </w:rPr>
              <w:t>数据来源：ecoinvent v3.12 cutoff 数据库（中国或全球数据）。</w:t>
            </w:r>
          </w:p>
          <w:p w14:paraId="0421C0B0">
            <w:pPr>
              <w:pStyle w:val="180"/>
              <w:bidi w:val="0"/>
              <w:spacing w:line="240" w:lineRule="auto"/>
              <w:jc w:val="both"/>
              <w:rPr>
                <w:rFonts w:hint="eastAsia"/>
                <w:sz w:val="21"/>
                <w:szCs w:val="21"/>
                <w:lang w:val="en-US" w:eastAsia="zh-CN"/>
              </w:rPr>
            </w:pPr>
            <w:r>
              <w:rPr>
                <w:rFonts w:hint="eastAsia"/>
                <w:sz w:val="21"/>
                <w:szCs w:val="21"/>
                <w:lang w:val="en-US" w:eastAsia="zh-CN"/>
              </w:rPr>
              <w:t>注：农药、栽培基质、穴盘、棚膜、地膜、建材等其他投入品，宜优先采用供应商提供的环境产品声明（EPD）、公开发布的本土生命周期数据库（如CPCD、CLCD）或ecoinvent数据库对应数据，并在核算报告中注明数据来源、技术代表性与不确定性；不宜采用无来源的缺省数值。</w:t>
            </w:r>
          </w:p>
        </w:tc>
      </w:tr>
    </w:tbl>
    <w:p w14:paraId="4247AE00">
      <w:pPr>
        <w:pStyle w:val="38"/>
        <w:bidi w:val="0"/>
        <w:rPr>
          <w:rFonts w:hint="eastAsia"/>
          <w:lang w:val="en-US" w:eastAsia="zh-CN"/>
        </w:rPr>
      </w:pPr>
    </w:p>
    <w:p w14:paraId="650BC82F">
      <w:pPr>
        <w:pStyle w:val="83"/>
        <w:bidi w:val="0"/>
        <w:rPr>
          <w:rFonts w:hint="eastAsia"/>
          <w:lang w:val="en-US" w:eastAsia="zh-CN"/>
        </w:rPr>
      </w:pPr>
      <w:bookmarkStart w:id="96" w:name="_Toc17699"/>
      <w:r>
        <w:rPr>
          <w:rFonts w:hint="eastAsia"/>
          <w:lang w:val="en-US" w:eastAsia="zh-CN"/>
        </w:rPr>
        <w:t>残体还田与生物量参数（缺省值）</w:t>
      </w:r>
      <w:bookmarkEnd w:id="96"/>
    </w:p>
    <w:p w14:paraId="6F9B6153">
      <w:pPr>
        <w:pStyle w:val="82"/>
        <w:bidi w:val="0"/>
        <w:rPr>
          <w:rFonts w:hint="eastAsia"/>
          <w:lang w:val="en-US" w:eastAsia="zh-CN"/>
        </w:rPr>
      </w:pPr>
      <w:r>
        <w:rPr>
          <w:rFonts w:hint="eastAsia"/>
          <w:lang w:val="en-US" w:eastAsia="zh-CN"/>
        </w:rPr>
        <w:t>残体还田与生物量参数缺省值</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973"/>
        <w:gridCol w:w="961"/>
        <w:gridCol w:w="778"/>
        <w:gridCol w:w="1145"/>
        <w:gridCol w:w="1630"/>
        <w:gridCol w:w="2847"/>
      </w:tblGrid>
      <w:tr w14:paraId="40192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2209" w:type="dxa"/>
            <w:tcBorders>
              <w:bottom w:val="single" w:color="auto" w:sz="8" w:space="0"/>
            </w:tcBorders>
            <w:vAlign w:val="center"/>
          </w:tcPr>
          <w:p w14:paraId="1DC24848">
            <w:pPr>
              <w:spacing w:line="280" w:lineRule="exact"/>
              <w:jc w:val="center"/>
              <w:rPr>
                <w:rFonts w:hint="eastAsia"/>
                <w:lang w:val="en-US" w:eastAsia="zh-CN"/>
              </w:rPr>
            </w:pPr>
            <w:r>
              <w:rPr>
                <w:rFonts w:hint="eastAsia" w:ascii="Times New Roman" w:hAnsi="Times New Roman" w:eastAsia="宋体"/>
                <w:b/>
                <w:i w:val="0"/>
                <w:sz w:val="21"/>
              </w:rPr>
              <w:t>参数</w:t>
            </w:r>
          </w:p>
        </w:tc>
        <w:tc>
          <w:tcPr>
            <w:tcW w:w="689" w:type="dxa"/>
            <w:tcBorders>
              <w:bottom w:val="single" w:color="auto" w:sz="8" w:space="0"/>
            </w:tcBorders>
            <w:vAlign w:val="center"/>
          </w:tcPr>
          <w:p w14:paraId="3BEDDF2F">
            <w:pPr>
              <w:spacing w:line="280" w:lineRule="exact"/>
              <w:jc w:val="center"/>
              <w:rPr>
                <w:rFonts w:hint="eastAsia"/>
                <w:lang w:val="en-US" w:eastAsia="zh-CN"/>
              </w:rPr>
            </w:pPr>
            <w:r>
              <w:rPr>
                <w:rFonts w:hint="eastAsia" w:ascii="Times New Roman" w:hAnsi="Times New Roman" w:eastAsia="宋体"/>
                <w:b/>
                <w:i w:val="0"/>
                <w:sz w:val="21"/>
              </w:rPr>
              <w:t>符号</w:t>
            </w:r>
          </w:p>
        </w:tc>
        <w:tc>
          <w:tcPr>
            <w:tcW w:w="0" w:type="auto"/>
            <w:tcBorders>
              <w:bottom w:val="single" w:color="auto" w:sz="8" w:space="0"/>
            </w:tcBorders>
            <w:vAlign w:val="center"/>
          </w:tcPr>
          <w:p w14:paraId="7807D8EC">
            <w:pPr>
              <w:spacing w:line="280" w:lineRule="exact"/>
              <w:jc w:val="center"/>
              <w:rPr>
                <w:rFonts w:hint="eastAsia"/>
                <w:lang w:val="en-US" w:eastAsia="zh-CN"/>
              </w:rPr>
            </w:pPr>
            <w:r>
              <w:rPr>
                <w:rFonts w:hint="eastAsia" w:ascii="Times New Roman" w:hAnsi="Times New Roman" w:eastAsia="宋体"/>
                <w:b/>
                <w:i w:val="0"/>
                <w:sz w:val="21"/>
              </w:rPr>
              <w:t>缺省值</w:t>
            </w:r>
          </w:p>
        </w:tc>
        <w:tc>
          <w:tcPr>
            <w:tcW w:w="0" w:type="auto"/>
            <w:tcBorders>
              <w:bottom w:val="single" w:color="auto" w:sz="8" w:space="0"/>
            </w:tcBorders>
            <w:vAlign w:val="center"/>
          </w:tcPr>
          <w:p w14:paraId="479EB26C">
            <w:pPr>
              <w:spacing w:line="280" w:lineRule="exact"/>
              <w:jc w:val="center"/>
              <w:rPr>
                <w:rFonts w:hint="eastAsia"/>
                <w:lang w:val="en-US" w:eastAsia="zh-CN"/>
              </w:rPr>
            </w:pPr>
            <w:r>
              <w:rPr>
                <w:rFonts w:hint="eastAsia" w:ascii="Times New Roman" w:hAnsi="Times New Roman" w:eastAsia="宋体"/>
                <w:b/>
                <w:i w:val="0"/>
                <w:sz w:val="21"/>
              </w:rPr>
              <w:t>单位</w:t>
            </w:r>
          </w:p>
        </w:tc>
        <w:tc>
          <w:tcPr>
            <w:tcW w:w="1454" w:type="dxa"/>
            <w:tcBorders>
              <w:bottom w:val="single" w:color="auto" w:sz="8" w:space="0"/>
            </w:tcBorders>
            <w:vAlign w:val="center"/>
          </w:tcPr>
          <w:p w14:paraId="303E2F28">
            <w:pPr>
              <w:spacing w:line="280" w:lineRule="exact"/>
              <w:jc w:val="center"/>
              <w:rPr>
                <w:rFonts w:hint="eastAsia"/>
                <w:lang w:val="en-US" w:eastAsia="zh-CN"/>
              </w:rPr>
            </w:pPr>
            <w:r>
              <w:rPr>
                <w:rFonts w:hint="eastAsia" w:ascii="Times New Roman" w:hAnsi="Times New Roman" w:eastAsia="宋体"/>
                <w:b/>
                <w:i w:val="0"/>
                <w:sz w:val="21"/>
              </w:rPr>
              <w:t>取值范围</w:t>
            </w:r>
          </w:p>
        </w:tc>
        <w:tc>
          <w:tcPr>
            <w:tcW w:w="3251" w:type="dxa"/>
            <w:tcBorders>
              <w:bottom w:val="single" w:color="auto" w:sz="8" w:space="0"/>
            </w:tcBorders>
            <w:vAlign w:val="center"/>
          </w:tcPr>
          <w:p w14:paraId="0B6D4D30">
            <w:pPr>
              <w:spacing w:line="280" w:lineRule="exact"/>
              <w:jc w:val="center"/>
              <w:rPr>
                <w:rFonts w:hint="eastAsia"/>
                <w:lang w:val="en-US" w:eastAsia="zh-CN"/>
              </w:rPr>
            </w:pPr>
            <w:r>
              <w:rPr>
                <w:rFonts w:hint="eastAsia" w:ascii="Times New Roman" w:hAnsi="Times New Roman" w:eastAsia="宋体"/>
                <w:b/>
                <w:i w:val="0"/>
                <w:sz w:val="21"/>
              </w:rPr>
              <w:t>来源与说明</w:t>
            </w:r>
          </w:p>
        </w:tc>
      </w:tr>
      <w:tr w14:paraId="6C3A81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tcBorders>
              <w:top w:val="single" w:color="auto" w:sz="8" w:space="0"/>
            </w:tcBorders>
            <w:vAlign w:val="center"/>
          </w:tcPr>
          <w:p w14:paraId="5661C19A">
            <w:pPr>
              <w:spacing w:line="280" w:lineRule="exact"/>
              <w:jc w:val="center"/>
              <w:rPr>
                <w:rFonts w:hint="eastAsia"/>
                <w:lang w:val="en-US" w:eastAsia="zh-CN"/>
              </w:rPr>
            </w:pPr>
            <w:r>
              <w:rPr>
                <w:rFonts w:hint="eastAsia" w:ascii="Times New Roman" w:hAnsi="Times New Roman" w:eastAsia="宋体"/>
                <w:b w:val="0"/>
                <w:i w:val="0"/>
                <w:sz w:val="21"/>
              </w:rPr>
              <w:t>收获指数（花头占地上部生物量比例）</w:t>
            </w:r>
          </w:p>
        </w:tc>
        <w:tc>
          <w:tcPr>
            <w:tcW w:w="689" w:type="dxa"/>
            <w:tcBorders>
              <w:top w:val="single" w:color="auto" w:sz="8" w:space="0"/>
            </w:tcBorders>
            <w:vAlign w:val="center"/>
          </w:tcPr>
          <w:p w14:paraId="45B452A2">
            <w:pPr>
              <w:spacing w:line="280" w:lineRule="exact"/>
              <w:jc w:val="center"/>
              <w:rPr>
                <w:rFonts w:hint="eastAsia"/>
                <w:lang w:val="en-US" w:eastAsia="zh-CN"/>
              </w:rPr>
            </w:pPr>
            <w:r>
              <w:rPr>
                <w:rFonts w:hint="eastAsia" w:ascii="Times New Roman" w:hAnsi="Times New Roman" w:eastAsia="宋体"/>
                <w:b w:val="0"/>
                <w:i w:val="0"/>
                <w:sz w:val="21"/>
              </w:rPr>
              <w:t>E</w:t>
            </w:r>
          </w:p>
        </w:tc>
        <w:tc>
          <w:tcPr>
            <w:tcW w:w="0" w:type="auto"/>
            <w:tcBorders>
              <w:top w:val="single" w:color="auto" w:sz="8" w:space="0"/>
            </w:tcBorders>
            <w:vAlign w:val="center"/>
          </w:tcPr>
          <w:p w14:paraId="421FD705">
            <w:pPr>
              <w:spacing w:line="280" w:lineRule="exact"/>
              <w:jc w:val="center"/>
              <w:rPr>
                <w:rFonts w:hint="eastAsia"/>
                <w:lang w:val="en-US" w:eastAsia="zh-CN"/>
              </w:rPr>
            </w:pPr>
            <w:r>
              <w:rPr>
                <w:rFonts w:hint="eastAsia" w:ascii="Times New Roman" w:hAnsi="Times New Roman" w:eastAsia="宋体"/>
                <w:b w:val="0"/>
                <w:i w:val="0"/>
                <w:sz w:val="21"/>
              </w:rPr>
              <w:t>0.30</w:t>
            </w:r>
          </w:p>
        </w:tc>
        <w:tc>
          <w:tcPr>
            <w:tcW w:w="0" w:type="auto"/>
            <w:tcBorders>
              <w:top w:val="single" w:color="auto" w:sz="8" w:space="0"/>
            </w:tcBorders>
            <w:vAlign w:val="center"/>
          </w:tcPr>
          <w:p w14:paraId="79197741">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tcBorders>
              <w:top w:val="single" w:color="auto" w:sz="8" w:space="0"/>
            </w:tcBorders>
            <w:vAlign w:val="center"/>
          </w:tcPr>
          <w:p w14:paraId="773F1787">
            <w:pPr>
              <w:spacing w:line="280" w:lineRule="exact"/>
              <w:jc w:val="center"/>
              <w:rPr>
                <w:rFonts w:hint="eastAsia"/>
                <w:lang w:val="en-US" w:eastAsia="zh-CN"/>
              </w:rPr>
            </w:pPr>
            <w:r>
              <w:rPr>
                <w:rFonts w:hint="eastAsia" w:ascii="Times New Roman" w:hAnsi="Times New Roman" w:eastAsia="宋体"/>
                <w:b w:val="0"/>
                <w:i w:val="0"/>
                <w:sz w:val="21"/>
              </w:rPr>
              <w:t>0.20～0.40</w:t>
            </w:r>
          </w:p>
        </w:tc>
        <w:tc>
          <w:tcPr>
            <w:tcW w:w="3251" w:type="dxa"/>
            <w:tcBorders>
              <w:top w:val="single" w:color="auto" w:sz="8" w:space="0"/>
            </w:tcBorders>
            <w:vAlign w:val="center"/>
          </w:tcPr>
          <w:p w14:paraId="36E7E16B">
            <w:pPr>
              <w:spacing w:line="280" w:lineRule="exact"/>
              <w:jc w:val="both"/>
              <w:rPr>
                <w:rFonts w:hint="eastAsia"/>
                <w:lang w:val="en-US" w:eastAsia="zh-CN"/>
              </w:rPr>
            </w:pPr>
            <w:r>
              <w:rPr>
                <w:rFonts w:hint="eastAsia" w:ascii="Times New Roman" w:hAnsi="Times New Roman" w:eastAsia="宋体"/>
                <w:b w:val="0"/>
                <w:i w:val="0"/>
                <w:sz w:val="21"/>
              </w:rPr>
              <w:t>宜实测；缺省参照相近蔬菜类作物取值，用于M</w:t>
            </w:r>
            <w:r>
              <w:rPr>
                <w:rFonts w:hint="eastAsia" w:ascii="Times New Roman" w:hAnsi="Times New Roman" w:eastAsia="宋体"/>
                <w:b w:val="0"/>
                <w:i w:val="0"/>
                <w:sz w:val="21"/>
                <w:vertAlign w:val="subscript"/>
              </w:rPr>
              <w:t>res</w:t>
            </w:r>
            <w:r>
              <w:rPr>
                <w:rFonts w:hint="eastAsia" w:ascii="Times New Roman" w:hAnsi="Times New Roman" w:eastAsia="宋体"/>
                <w:b w:val="0"/>
                <w:i w:val="0"/>
                <w:sz w:val="21"/>
              </w:rPr>
              <w:t>与F</w:t>
            </w:r>
            <w:r>
              <w:rPr>
                <w:rFonts w:hint="eastAsia" w:ascii="Times New Roman" w:hAnsi="Times New Roman" w:eastAsia="宋体"/>
                <w:b w:val="0"/>
                <w:i w:val="0"/>
                <w:sz w:val="21"/>
                <w:vertAlign w:val="subscript"/>
              </w:rPr>
              <w:t>ST</w:t>
            </w:r>
            <w:r>
              <w:rPr>
                <w:rFonts w:hint="eastAsia" w:ascii="Times New Roman" w:hAnsi="Times New Roman" w:eastAsia="宋体"/>
                <w:b w:val="0"/>
                <w:i w:val="0"/>
                <w:sz w:val="21"/>
              </w:rPr>
              <w:t>估算</w:t>
            </w:r>
          </w:p>
        </w:tc>
      </w:tr>
      <w:tr w14:paraId="43ADEF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4BC60443">
            <w:pPr>
              <w:spacing w:line="280" w:lineRule="exact"/>
              <w:jc w:val="center"/>
              <w:rPr>
                <w:rFonts w:hint="eastAsia"/>
                <w:lang w:val="en-US" w:eastAsia="zh-CN"/>
              </w:rPr>
            </w:pPr>
            <w:r>
              <w:rPr>
                <w:rFonts w:hint="eastAsia" w:ascii="Times New Roman" w:hAnsi="Times New Roman" w:eastAsia="宋体"/>
                <w:b w:val="0"/>
                <w:i w:val="0"/>
                <w:sz w:val="21"/>
              </w:rPr>
              <w:t>根冠比（根系干重／地上部茎叶干重）</w:t>
            </w:r>
          </w:p>
        </w:tc>
        <w:tc>
          <w:tcPr>
            <w:tcW w:w="689" w:type="dxa"/>
            <w:vAlign w:val="center"/>
          </w:tcPr>
          <w:p w14:paraId="12D66638">
            <w:pPr>
              <w:spacing w:line="280" w:lineRule="exact"/>
              <w:jc w:val="center"/>
              <w:rPr>
                <w:rFonts w:hint="eastAsia"/>
                <w:lang w:val="en-US" w:eastAsia="zh-CN"/>
              </w:rPr>
            </w:pPr>
            <w:r>
              <w:rPr>
                <w:rFonts w:hint="eastAsia" w:ascii="Times New Roman" w:hAnsi="Times New Roman" w:eastAsia="宋体"/>
                <w:b w:val="0"/>
                <w:i w:val="0"/>
                <w:sz w:val="21"/>
              </w:rPr>
              <w:t>R</w:t>
            </w:r>
            <w:r>
              <w:rPr>
                <w:rFonts w:hint="eastAsia" w:ascii="Times New Roman" w:hAnsi="Times New Roman" w:eastAsia="宋体"/>
                <w:b w:val="0"/>
                <w:i w:val="0"/>
                <w:sz w:val="21"/>
                <w:vertAlign w:val="subscript"/>
              </w:rPr>
              <w:t>S</w:t>
            </w:r>
          </w:p>
        </w:tc>
        <w:tc>
          <w:tcPr>
            <w:tcW w:w="0" w:type="auto"/>
            <w:vAlign w:val="center"/>
          </w:tcPr>
          <w:p w14:paraId="60196959">
            <w:pPr>
              <w:spacing w:line="280" w:lineRule="exact"/>
              <w:jc w:val="center"/>
              <w:rPr>
                <w:rFonts w:hint="eastAsia"/>
                <w:lang w:val="en-US" w:eastAsia="zh-CN"/>
              </w:rPr>
            </w:pPr>
            <w:r>
              <w:rPr>
                <w:rFonts w:hint="eastAsia" w:ascii="Times New Roman" w:hAnsi="Times New Roman" w:eastAsia="宋体"/>
                <w:b w:val="0"/>
                <w:i w:val="0"/>
                <w:sz w:val="21"/>
              </w:rPr>
              <w:t>0.20</w:t>
            </w:r>
          </w:p>
        </w:tc>
        <w:tc>
          <w:tcPr>
            <w:tcW w:w="0" w:type="auto"/>
            <w:vAlign w:val="center"/>
          </w:tcPr>
          <w:p w14:paraId="49638151">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0C5F5279">
            <w:pPr>
              <w:spacing w:line="280" w:lineRule="exact"/>
              <w:jc w:val="center"/>
              <w:rPr>
                <w:rFonts w:hint="eastAsia"/>
                <w:lang w:val="en-US" w:eastAsia="zh-CN"/>
              </w:rPr>
            </w:pPr>
            <w:r>
              <w:rPr>
                <w:rFonts w:hint="eastAsia" w:ascii="Times New Roman" w:hAnsi="Times New Roman" w:eastAsia="宋体"/>
                <w:b w:val="0"/>
                <w:i w:val="0"/>
                <w:sz w:val="21"/>
              </w:rPr>
              <w:t>0.15～0.30</w:t>
            </w:r>
          </w:p>
        </w:tc>
        <w:tc>
          <w:tcPr>
            <w:tcW w:w="3251" w:type="dxa"/>
            <w:vAlign w:val="center"/>
          </w:tcPr>
          <w:p w14:paraId="0B3F4C0A">
            <w:pPr>
              <w:spacing w:line="280" w:lineRule="exact"/>
              <w:jc w:val="both"/>
              <w:rPr>
                <w:rFonts w:hint="eastAsia"/>
                <w:lang w:val="en-US" w:eastAsia="zh-CN"/>
              </w:rPr>
            </w:pPr>
            <w:r>
              <w:rPr>
                <w:rFonts w:hint="eastAsia" w:ascii="Times New Roman" w:hAnsi="Times New Roman" w:eastAsia="宋体"/>
                <w:b w:val="0"/>
                <w:i w:val="0"/>
                <w:sz w:val="21"/>
              </w:rPr>
              <w:t>宜实测；缺省值适用于设施盆栽菊科作物，与公式（20）同一取值</w:t>
            </w:r>
          </w:p>
        </w:tc>
      </w:tr>
      <w:tr w14:paraId="4586B0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435AE78C">
            <w:pPr>
              <w:spacing w:line="280" w:lineRule="exact"/>
              <w:jc w:val="center"/>
              <w:rPr>
                <w:rFonts w:hint="eastAsia"/>
                <w:lang w:val="en-US" w:eastAsia="zh-CN"/>
              </w:rPr>
            </w:pPr>
            <w:r>
              <w:rPr>
                <w:rFonts w:hint="eastAsia" w:ascii="Times New Roman" w:hAnsi="Times New Roman" w:eastAsia="宋体"/>
                <w:b w:val="0"/>
                <w:i w:val="0"/>
                <w:sz w:val="21"/>
              </w:rPr>
              <w:t>残体含氮量（干重比）</w:t>
            </w:r>
          </w:p>
        </w:tc>
        <w:tc>
          <w:tcPr>
            <w:tcW w:w="689" w:type="dxa"/>
            <w:vAlign w:val="center"/>
          </w:tcPr>
          <w:p w14:paraId="33242A72">
            <w:pPr>
              <w:spacing w:line="280" w:lineRule="exact"/>
              <w:jc w:val="center"/>
              <w:rPr>
                <w:rFonts w:hint="eastAsia"/>
                <w:lang w:val="en-US" w:eastAsia="zh-CN"/>
              </w:rPr>
            </w:pPr>
            <w:r>
              <w:rPr>
                <w:rFonts w:hint="eastAsia" w:ascii="Times New Roman" w:hAnsi="Times New Roman" w:eastAsia="宋体"/>
                <w:b w:val="0"/>
                <w:i w:val="0"/>
                <w:sz w:val="21"/>
              </w:rPr>
              <w:t>RN</w:t>
            </w:r>
          </w:p>
        </w:tc>
        <w:tc>
          <w:tcPr>
            <w:tcW w:w="0" w:type="auto"/>
            <w:vAlign w:val="center"/>
          </w:tcPr>
          <w:p w14:paraId="68FB71A3">
            <w:pPr>
              <w:spacing w:line="280" w:lineRule="exact"/>
              <w:jc w:val="center"/>
              <w:rPr>
                <w:rFonts w:hint="eastAsia"/>
                <w:lang w:val="en-US" w:eastAsia="zh-CN"/>
              </w:rPr>
            </w:pPr>
            <w:r>
              <w:rPr>
                <w:rFonts w:hint="eastAsia" w:ascii="Times New Roman" w:hAnsi="Times New Roman" w:eastAsia="宋体"/>
                <w:b w:val="0"/>
                <w:i w:val="0"/>
                <w:sz w:val="21"/>
              </w:rPr>
              <w:t>0.0080</w:t>
            </w:r>
          </w:p>
        </w:tc>
        <w:tc>
          <w:tcPr>
            <w:tcW w:w="0" w:type="auto"/>
            <w:vAlign w:val="center"/>
          </w:tcPr>
          <w:p w14:paraId="27C41015">
            <w:pPr>
              <w:spacing w:line="280" w:lineRule="exact"/>
              <w:jc w:val="center"/>
              <w:rPr>
                <w:rFonts w:hint="eastAsia"/>
                <w:lang w:val="en-US" w:eastAsia="zh-CN"/>
              </w:rPr>
            </w:pPr>
            <w:r>
              <w:rPr>
                <w:rFonts w:hint="eastAsia" w:ascii="Times New Roman" w:hAnsi="Times New Roman" w:eastAsia="宋体"/>
                <w:b w:val="0"/>
                <w:i w:val="0"/>
                <w:sz w:val="21"/>
              </w:rPr>
              <w:t>kg N/kg</w:t>
            </w:r>
          </w:p>
        </w:tc>
        <w:tc>
          <w:tcPr>
            <w:tcW w:w="1454" w:type="dxa"/>
            <w:vAlign w:val="center"/>
          </w:tcPr>
          <w:p w14:paraId="6564D520">
            <w:pPr>
              <w:spacing w:line="280" w:lineRule="exact"/>
              <w:jc w:val="center"/>
              <w:rPr>
                <w:rFonts w:hint="eastAsia"/>
                <w:lang w:val="en-US" w:eastAsia="zh-CN"/>
              </w:rPr>
            </w:pPr>
            <w:r>
              <w:rPr>
                <w:rFonts w:hint="eastAsia" w:ascii="Times New Roman" w:hAnsi="Times New Roman" w:eastAsia="宋体"/>
                <w:b w:val="0"/>
                <w:i w:val="0"/>
                <w:sz w:val="21"/>
              </w:rPr>
              <w:t>0.005～0.012</w:t>
            </w:r>
          </w:p>
        </w:tc>
        <w:tc>
          <w:tcPr>
            <w:tcW w:w="3251" w:type="dxa"/>
            <w:vAlign w:val="center"/>
          </w:tcPr>
          <w:p w14:paraId="504FBE1A">
            <w:pPr>
              <w:spacing w:line="280" w:lineRule="exact"/>
              <w:jc w:val="both"/>
              <w:rPr>
                <w:rFonts w:hint="eastAsia"/>
                <w:lang w:val="en-US" w:eastAsia="zh-CN"/>
              </w:rPr>
            </w:pPr>
            <w:r>
              <w:rPr>
                <w:rFonts w:hint="eastAsia" w:ascii="Times New Roman" w:hAnsi="Times New Roman" w:eastAsia="宋体"/>
                <w:b w:val="0"/>
                <w:i w:val="0"/>
                <w:sz w:val="21"/>
              </w:rPr>
              <w:t>宜实测；用于残体还田氮量F</w:t>
            </w:r>
            <w:r>
              <w:rPr>
                <w:rFonts w:hint="eastAsia" w:ascii="Times New Roman" w:hAnsi="Times New Roman" w:eastAsia="宋体"/>
                <w:b w:val="0"/>
                <w:i w:val="0"/>
                <w:sz w:val="21"/>
                <w:vertAlign w:val="baseline"/>
              </w:rPr>
              <w:t>ST</w:t>
            </w:r>
            <w:r>
              <w:rPr>
                <w:rFonts w:hint="eastAsia" w:ascii="Times New Roman" w:hAnsi="Times New Roman" w:eastAsia="宋体"/>
                <w:b w:val="0"/>
                <w:i w:val="0"/>
                <w:sz w:val="21"/>
              </w:rPr>
              <w:t>计算</w:t>
            </w:r>
          </w:p>
        </w:tc>
      </w:tr>
      <w:tr w14:paraId="29FD5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2DAAB9F6">
            <w:pPr>
              <w:spacing w:line="280" w:lineRule="exact"/>
              <w:jc w:val="center"/>
              <w:rPr>
                <w:rFonts w:hint="eastAsia"/>
                <w:lang w:val="en-US" w:eastAsia="zh-CN"/>
              </w:rPr>
            </w:pPr>
            <w:r>
              <w:rPr>
                <w:rFonts w:hint="eastAsia" w:ascii="Times New Roman" w:hAnsi="Times New Roman" w:eastAsia="宋体"/>
                <w:b w:val="0"/>
                <w:i w:val="0"/>
                <w:sz w:val="21"/>
              </w:rPr>
              <w:t>地上部残体还田比例</w:t>
            </w:r>
          </w:p>
        </w:tc>
        <w:tc>
          <w:tcPr>
            <w:tcW w:w="689" w:type="dxa"/>
            <w:vAlign w:val="center"/>
          </w:tcPr>
          <w:p w14:paraId="77713E05">
            <w:pPr>
              <w:spacing w:line="280" w:lineRule="exact"/>
              <w:jc w:val="center"/>
              <w:rPr>
                <w:rFonts w:hint="eastAsia"/>
                <w:lang w:val="en-US" w:eastAsia="zh-CN"/>
              </w:rPr>
            </w:pPr>
            <w:r>
              <w:rPr>
                <w:rFonts w:hint="eastAsia" w:ascii="Times New Roman" w:hAnsi="Times New Roman" w:eastAsia="宋体"/>
                <w:b w:val="0"/>
                <w:i w:val="0"/>
                <w:sz w:val="21"/>
              </w:rPr>
              <w:t>R</w:t>
            </w:r>
          </w:p>
        </w:tc>
        <w:tc>
          <w:tcPr>
            <w:tcW w:w="0" w:type="auto"/>
            <w:vAlign w:val="center"/>
          </w:tcPr>
          <w:p w14:paraId="00EDAFCA">
            <w:pPr>
              <w:spacing w:line="280" w:lineRule="exact"/>
              <w:jc w:val="center"/>
              <w:rPr>
                <w:rFonts w:hint="eastAsia"/>
                <w:lang w:val="en-US" w:eastAsia="zh-CN"/>
              </w:rPr>
            </w:pPr>
            <w:r>
              <w:rPr>
                <w:rFonts w:hint="eastAsia" w:ascii="Times New Roman" w:hAnsi="Times New Roman" w:eastAsia="宋体"/>
                <w:b w:val="0"/>
                <w:i w:val="0"/>
                <w:sz w:val="21"/>
              </w:rPr>
              <w:t>1.0</w:t>
            </w:r>
          </w:p>
        </w:tc>
        <w:tc>
          <w:tcPr>
            <w:tcW w:w="0" w:type="auto"/>
            <w:vAlign w:val="center"/>
          </w:tcPr>
          <w:p w14:paraId="24A15AB8">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14694EA7">
            <w:pPr>
              <w:spacing w:line="280" w:lineRule="exact"/>
              <w:jc w:val="center"/>
              <w:rPr>
                <w:rFonts w:hint="eastAsia"/>
                <w:lang w:val="en-US" w:eastAsia="zh-CN"/>
              </w:rPr>
            </w:pPr>
            <w:r>
              <w:rPr>
                <w:rFonts w:hint="eastAsia" w:ascii="Times New Roman" w:hAnsi="Times New Roman" w:eastAsia="宋体"/>
                <w:b w:val="0"/>
                <w:i w:val="0"/>
                <w:sz w:val="21"/>
              </w:rPr>
              <w:t>0～1</w:t>
            </w:r>
          </w:p>
        </w:tc>
        <w:tc>
          <w:tcPr>
            <w:tcW w:w="3251" w:type="dxa"/>
            <w:vAlign w:val="center"/>
          </w:tcPr>
          <w:p w14:paraId="5C40DE6C">
            <w:pPr>
              <w:spacing w:line="280" w:lineRule="exact"/>
              <w:jc w:val="both"/>
              <w:rPr>
                <w:rFonts w:hint="eastAsia"/>
                <w:lang w:val="en-US" w:eastAsia="zh-CN"/>
              </w:rPr>
            </w:pPr>
            <w:r>
              <w:rPr>
                <w:rFonts w:hint="eastAsia" w:ascii="Times New Roman" w:hAnsi="Times New Roman" w:eastAsia="宋体"/>
                <w:b w:val="0"/>
                <w:i w:val="0"/>
                <w:sz w:val="21"/>
              </w:rPr>
              <w:t>按实际还田量与去向填写；全部清运处置时取0</w:t>
            </w:r>
          </w:p>
        </w:tc>
      </w:tr>
      <w:tr w14:paraId="6CA8E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647F42A8">
            <w:pPr>
              <w:spacing w:line="280" w:lineRule="exact"/>
              <w:jc w:val="center"/>
              <w:rPr>
                <w:rFonts w:hint="eastAsia"/>
                <w:lang w:val="en-US" w:eastAsia="zh-CN"/>
              </w:rPr>
            </w:pPr>
            <w:r>
              <w:rPr>
                <w:rFonts w:hint="eastAsia" w:ascii="Times New Roman" w:hAnsi="Times New Roman" w:eastAsia="宋体"/>
                <w:b w:val="0"/>
                <w:i w:val="0"/>
                <w:sz w:val="21"/>
              </w:rPr>
              <w:t>残体含碳率（干重比）</w:t>
            </w:r>
          </w:p>
        </w:tc>
        <w:tc>
          <w:tcPr>
            <w:tcW w:w="689" w:type="dxa"/>
            <w:vAlign w:val="center"/>
          </w:tcPr>
          <w:p w14:paraId="6B0DB4C8">
            <w:pPr>
              <w:spacing w:line="280" w:lineRule="exact"/>
              <w:jc w:val="center"/>
              <w:rPr>
                <w:rFonts w:hint="eastAsia"/>
                <w:lang w:val="en-US" w:eastAsia="zh-CN"/>
              </w:rPr>
            </w:pPr>
            <w:r>
              <w:rPr>
                <w:rFonts w:hint="eastAsia" w:ascii="Times New Roman" w:hAnsi="Times New Roman" w:eastAsia="宋体"/>
                <w:b w:val="0"/>
                <w:i w:val="0"/>
                <w:sz w:val="21"/>
              </w:rPr>
              <w:t>C</w:t>
            </w:r>
          </w:p>
        </w:tc>
        <w:tc>
          <w:tcPr>
            <w:tcW w:w="0" w:type="auto"/>
            <w:vAlign w:val="center"/>
          </w:tcPr>
          <w:p w14:paraId="4B8572AB">
            <w:pPr>
              <w:spacing w:line="280" w:lineRule="exact"/>
              <w:jc w:val="center"/>
              <w:rPr>
                <w:rFonts w:hint="eastAsia"/>
                <w:lang w:val="en-US" w:eastAsia="zh-CN"/>
              </w:rPr>
            </w:pPr>
            <w:r>
              <w:rPr>
                <w:rFonts w:hint="eastAsia" w:ascii="Times New Roman" w:hAnsi="Times New Roman" w:eastAsia="宋体"/>
                <w:b w:val="0"/>
                <w:i w:val="0"/>
                <w:sz w:val="21"/>
              </w:rPr>
              <w:t>0.45</w:t>
            </w:r>
          </w:p>
        </w:tc>
        <w:tc>
          <w:tcPr>
            <w:tcW w:w="0" w:type="auto"/>
            <w:vAlign w:val="center"/>
          </w:tcPr>
          <w:p w14:paraId="38F8A45A">
            <w:pPr>
              <w:spacing w:line="280" w:lineRule="exact"/>
              <w:jc w:val="center"/>
              <w:rPr>
                <w:rFonts w:hint="eastAsia"/>
                <w:lang w:val="en-US" w:eastAsia="zh-CN"/>
              </w:rPr>
            </w:pPr>
            <w:r>
              <w:rPr>
                <w:rFonts w:hint="eastAsia" w:ascii="Times New Roman" w:hAnsi="Times New Roman" w:eastAsia="宋体"/>
                <w:b w:val="0"/>
                <w:i w:val="0"/>
                <w:sz w:val="21"/>
              </w:rPr>
              <w:t>kg C/kg</w:t>
            </w:r>
          </w:p>
        </w:tc>
        <w:tc>
          <w:tcPr>
            <w:tcW w:w="1454" w:type="dxa"/>
            <w:vAlign w:val="center"/>
          </w:tcPr>
          <w:p w14:paraId="4118B943">
            <w:pPr>
              <w:spacing w:line="280" w:lineRule="exact"/>
              <w:jc w:val="center"/>
              <w:rPr>
                <w:rFonts w:hint="eastAsia"/>
                <w:lang w:val="en-US" w:eastAsia="zh-CN"/>
              </w:rPr>
            </w:pPr>
            <w:r>
              <w:rPr>
                <w:rFonts w:hint="eastAsia" w:ascii="Times New Roman" w:hAnsi="Times New Roman" w:eastAsia="宋体"/>
                <w:b w:val="0"/>
                <w:i w:val="0"/>
                <w:sz w:val="21"/>
              </w:rPr>
              <w:t>0.40～0.50</w:t>
            </w:r>
          </w:p>
        </w:tc>
        <w:tc>
          <w:tcPr>
            <w:tcW w:w="3251" w:type="dxa"/>
            <w:vAlign w:val="center"/>
          </w:tcPr>
          <w:p w14:paraId="0275A3DB">
            <w:pPr>
              <w:spacing w:line="280" w:lineRule="exact"/>
              <w:jc w:val="both"/>
              <w:rPr>
                <w:rFonts w:hint="eastAsia"/>
                <w:lang w:val="en-US" w:eastAsia="zh-CN"/>
              </w:rPr>
            </w:pPr>
            <w:r>
              <w:rPr>
                <w:rFonts w:hint="eastAsia" w:ascii="Times New Roman" w:hAnsi="Times New Roman" w:eastAsia="宋体"/>
                <w:b w:val="0"/>
                <w:i w:val="0"/>
                <w:sz w:val="21"/>
              </w:rPr>
              <w:t>宜实测；用于残体还田碳CS</w:t>
            </w:r>
            <w:r>
              <w:rPr>
                <w:rFonts w:hint="eastAsia" w:ascii="Times New Roman" w:hAnsi="Times New Roman" w:eastAsia="宋体"/>
                <w:b w:val="0"/>
                <w:i w:val="0"/>
                <w:sz w:val="21"/>
                <w:vertAlign w:val="subscript"/>
              </w:rPr>
              <w:t>res</w:t>
            </w:r>
            <w:r>
              <w:rPr>
                <w:rFonts w:hint="eastAsia" w:ascii="Times New Roman" w:hAnsi="Times New Roman" w:eastAsia="宋体"/>
                <w:b w:val="0"/>
                <w:i w:val="0"/>
                <w:sz w:val="21"/>
              </w:rPr>
              <w:t>（信息项）估算</w:t>
            </w:r>
          </w:p>
        </w:tc>
      </w:tr>
      <w:tr w14:paraId="10BBF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46688030">
            <w:pPr>
              <w:spacing w:line="280" w:lineRule="exact"/>
              <w:jc w:val="center"/>
              <w:rPr>
                <w:rFonts w:hint="eastAsia"/>
                <w:lang w:val="en-US" w:eastAsia="zh-CN"/>
              </w:rPr>
            </w:pPr>
            <w:r>
              <w:rPr>
                <w:rFonts w:hint="eastAsia" w:ascii="Times New Roman" w:hAnsi="Times New Roman" w:eastAsia="宋体"/>
                <w:b w:val="0"/>
                <w:i w:val="0"/>
                <w:sz w:val="21"/>
              </w:rPr>
              <w:t>可降解有机碳含量</w:t>
            </w:r>
          </w:p>
        </w:tc>
        <w:tc>
          <w:tcPr>
            <w:tcW w:w="689" w:type="dxa"/>
            <w:vAlign w:val="center"/>
          </w:tcPr>
          <w:p w14:paraId="09CD22D8">
            <w:pPr>
              <w:spacing w:line="280" w:lineRule="exact"/>
              <w:jc w:val="center"/>
              <w:rPr>
                <w:rFonts w:hint="eastAsia"/>
                <w:lang w:val="en-US" w:eastAsia="zh-CN"/>
              </w:rPr>
            </w:pPr>
            <w:r>
              <w:rPr>
                <w:rFonts w:hint="eastAsia" w:ascii="Times New Roman" w:hAnsi="Times New Roman" w:eastAsia="宋体"/>
                <w:b w:val="0"/>
                <w:i w:val="0"/>
                <w:sz w:val="21"/>
              </w:rPr>
              <w:t>DOC</w:t>
            </w:r>
          </w:p>
        </w:tc>
        <w:tc>
          <w:tcPr>
            <w:tcW w:w="0" w:type="auto"/>
            <w:vAlign w:val="center"/>
          </w:tcPr>
          <w:p w14:paraId="3A3A4558">
            <w:pPr>
              <w:spacing w:line="280" w:lineRule="exact"/>
              <w:jc w:val="center"/>
              <w:rPr>
                <w:rFonts w:hint="eastAsia"/>
                <w:lang w:val="en-US" w:eastAsia="zh-CN"/>
              </w:rPr>
            </w:pPr>
            <w:r>
              <w:rPr>
                <w:rFonts w:hint="eastAsia" w:ascii="Times New Roman" w:hAnsi="Times New Roman" w:eastAsia="宋体"/>
                <w:b w:val="0"/>
                <w:i w:val="0"/>
                <w:sz w:val="21"/>
              </w:rPr>
              <w:t>0.20</w:t>
            </w:r>
          </w:p>
        </w:tc>
        <w:tc>
          <w:tcPr>
            <w:tcW w:w="0" w:type="auto"/>
            <w:vAlign w:val="center"/>
          </w:tcPr>
          <w:p w14:paraId="3B6CD0AE">
            <w:pPr>
              <w:spacing w:line="280" w:lineRule="exact"/>
              <w:jc w:val="center"/>
              <w:rPr>
                <w:rFonts w:hint="eastAsia"/>
                <w:lang w:val="en-US" w:eastAsia="zh-CN"/>
              </w:rPr>
            </w:pPr>
            <w:r>
              <w:rPr>
                <w:rFonts w:hint="eastAsia" w:ascii="Times New Roman" w:hAnsi="Times New Roman" w:eastAsia="宋体"/>
                <w:b w:val="0"/>
                <w:i w:val="0"/>
                <w:sz w:val="21"/>
              </w:rPr>
              <w:t>kg C/kg</w:t>
            </w:r>
          </w:p>
        </w:tc>
        <w:tc>
          <w:tcPr>
            <w:tcW w:w="1454" w:type="dxa"/>
            <w:vAlign w:val="center"/>
          </w:tcPr>
          <w:p w14:paraId="73EC8078">
            <w:pPr>
              <w:spacing w:line="280" w:lineRule="exact"/>
              <w:jc w:val="center"/>
              <w:rPr>
                <w:rFonts w:hint="eastAsia"/>
                <w:lang w:val="en-US" w:eastAsia="zh-CN"/>
              </w:rPr>
            </w:pPr>
            <w:r>
              <w:rPr>
                <w:rFonts w:hint="eastAsia" w:ascii="Times New Roman" w:hAnsi="Times New Roman" w:eastAsia="宋体"/>
                <w:b w:val="0"/>
                <w:i w:val="0"/>
                <w:sz w:val="21"/>
              </w:rPr>
              <w:t>0.10～0.30</w:t>
            </w:r>
          </w:p>
        </w:tc>
        <w:tc>
          <w:tcPr>
            <w:tcW w:w="3251" w:type="dxa"/>
            <w:vAlign w:val="center"/>
          </w:tcPr>
          <w:p w14:paraId="750949AA">
            <w:pPr>
              <w:spacing w:line="280" w:lineRule="exact"/>
              <w:jc w:val="both"/>
              <w:rPr>
                <w:rFonts w:hint="eastAsia"/>
                <w:lang w:val="en-US" w:eastAsia="zh-CN"/>
              </w:rPr>
            </w:pPr>
            <w:r>
              <w:rPr>
                <w:rFonts w:hint="eastAsia" w:ascii="Times New Roman" w:hAnsi="Times New Roman" w:eastAsia="宋体"/>
                <w:b w:val="0"/>
                <w:i w:val="0"/>
                <w:sz w:val="21"/>
              </w:rPr>
              <w:t>IPCC 2006指南缺省值区间；仅在厌氧处置填埋时用于CH₄核算</w:t>
            </w:r>
          </w:p>
        </w:tc>
      </w:tr>
      <w:tr w14:paraId="68A9B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14C93423">
            <w:pPr>
              <w:spacing w:line="280" w:lineRule="exact"/>
              <w:jc w:val="center"/>
              <w:rPr>
                <w:rFonts w:hint="eastAsia"/>
                <w:lang w:val="en-US" w:eastAsia="zh-CN"/>
              </w:rPr>
            </w:pPr>
            <w:r>
              <w:rPr>
                <w:rFonts w:hint="eastAsia" w:ascii="Times New Roman" w:hAnsi="Times New Roman" w:eastAsia="宋体"/>
                <w:b w:val="0"/>
                <w:i w:val="0"/>
                <w:sz w:val="21"/>
              </w:rPr>
              <w:t>可降解有机碳分解比例</w:t>
            </w:r>
          </w:p>
        </w:tc>
        <w:tc>
          <w:tcPr>
            <w:tcW w:w="689" w:type="dxa"/>
            <w:vAlign w:val="center"/>
          </w:tcPr>
          <w:p w14:paraId="312F2365">
            <w:pPr>
              <w:spacing w:line="280" w:lineRule="exact"/>
              <w:jc w:val="center"/>
              <w:rPr>
                <w:rFonts w:hint="eastAsia"/>
                <w:lang w:val="en-US" w:eastAsia="zh-CN"/>
              </w:rPr>
            </w:pPr>
            <w:r>
              <w:rPr>
                <w:rFonts w:hint="eastAsia" w:ascii="Times New Roman" w:hAnsi="Times New Roman" w:eastAsia="宋体"/>
                <w:b w:val="0"/>
                <w:i w:val="0"/>
                <w:sz w:val="21"/>
              </w:rPr>
              <w:t>DOC</w:t>
            </w:r>
            <w:r>
              <w:rPr>
                <w:rFonts w:hint="eastAsia" w:ascii="Times New Roman" w:hAnsi="Times New Roman" w:eastAsia="宋体"/>
                <w:b w:val="0"/>
                <w:i w:val="0"/>
                <w:sz w:val="21"/>
                <w:vertAlign w:val="subscript"/>
              </w:rPr>
              <w:t>f</w:t>
            </w:r>
          </w:p>
        </w:tc>
        <w:tc>
          <w:tcPr>
            <w:tcW w:w="0" w:type="auto"/>
            <w:vAlign w:val="center"/>
          </w:tcPr>
          <w:p w14:paraId="665CFC61">
            <w:pPr>
              <w:spacing w:line="280" w:lineRule="exact"/>
              <w:jc w:val="center"/>
              <w:rPr>
                <w:rFonts w:hint="eastAsia"/>
                <w:lang w:val="en-US" w:eastAsia="zh-CN"/>
              </w:rPr>
            </w:pPr>
            <w:r>
              <w:rPr>
                <w:rFonts w:hint="eastAsia" w:ascii="Times New Roman" w:hAnsi="Times New Roman" w:eastAsia="宋体"/>
                <w:b w:val="0"/>
                <w:i w:val="0"/>
                <w:sz w:val="21"/>
              </w:rPr>
              <w:t>0.50</w:t>
            </w:r>
          </w:p>
        </w:tc>
        <w:tc>
          <w:tcPr>
            <w:tcW w:w="0" w:type="auto"/>
            <w:vAlign w:val="center"/>
          </w:tcPr>
          <w:p w14:paraId="47966CCF">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2F88254F">
            <w:pPr>
              <w:spacing w:line="280" w:lineRule="exact"/>
              <w:jc w:val="center"/>
              <w:rPr>
                <w:rFonts w:hint="eastAsia"/>
                <w:lang w:val="en-US" w:eastAsia="zh-CN"/>
              </w:rPr>
            </w:pPr>
            <w:r>
              <w:rPr>
                <w:rFonts w:hint="eastAsia" w:ascii="Times New Roman" w:hAnsi="Times New Roman" w:eastAsia="宋体"/>
                <w:b w:val="0"/>
                <w:i w:val="0"/>
                <w:sz w:val="21"/>
              </w:rPr>
              <w:t>0.30～0.70</w:t>
            </w:r>
          </w:p>
        </w:tc>
        <w:tc>
          <w:tcPr>
            <w:tcW w:w="3251" w:type="dxa"/>
            <w:vAlign w:val="center"/>
          </w:tcPr>
          <w:p w14:paraId="6A16E84C">
            <w:pPr>
              <w:spacing w:line="280" w:lineRule="exact"/>
              <w:jc w:val="both"/>
              <w:rPr>
                <w:rFonts w:hint="eastAsia"/>
                <w:lang w:val="en-US" w:eastAsia="zh-CN"/>
              </w:rPr>
            </w:pPr>
            <w:r>
              <w:rPr>
                <w:rFonts w:hint="eastAsia" w:ascii="Times New Roman" w:hAnsi="Times New Roman" w:eastAsia="宋体"/>
                <w:b w:val="0"/>
                <w:i w:val="0"/>
                <w:sz w:val="21"/>
              </w:rPr>
              <w:t>IPCC 2006指南缺省值</w:t>
            </w:r>
          </w:p>
        </w:tc>
      </w:tr>
      <w:tr w14:paraId="76C819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23504830">
            <w:pPr>
              <w:spacing w:line="280" w:lineRule="exact"/>
              <w:jc w:val="center"/>
              <w:rPr>
                <w:rFonts w:hint="eastAsia"/>
                <w:lang w:val="en-US" w:eastAsia="zh-CN"/>
              </w:rPr>
            </w:pPr>
            <w:r>
              <w:rPr>
                <w:rFonts w:hint="eastAsia" w:ascii="Times New Roman" w:hAnsi="Times New Roman" w:eastAsia="宋体"/>
                <w:b w:val="0"/>
                <w:i w:val="0"/>
                <w:sz w:val="21"/>
              </w:rPr>
              <w:t>甲烷修正因子（厌氧填埋）</w:t>
            </w:r>
          </w:p>
        </w:tc>
        <w:tc>
          <w:tcPr>
            <w:tcW w:w="689" w:type="dxa"/>
            <w:vAlign w:val="center"/>
          </w:tcPr>
          <w:p w14:paraId="386688CB">
            <w:pPr>
              <w:spacing w:line="280" w:lineRule="exact"/>
              <w:jc w:val="center"/>
              <w:rPr>
                <w:rFonts w:hint="eastAsia"/>
                <w:lang w:val="en-US" w:eastAsia="zh-CN"/>
              </w:rPr>
            </w:pPr>
            <w:r>
              <w:rPr>
                <w:rFonts w:hint="eastAsia" w:ascii="Times New Roman" w:hAnsi="Times New Roman" w:eastAsia="宋体"/>
                <w:b w:val="0"/>
                <w:i w:val="0"/>
                <w:sz w:val="21"/>
              </w:rPr>
              <w:t>MCF</w:t>
            </w:r>
          </w:p>
        </w:tc>
        <w:tc>
          <w:tcPr>
            <w:tcW w:w="0" w:type="auto"/>
            <w:vAlign w:val="center"/>
          </w:tcPr>
          <w:p w14:paraId="6DE13CAB">
            <w:pPr>
              <w:spacing w:line="280" w:lineRule="exact"/>
              <w:jc w:val="center"/>
              <w:rPr>
                <w:rFonts w:hint="eastAsia"/>
                <w:lang w:val="en-US" w:eastAsia="zh-CN"/>
              </w:rPr>
            </w:pPr>
            <w:r>
              <w:rPr>
                <w:rFonts w:hint="eastAsia" w:ascii="Times New Roman" w:hAnsi="Times New Roman" w:eastAsia="宋体"/>
                <w:b w:val="0"/>
                <w:i w:val="0"/>
                <w:sz w:val="21"/>
              </w:rPr>
              <w:t>1.0</w:t>
            </w:r>
          </w:p>
        </w:tc>
        <w:tc>
          <w:tcPr>
            <w:tcW w:w="0" w:type="auto"/>
            <w:vAlign w:val="center"/>
          </w:tcPr>
          <w:p w14:paraId="6146F376">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6E4BF0D9">
            <w:pPr>
              <w:spacing w:line="280" w:lineRule="exact"/>
              <w:jc w:val="center"/>
              <w:rPr>
                <w:rFonts w:hint="eastAsia"/>
                <w:lang w:val="en-US" w:eastAsia="zh-CN"/>
              </w:rPr>
            </w:pPr>
            <w:r>
              <w:rPr>
                <w:rFonts w:hint="eastAsia" w:ascii="Times New Roman" w:hAnsi="Times New Roman" w:eastAsia="宋体"/>
                <w:b w:val="0"/>
                <w:i w:val="0"/>
                <w:sz w:val="21"/>
              </w:rPr>
              <w:t>0.4～1.0</w:t>
            </w:r>
          </w:p>
        </w:tc>
        <w:tc>
          <w:tcPr>
            <w:tcW w:w="3251" w:type="dxa"/>
            <w:vAlign w:val="center"/>
          </w:tcPr>
          <w:p w14:paraId="48BD1BA2">
            <w:pPr>
              <w:spacing w:line="280" w:lineRule="exact"/>
              <w:jc w:val="both"/>
              <w:rPr>
                <w:rFonts w:hint="eastAsia"/>
                <w:lang w:val="en-US" w:eastAsia="zh-CN"/>
              </w:rPr>
            </w:pPr>
            <w:r>
              <w:rPr>
                <w:rFonts w:hint="eastAsia" w:ascii="Times New Roman" w:hAnsi="Times New Roman" w:eastAsia="宋体"/>
                <w:b w:val="0"/>
                <w:i w:val="0"/>
                <w:sz w:val="21"/>
              </w:rPr>
              <w:t>厌氧填埋取1.0，半好氧填埋取0.5</w:t>
            </w:r>
          </w:p>
        </w:tc>
      </w:tr>
      <w:tr w14:paraId="61E6A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tcBorders>
              <w:bottom w:val="single" w:color="auto" w:sz="8" w:space="0"/>
            </w:tcBorders>
            <w:vAlign w:val="center"/>
          </w:tcPr>
          <w:p w14:paraId="472C56B3">
            <w:pPr>
              <w:spacing w:line="280" w:lineRule="exact"/>
              <w:jc w:val="center"/>
              <w:rPr>
                <w:rFonts w:hint="eastAsia"/>
                <w:lang w:val="en-US" w:eastAsia="zh-CN"/>
              </w:rPr>
            </w:pPr>
            <w:r>
              <w:rPr>
                <w:rFonts w:hint="eastAsia" w:ascii="Times New Roman" w:hAnsi="Times New Roman" w:eastAsia="宋体"/>
                <w:b w:val="0"/>
                <w:i w:val="0"/>
                <w:sz w:val="21"/>
              </w:rPr>
              <w:t>单位取水耗电量</w:t>
            </w:r>
          </w:p>
        </w:tc>
        <w:tc>
          <w:tcPr>
            <w:tcW w:w="689" w:type="dxa"/>
            <w:tcBorders>
              <w:bottom w:val="single" w:color="auto" w:sz="8" w:space="0"/>
            </w:tcBorders>
            <w:vAlign w:val="center"/>
          </w:tcPr>
          <w:p w14:paraId="25266203">
            <w:pPr>
              <w:spacing w:line="280" w:lineRule="exact"/>
              <w:jc w:val="center"/>
              <w:rPr>
                <w:rFonts w:hint="eastAsia"/>
                <w:lang w:val="en-US" w:eastAsia="zh-CN"/>
              </w:rPr>
            </w:pPr>
            <w:r>
              <w:rPr>
                <w:rFonts w:hint="eastAsia" w:ascii="Times New Roman" w:hAnsi="Times New Roman" w:eastAsia="宋体"/>
                <w:b w:val="0"/>
                <w:i w:val="0"/>
                <w:sz w:val="21"/>
              </w:rPr>
              <w:t>e</w:t>
            </w:r>
            <w:r>
              <w:rPr>
                <w:rFonts w:hint="eastAsia" w:ascii="Times New Roman" w:hAnsi="Times New Roman" w:eastAsia="宋体"/>
                <w:b w:val="0"/>
                <w:i w:val="0"/>
                <w:sz w:val="21"/>
                <w:vertAlign w:val="subscript"/>
              </w:rPr>
              <w:t>pump</w:t>
            </w:r>
          </w:p>
        </w:tc>
        <w:tc>
          <w:tcPr>
            <w:tcW w:w="0" w:type="auto"/>
            <w:tcBorders>
              <w:bottom w:val="single" w:color="auto" w:sz="8" w:space="0"/>
            </w:tcBorders>
            <w:vAlign w:val="center"/>
          </w:tcPr>
          <w:p w14:paraId="34008689">
            <w:pPr>
              <w:spacing w:line="280" w:lineRule="exact"/>
              <w:jc w:val="center"/>
              <w:rPr>
                <w:rFonts w:hint="eastAsia"/>
                <w:lang w:val="en-US" w:eastAsia="zh-CN"/>
              </w:rPr>
            </w:pPr>
            <w:r>
              <w:rPr>
                <w:rFonts w:hint="eastAsia" w:ascii="Times New Roman" w:hAnsi="Times New Roman" w:eastAsia="宋体"/>
                <w:b w:val="0"/>
                <w:i w:val="0"/>
                <w:sz w:val="21"/>
              </w:rPr>
              <w:t>0.30</w:t>
            </w:r>
          </w:p>
        </w:tc>
        <w:tc>
          <w:tcPr>
            <w:tcW w:w="0" w:type="auto"/>
            <w:tcBorders>
              <w:bottom w:val="single" w:color="auto" w:sz="8" w:space="0"/>
            </w:tcBorders>
            <w:vAlign w:val="center"/>
          </w:tcPr>
          <w:p w14:paraId="72EBBC52">
            <w:pPr>
              <w:spacing w:line="280" w:lineRule="exact"/>
              <w:jc w:val="center"/>
              <w:rPr>
                <w:rFonts w:hint="eastAsia"/>
                <w:lang w:val="en-US" w:eastAsia="zh-CN"/>
              </w:rPr>
            </w:pPr>
            <w:r>
              <w:rPr>
                <w:rFonts w:hint="eastAsia" w:ascii="Times New Roman" w:hAnsi="Times New Roman" w:eastAsia="宋体"/>
                <w:b w:val="0"/>
                <w:i w:val="0"/>
                <w:sz w:val="21"/>
              </w:rPr>
              <w:t>kW·h/m³</w:t>
            </w:r>
          </w:p>
        </w:tc>
        <w:tc>
          <w:tcPr>
            <w:tcW w:w="1454" w:type="dxa"/>
            <w:tcBorders>
              <w:bottom w:val="single" w:color="auto" w:sz="8" w:space="0"/>
            </w:tcBorders>
            <w:vAlign w:val="center"/>
          </w:tcPr>
          <w:p w14:paraId="6F57B51D">
            <w:pPr>
              <w:spacing w:line="280" w:lineRule="exact"/>
              <w:jc w:val="center"/>
              <w:rPr>
                <w:rFonts w:hint="eastAsia"/>
                <w:lang w:val="en-US" w:eastAsia="zh-CN"/>
              </w:rPr>
            </w:pPr>
            <w:r>
              <w:rPr>
                <w:rFonts w:hint="eastAsia" w:ascii="Times New Roman" w:hAnsi="Times New Roman" w:eastAsia="宋体"/>
                <w:b w:val="0"/>
                <w:i w:val="0"/>
                <w:sz w:val="21"/>
              </w:rPr>
              <w:t>0.10～0.60</w:t>
            </w:r>
          </w:p>
        </w:tc>
        <w:tc>
          <w:tcPr>
            <w:tcW w:w="3251" w:type="dxa"/>
            <w:tcBorders>
              <w:bottom w:val="single" w:color="auto" w:sz="8" w:space="0"/>
            </w:tcBorders>
            <w:vAlign w:val="center"/>
          </w:tcPr>
          <w:p w14:paraId="548E9C03">
            <w:pPr>
              <w:spacing w:line="280" w:lineRule="exact"/>
              <w:jc w:val="both"/>
              <w:rPr>
                <w:rFonts w:hint="eastAsia"/>
                <w:lang w:val="en-US" w:eastAsia="zh-CN"/>
              </w:rPr>
            </w:pPr>
            <w:r>
              <w:rPr>
                <w:rFonts w:hint="eastAsia" w:ascii="Times New Roman" w:hAnsi="Times New Roman" w:eastAsia="宋体"/>
                <w:b w:val="0"/>
                <w:i w:val="0"/>
                <w:sz w:val="21"/>
              </w:rPr>
              <w:t>宜实测；用于不具备分表计量时灌溉耗电E</w:t>
            </w:r>
            <w:r>
              <w:rPr>
                <w:rFonts w:hint="eastAsia" w:ascii="Times New Roman" w:hAnsi="Times New Roman" w:eastAsia="宋体"/>
                <w:b w:val="0"/>
                <w:i w:val="0"/>
                <w:sz w:val="21"/>
                <w:vertAlign w:val="subscript"/>
              </w:rPr>
              <w:t>irr</w:t>
            </w:r>
            <w:r>
              <w:rPr>
                <w:rFonts w:hint="eastAsia" w:ascii="Times New Roman" w:hAnsi="Times New Roman" w:eastAsia="宋体"/>
                <w:b w:val="0"/>
                <w:i w:val="0"/>
                <w:sz w:val="21"/>
              </w:rPr>
              <w:t>的估算</w:t>
            </w:r>
          </w:p>
        </w:tc>
      </w:tr>
      <w:tr w14:paraId="78CAB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0" w:type="auto"/>
            <w:gridSpan w:val="6"/>
            <w:tcBorders>
              <w:top w:val="single" w:color="auto" w:sz="8" w:space="0"/>
            </w:tcBorders>
            <w:vAlign w:val="center"/>
          </w:tcPr>
          <w:p w14:paraId="390B1020">
            <w:pPr>
              <w:pStyle w:val="180"/>
              <w:bidi w:val="0"/>
              <w:spacing w:line="240" w:lineRule="auto"/>
              <w:jc w:val="both"/>
              <w:rPr>
                <w:rFonts w:hint="eastAsia"/>
                <w:sz w:val="21"/>
                <w:szCs w:val="21"/>
                <w:lang w:val="en-US" w:eastAsia="zh-CN"/>
              </w:rPr>
            </w:pPr>
            <w:r>
              <w:rPr>
                <w:rFonts w:hint="eastAsia"/>
                <w:sz w:val="21"/>
                <w:szCs w:val="21"/>
                <w:lang w:val="en-US" w:eastAsia="zh-CN"/>
              </w:rPr>
              <w:t>数据来源：E、RS、RN、C宜采用实测值；无实测条件时可参照T/CGFA 012—2025《温室气体 产品碳足迹量化方法与要求 种植农产品》附录B中相近作物的取值，并结合食用菊花生产实际确定，在核算报告中说明取值依据与不确定性。</w:t>
            </w:r>
          </w:p>
        </w:tc>
      </w:tr>
    </w:tbl>
    <w:p w14:paraId="18064AA8">
      <w:pPr>
        <w:pStyle w:val="38"/>
        <w:bidi w:val="0"/>
        <w:rPr>
          <w:rFonts w:hint="eastAsia"/>
          <w:lang w:val="en-US" w:eastAsia="zh-CN"/>
        </w:rPr>
        <w:sectPr>
          <w:pgSz w:w="11906" w:h="16838"/>
          <w:pgMar w:top="1928" w:right="1134" w:bottom="1134" w:left="1134" w:header="1418" w:footer="1134" w:gutter="284"/>
          <w:pgNumType w:fmt="decimal"/>
          <w:cols w:space="425" w:num="1"/>
          <w:formProt w:val="0"/>
          <w:docGrid w:linePitch="312" w:charSpace="0"/>
        </w:sectPr>
      </w:pPr>
    </w:p>
    <w:p w14:paraId="6EF3622D">
      <w:pPr>
        <w:pStyle w:val="200"/>
        <w:bidi w:val="0"/>
        <w:rPr>
          <w:rFonts w:hint="eastAsia"/>
          <w:lang w:val="en-US" w:eastAsia="zh-CN"/>
        </w:rPr>
      </w:pPr>
    </w:p>
    <w:p w14:paraId="18EE3F73">
      <w:pPr>
        <w:pStyle w:val="201"/>
        <w:bidi w:val="0"/>
        <w:rPr>
          <w:rFonts w:hint="eastAsia"/>
          <w:lang w:val="en-US" w:eastAsia="zh-CN"/>
        </w:rPr>
      </w:pPr>
    </w:p>
    <w:p w14:paraId="4D25F56C">
      <w:pPr>
        <w:pStyle w:val="81"/>
        <w:bidi w:val="0"/>
        <w:rPr>
          <w:rFonts w:hint="eastAsia"/>
          <w:lang w:val="en-US" w:eastAsia="zh-CN"/>
        </w:rPr>
      </w:pPr>
      <w:bookmarkStart w:id="97" w:name="_Toc11611"/>
      <w:bookmarkStart w:id="98" w:name="_Toc25219"/>
      <w:bookmarkStart w:id="99" w:name="_Toc6675"/>
      <w:r>
        <w:rPr>
          <w:rFonts w:hint="eastAsia"/>
          <w:lang w:val="en-US" w:eastAsia="zh-CN"/>
        </w:rPr>
        <w:br w:type="textWrapping"/>
      </w:r>
      <w:r>
        <w:rPr>
          <w:rFonts w:hint="eastAsia"/>
          <w:lang w:val="en-US" w:eastAsia="zh-CN"/>
        </w:rPr>
        <w:t>（资料性）</w:t>
      </w:r>
      <w:r>
        <w:rPr>
          <w:rFonts w:hint="eastAsia"/>
          <w:lang w:val="en-US" w:eastAsia="zh-CN"/>
        </w:rPr>
        <w:br w:type="textWrapping"/>
      </w:r>
      <w:r>
        <w:rPr>
          <w:rFonts w:hint="eastAsia"/>
          <w:lang w:val="en-US" w:eastAsia="zh-CN"/>
        </w:rPr>
        <w:t>食用菊花碳足迹核算报告（模板）</w:t>
      </w:r>
      <w:bookmarkEnd w:id="97"/>
      <w:bookmarkEnd w:id="98"/>
      <w:bookmarkEnd w:id="99"/>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14:paraId="036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tcPr>
          <w:p w14:paraId="28573F37">
            <w:pPr>
              <w:spacing w:before="200" w:after="40" w:line="336" w:lineRule="auto"/>
              <w:jc w:val="center"/>
              <w:rPr>
                <w:color w:val="auto"/>
              </w:rPr>
            </w:pPr>
            <w:r>
              <w:rPr>
                <w:rFonts w:ascii="Times New Roman" w:hAnsi="Times New Roman" w:eastAsia="黑体"/>
                <w:b w:val="0"/>
                <w:i w:val="0"/>
                <w:color w:val="auto"/>
                <w:sz w:val="32"/>
              </w:rPr>
              <w:t>【生产者名称】</w:t>
            </w:r>
          </w:p>
          <w:p w14:paraId="309B4E5B">
            <w:pPr>
              <w:spacing w:before="0" w:after="40" w:line="336" w:lineRule="auto"/>
              <w:jc w:val="center"/>
              <w:rPr>
                <w:rFonts w:hint="eastAsia"/>
                <w:color w:val="auto"/>
                <w:vertAlign w:val="baseline"/>
                <w:lang w:eastAsia="zh-CN"/>
              </w:rPr>
            </w:pPr>
            <w:r>
              <w:rPr>
                <w:rFonts w:hint="eastAsia" w:ascii="Times New Roman" w:hAnsi="Times New Roman" w:eastAsia="黑体"/>
                <w:b w:val="0"/>
                <w:i w:val="0"/>
                <w:color w:val="auto"/>
                <w:sz w:val="32"/>
                <w:lang w:val="en-US" w:eastAsia="zh-CN"/>
              </w:rPr>
              <w:t>食用菊花</w:t>
            </w:r>
            <w:r>
              <w:rPr>
                <w:rFonts w:ascii="Times New Roman" w:hAnsi="Times New Roman" w:eastAsia="黑体"/>
                <w:b w:val="0"/>
                <w:i w:val="0"/>
                <w:color w:val="auto"/>
                <w:sz w:val="32"/>
              </w:rPr>
              <w:t>产品碳足迹报告</w:t>
            </w:r>
          </w:p>
          <w:p w14:paraId="7BA9F8B8">
            <w:pPr>
              <w:pStyle w:val="38"/>
              <w:rPr>
                <w:rFonts w:hint="eastAsia"/>
                <w:color w:val="auto"/>
                <w:vertAlign w:val="baseline"/>
                <w:lang w:eastAsia="zh-CN"/>
              </w:rPr>
            </w:pPr>
          </w:p>
          <w:p w14:paraId="2C348B0E">
            <w:pPr>
              <w:pStyle w:val="38"/>
              <w:rPr>
                <w:rFonts w:hint="eastAsia"/>
                <w:color w:val="auto"/>
                <w:vertAlign w:val="baseline"/>
                <w:lang w:eastAsia="zh-CN"/>
              </w:rPr>
            </w:pPr>
          </w:p>
          <w:p w14:paraId="514932D6">
            <w:pPr>
              <w:pStyle w:val="38"/>
              <w:rPr>
                <w:rFonts w:hint="eastAsia"/>
                <w:color w:val="auto"/>
                <w:vertAlign w:val="baseline"/>
                <w:lang w:eastAsia="zh-CN"/>
              </w:rPr>
            </w:pPr>
          </w:p>
          <w:p w14:paraId="20AEF256">
            <w:pPr>
              <w:pStyle w:val="38"/>
              <w:rPr>
                <w:rFonts w:hint="eastAsia"/>
                <w:color w:val="auto"/>
                <w:vertAlign w:val="baseline"/>
                <w:lang w:eastAsia="zh-CN"/>
              </w:rPr>
            </w:pPr>
          </w:p>
          <w:p w14:paraId="1D80A030">
            <w:pPr>
              <w:pStyle w:val="38"/>
              <w:rPr>
                <w:rFonts w:hint="eastAsia"/>
                <w:color w:val="auto"/>
                <w:vertAlign w:val="baseline"/>
                <w:lang w:eastAsia="zh-CN"/>
              </w:rPr>
            </w:pPr>
          </w:p>
          <w:p w14:paraId="68AB178D">
            <w:pPr>
              <w:pStyle w:val="38"/>
              <w:rPr>
                <w:rFonts w:hint="eastAsia"/>
                <w:color w:val="auto"/>
                <w:vertAlign w:val="baseline"/>
                <w:lang w:eastAsia="zh-CN"/>
              </w:rPr>
            </w:pPr>
          </w:p>
          <w:p w14:paraId="16125B8C">
            <w:pPr>
              <w:pStyle w:val="38"/>
              <w:rPr>
                <w:rFonts w:hint="eastAsia"/>
                <w:color w:val="auto"/>
                <w:vertAlign w:val="baseline"/>
                <w:lang w:eastAsia="zh-CN"/>
              </w:rPr>
            </w:pPr>
          </w:p>
          <w:p w14:paraId="57A87B7A">
            <w:pPr>
              <w:pStyle w:val="38"/>
              <w:rPr>
                <w:rFonts w:hint="eastAsia"/>
                <w:color w:val="auto"/>
                <w:vertAlign w:val="baseline"/>
                <w:lang w:eastAsia="zh-CN"/>
              </w:rPr>
            </w:pPr>
          </w:p>
          <w:p w14:paraId="07CDEC6F">
            <w:pPr>
              <w:pStyle w:val="38"/>
              <w:rPr>
                <w:rFonts w:hint="eastAsia"/>
                <w:color w:val="auto"/>
                <w:vertAlign w:val="baseline"/>
                <w:lang w:eastAsia="zh-CN"/>
              </w:rPr>
            </w:pPr>
          </w:p>
          <w:p w14:paraId="60CAC00F">
            <w:pPr>
              <w:pStyle w:val="38"/>
              <w:rPr>
                <w:rFonts w:hint="eastAsia"/>
                <w:color w:val="auto"/>
                <w:vertAlign w:val="baseline"/>
                <w:lang w:val="en-US" w:eastAsia="zh-CN"/>
              </w:rPr>
            </w:pPr>
          </w:p>
          <w:p w14:paraId="4E086A4A">
            <w:pPr>
              <w:pStyle w:val="38"/>
              <w:rPr>
                <w:rFonts w:hint="eastAsia"/>
                <w:color w:val="auto"/>
                <w:vertAlign w:val="baseline"/>
                <w:lang w:val="en-US" w:eastAsia="zh-CN"/>
              </w:rPr>
            </w:pPr>
          </w:p>
          <w:p w14:paraId="32AD6598">
            <w:pPr>
              <w:pStyle w:val="38"/>
              <w:rPr>
                <w:rFonts w:hint="eastAsia"/>
                <w:color w:val="auto"/>
                <w:vertAlign w:val="baseline"/>
                <w:lang w:val="en-US" w:eastAsia="zh-CN"/>
              </w:rPr>
            </w:pPr>
          </w:p>
          <w:p w14:paraId="5D0FA64E">
            <w:pPr>
              <w:pStyle w:val="38"/>
              <w:rPr>
                <w:rFonts w:hint="eastAsia"/>
                <w:color w:val="auto"/>
                <w:vertAlign w:val="baseline"/>
                <w:lang w:val="en-US" w:eastAsia="zh-CN"/>
              </w:rPr>
            </w:pPr>
          </w:p>
          <w:p w14:paraId="45C9A657">
            <w:pPr>
              <w:pStyle w:val="38"/>
              <w:rPr>
                <w:rFonts w:hint="eastAsia"/>
                <w:color w:val="auto"/>
                <w:vertAlign w:val="baseline"/>
                <w:lang w:val="en-US" w:eastAsia="zh-CN"/>
              </w:rPr>
            </w:pPr>
          </w:p>
          <w:p w14:paraId="2F20CDB9">
            <w:pPr>
              <w:pStyle w:val="38"/>
              <w:rPr>
                <w:rFonts w:hint="eastAsia"/>
                <w:color w:val="auto"/>
                <w:vertAlign w:val="baseline"/>
                <w:lang w:val="en-US" w:eastAsia="zh-CN"/>
              </w:rPr>
            </w:pPr>
          </w:p>
          <w:p w14:paraId="10C51335">
            <w:pPr>
              <w:pStyle w:val="38"/>
              <w:rPr>
                <w:rFonts w:hint="eastAsia"/>
                <w:color w:val="auto"/>
                <w:vertAlign w:val="baseline"/>
                <w:lang w:val="en-US" w:eastAsia="zh-CN"/>
              </w:rPr>
            </w:pPr>
          </w:p>
          <w:p w14:paraId="5AE03318">
            <w:pPr>
              <w:pStyle w:val="38"/>
              <w:rPr>
                <w:rFonts w:hint="eastAsia"/>
                <w:color w:val="auto"/>
                <w:vertAlign w:val="baseline"/>
                <w:lang w:val="en-US" w:eastAsia="zh-CN"/>
              </w:rPr>
            </w:pPr>
          </w:p>
          <w:p w14:paraId="55062E55">
            <w:pPr>
              <w:pStyle w:val="38"/>
              <w:rPr>
                <w:rFonts w:hint="eastAsia"/>
                <w:color w:val="auto"/>
                <w:vertAlign w:val="baseline"/>
                <w:lang w:val="en-US" w:eastAsia="zh-CN"/>
              </w:rPr>
            </w:pPr>
          </w:p>
          <w:p w14:paraId="2930B38C">
            <w:pPr>
              <w:pStyle w:val="38"/>
              <w:rPr>
                <w:rFonts w:hint="eastAsia"/>
                <w:color w:val="auto"/>
                <w:vertAlign w:val="baseline"/>
                <w:lang w:val="en-US" w:eastAsia="zh-CN"/>
              </w:rPr>
            </w:pPr>
          </w:p>
          <w:p w14:paraId="41B06C2D">
            <w:pPr>
              <w:pStyle w:val="38"/>
              <w:rPr>
                <w:rFonts w:hint="eastAsia"/>
                <w:color w:val="auto"/>
                <w:vertAlign w:val="baseline"/>
                <w:lang w:val="en-US" w:eastAsia="zh-CN"/>
              </w:rPr>
            </w:pPr>
          </w:p>
          <w:p w14:paraId="74618FD6">
            <w:pPr>
              <w:pStyle w:val="38"/>
              <w:rPr>
                <w:rFonts w:hint="eastAsia"/>
                <w:color w:val="auto"/>
                <w:vertAlign w:val="baseline"/>
                <w:lang w:val="en-US" w:eastAsia="zh-CN"/>
              </w:rPr>
            </w:pPr>
          </w:p>
          <w:p w14:paraId="066B9C28">
            <w:pPr>
              <w:pStyle w:val="38"/>
              <w:rPr>
                <w:rFonts w:hint="eastAsia"/>
                <w:color w:val="auto"/>
                <w:vertAlign w:val="baseline"/>
                <w:lang w:val="en-US" w:eastAsia="zh-CN"/>
              </w:rPr>
            </w:pPr>
          </w:p>
          <w:p w14:paraId="5E0ADE09">
            <w:pPr>
              <w:pStyle w:val="38"/>
              <w:rPr>
                <w:rFonts w:hint="eastAsia"/>
                <w:color w:val="auto"/>
                <w:vertAlign w:val="baseline"/>
                <w:lang w:val="en-US" w:eastAsia="zh-CN"/>
              </w:rPr>
            </w:pPr>
          </w:p>
          <w:p w14:paraId="3CADB9C7">
            <w:pPr>
              <w:pStyle w:val="38"/>
              <w:rPr>
                <w:rFonts w:hint="eastAsia"/>
                <w:color w:val="auto"/>
                <w:vertAlign w:val="baseline"/>
                <w:lang w:val="en-US" w:eastAsia="zh-CN"/>
              </w:rPr>
            </w:pPr>
          </w:p>
          <w:p w14:paraId="73756733">
            <w:pPr>
              <w:pStyle w:val="38"/>
              <w:rPr>
                <w:rFonts w:hint="eastAsia"/>
                <w:color w:val="auto"/>
                <w:vertAlign w:val="baseline"/>
                <w:lang w:val="en-US" w:eastAsia="zh-CN"/>
              </w:rPr>
            </w:pPr>
          </w:p>
          <w:p w14:paraId="1E1BC370">
            <w:pPr>
              <w:pStyle w:val="38"/>
              <w:rPr>
                <w:rFonts w:hint="eastAsia"/>
                <w:color w:val="auto"/>
                <w:vertAlign w:val="baseline"/>
                <w:lang w:val="en-US" w:eastAsia="zh-CN"/>
              </w:rPr>
            </w:pP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3"/>
              <w:gridCol w:w="5818"/>
            </w:tblGrid>
            <w:tr w14:paraId="6043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shd w:val="clear" w:color="auto" w:fill="D9D9D9"/>
                  <w:vAlign w:val="center"/>
                </w:tcPr>
                <w:p w14:paraId="7244ED02">
                  <w:pPr>
                    <w:spacing w:before="20" w:after="20" w:line="276" w:lineRule="auto"/>
                    <w:jc w:val="center"/>
                    <w:rPr>
                      <w:color w:val="auto"/>
                    </w:rPr>
                  </w:pPr>
                  <w:r>
                    <w:rPr>
                      <w:rFonts w:ascii="Times New Roman" w:hAnsi="Times New Roman" w:eastAsia="宋体"/>
                      <w:b/>
                      <w:i w:val="0"/>
                      <w:color w:val="auto"/>
                      <w:sz w:val="18"/>
                    </w:rPr>
                    <w:t>项    目</w:t>
                  </w:r>
                </w:p>
              </w:tc>
              <w:tc>
                <w:tcPr>
                  <w:tcW w:w="5818" w:type="dxa"/>
                  <w:shd w:val="clear" w:color="auto" w:fill="D9D9D9"/>
                  <w:vAlign w:val="center"/>
                </w:tcPr>
                <w:p w14:paraId="7BB9A12B">
                  <w:pPr>
                    <w:spacing w:before="20" w:after="20" w:line="276" w:lineRule="auto"/>
                    <w:jc w:val="center"/>
                    <w:rPr>
                      <w:color w:val="auto"/>
                    </w:rPr>
                  </w:pPr>
                  <w:r>
                    <w:rPr>
                      <w:rFonts w:ascii="Times New Roman" w:hAnsi="Times New Roman" w:eastAsia="宋体"/>
                      <w:b/>
                      <w:i w:val="0"/>
                      <w:color w:val="auto"/>
                      <w:sz w:val="18"/>
                    </w:rPr>
                    <w:t>内    容</w:t>
                  </w:r>
                </w:p>
              </w:tc>
            </w:tr>
            <w:tr w14:paraId="704E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13A8DC13">
                  <w:pPr>
                    <w:spacing w:before="20" w:after="20" w:line="276" w:lineRule="auto"/>
                    <w:jc w:val="left"/>
                    <w:rPr>
                      <w:color w:val="auto"/>
                    </w:rPr>
                  </w:pPr>
                  <w:r>
                    <w:rPr>
                      <w:rFonts w:ascii="Times New Roman" w:hAnsi="Times New Roman" w:eastAsia="宋体"/>
                      <w:b w:val="0"/>
                      <w:i w:val="0"/>
                      <w:color w:val="auto"/>
                      <w:sz w:val="18"/>
                    </w:rPr>
                    <w:t>产品名称：</w:t>
                  </w:r>
                </w:p>
              </w:tc>
              <w:tc>
                <w:tcPr>
                  <w:tcW w:w="5818" w:type="dxa"/>
                  <w:vAlign w:val="center"/>
                </w:tcPr>
                <w:p w14:paraId="0FBC716C">
                  <w:pPr>
                    <w:spacing w:before="20" w:after="20" w:line="276" w:lineRule="auto"/>
                    <w:jc w:val="center"/>
                    <w:rPr>
                      <w:color w:val="auto"/>
                    </w:rPr>
                  </w:pPr>
                  <w:r>
                    <w:rPr>
                      <w:rFonts w:ascii="Times New Roman" w:hAnsi="Times New Roman" w:eastAsia="宋体"/>
                      <w:b w:val="0"/>
                      <w:i w:val="0"/>
                      <w:color w:val="auto"/>
                      <w:sz w:val="18"/>
                    </w:rPr>
                    <w:t>【填写】</w:t>
                  </w:r>
                </w:p>
              </w:tc>
            </w:tr>
            <w:tr w14:paraId="4B81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69B6D95">
                  <w:pPr>
                    <w:spacing w:before="20" w:after="20" w:line="276" w:lineRule="auto"/>
                    <w:jc w:val="left"/>
                    <w:rPr>
                      <w:color w:val="auto"/>
                    </w:rPr>
                  </w:pPr>
                  <w:r>
                    <w:rPr>
                      <w:rFonts w:ascii="Times New Roman" w:hAnsi="Times New Roman" w:eastAsia="宋体"/>
                      <w:b w:val="0"/>
                      <w:i w:val="0"/>
                      <w:color w:val="auto"/>
                      <w:sz w:val="18"/>
                    </w:rPr>
                    <w:t>产品型号规格：</w:t>
                  </w:r>
                </w:p>
              </w:tc>
              <w:tc>
                <w:tcPr>
                  <w:tcW w:w="5818" w:type="dxa"/>
                  <w:vAlign w:val="center"/>
                </w:tcPr>
                <w:p w14:paraId="0E32451B">
                  <w:pPr>
                    <w:spacing w:before="20" w:after="20" w:line="276" w:lineRule="auto"/>
                    <w:jc w:val="center"/>
                    <w:rPr>
                      <w:color w:val="auto"/>
                    </w:rPr>
                  </w:pPr>
                  <w:r>
                    <w:rPr>
                      <w:rFonts w:ascii="Times New Roman" w:hAnsi="Times New Roman" w:eastAsia="宋体"/>
                      <w:b w:val="0"/>
                      <w:i w:val="0"/>
                      <w:color w:val="auto"/>
                      <w:sz w:val="18"/>
                    </w:rPr>
                    <w:t>【填写】</w:t>
                  </w:r>
                </w:p>
              </w:tc>
            </w:tr>
            <w:tr w14:paraId="3EBA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08F49B7B">
                  <w:pPr>
                    <w:spacing w:before="20" w:after="20" w:line="276" w:lineRule="auto"/>
                    <w:jc w:val="left"/>
                    <w:rPr>
                      <w:color w:val="auto"/>
                    </w:rPr>
                  </w:pPr>
                  <w:r>
                    <w:rPr>
                      <w:rFonts w:ascii="Times New Roman" w:hAnsi="Times New Roman" w:eastAsia="宋体"/>
                      <w:b w:val="0"/>
                      <w:i w:val="0"/>
                      <w:color w:val="auto"/>
                      <w:sz w:val="18"/>
                    </w:rPr>
                    <w:t>生产者名称：</w:t>
                  </w:r>
                </w:p>
              </w:tc>
              <w:tc>
                <w:tcPr>
                  <w:tcW w:w="5818" w:type="dxa"/>
                  <w:vAlign w:val="center"/>
                </w:tcPr>
                <w:p w14:paraId="1B97AB3D">
                  <w:pPr>
                    <w:spacing w:before="20" w:after="20" w:line="276" w:lineRule="auto"/>
                    <w:jc w:val="center"/>
                    <w:rPr>
                      <w:color w:val="auto"/>
                    </w:rPr>
                  </w:pPr>
                  <w:r>
                    <w:rPr>
                      <w:rFonts w:ascii="Times New Roman" w:hAnsi="Times New Roman" w:eastAsia="宋体"/>
                      <w:b w:val="0"/>
                      <w:i w:val="0"/>
                      <w:color w:val="auto"/>
                      <w:sz w:val="18"/>
                    </w:rPr>
                    <w:t>【填写，与营业执照一致】</w:t>
                  </w:r>
                </w:p>
              </w:tc>
            </w:tr>
            <w:tr w14:paraId="7088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03B9AA4">
                  <w:pPr>
                    <w:spacing w:before="20" w:after="20" w:line="276" w:lineRule="auto"/>
                    <w:jc w:val="left"/>
                    <w:rPr>
                      <w:color w:val="auto"/>
                    </w:rPr>
                  </w:pPr>
                  <w:r>
                    <w:rPr>
                      <w:rFonts w:ascii="Times New Roman" w:hAnsi="Times New Roman" w:eastAsia="宋体"/>
                      <w:b w:val="0"/>
                      <w:i w:val="0"/>
                      <w:color w:val="auto"/>
                      <w:sz w:val="18"/>
                    </w:rPr>
                    <w:t>报告编号：</w:t>
                  </w:r>
                </w:p>
              </w:tc>
              <w:tc>
                <w:tcPr>
                  <w:tcW w:w="5818" w:type="dxa"/>
                  <w:vAlign w:val="center"/>
                </w:tcPr>
                <w:p w14:paraId="625705DD">
                  <w:pPr>
                    <w:spacing w:before="20" w:after="20" w:line="276" w:lineRule="auto"/>
                    <w:jc w:val="center"/>
                    <w:rPr>
                      <w:color w:val="auto"/>
                    </w:rPr>
                  </w:pPr>
                  <w:r>
                    <w:rPr>
                      <w:rFonts w:ascii="Times New Roman" w:hAnsi="Times New Roman" w:eastAsia="宋体"/>
                      <w:b w:val="0"/>
                      <w:i w:val="0"/>
                      <w:color w:val="auto"/>
                      <w:sz w:val="18"/>
                    </w:rPr>
                    <w:t>【填写】</w:t>
                  </w:r>
                </w:p>
              </w:tc>
            </w:tr>
          </w:tbl>
          <w:p w14:paraId="35D6CDC9">
            <w:pPr>
              <w:pStyle w:val="38"/>
              <w:rPr>
                <w:rFonts w:hint="eastAsia"/>
                <w:color w:val="auto"/>
                <w:vertAlign w:val="baseline"/>
                <w:lang w:val="en-US" w:eastAsia="zh-CN"/>
              </w:rPr>
            </w:pPr>
          </w:p>
          <w:p w14:paraId="586F4A22">
            <w:pPr>
              <w:pStyle w:val="38"/>
              <w:rPr>
                <w:rFonts w:hint="eastAsia"/>
                <w:color w:val="auto"/>
                <w:vertAlign w:val="baseline"/>
                <w:lang w:val="en-US" w:eastAsia="zh-CN"/>
              </w:rPr>
            </w:pPr>
          </w:p>
          <w:p w14:paraId="62D53E02">
            <w:pPr>
              <w:pStyle w:val="38"/>
              <w:rPr>
                <w:rFonts w:hint="eastAsia"/>
                <w:color w:val="auto"/>
                <w:vertAlign w:val="baseline"/>
                <w:lang w:val="en-US" w:eastAsia="zh-CN"/>
              </w:rPr>
            </w:pPr>
          </w:p>
          <w:p w14:paraId="61607AFB">
            <w:pPr>
              <w:pStyle w:val="38"/>
              <w:rPr>
                <w:rFonts w:hint="eastAsia"/>
                <w:color w:val="auto"/>
                <w:vertAlign w:val="baseline"/>
                <w:lang w:val="en-US" w:eastAsia="zh-CN"/>
              </w:rPr>
            </w:pPr>
          </w:p>
          <w:p w14:paraId="32F4C32D">
            <w:pPr>
              <w:spacing w:before="0" w:after="40" w:line="336" w:lineRule="auto"/>
              <w:jc w:val="center"/>
              <w:rPr>
                <w:color w:val="auto"/>
              </w:rPr>
            </w:pPr>
            <w:r>
              <w:rPr>
                <w:rFonts w:ascii="Times New Roman" w:hAnsi="Times New Roman" w:eastAsia="宋体"/>
                <w:b w:val="0"/>
                <w:i w:val="0"/>
                <w:color w:val="auto"/>
                <w:sz w:val="24"/>
              </w:rPr>
              <w:t>【评价机构名称】</w:t>
            </w:r>
          </w:p>
          <w:p w14:paraId="00795947">
            <w:pPr>
              <w:spacing w:before="0" w:after="160" w:line="336" w:lineRule="auto"/>
              <w:jc w:val="center"/>
              <w:rPr>
                <w:rFonts w:ascii="Times New Roman" w:hAnsi="Times New Roman" w:eastAsia="宋体"/>
                <w:b w:val="0"/>
                <w:i w:val="0"/>
                <w:color w:val="auto"/>
                <w:sz w:val="24"/>
              </w:rPr>
            </w:pPr>
            <w:r>
              <w:rPr>
                <w:rFonts w:ascii="Times New Roman" w:hAnsi="Times New Roman" w:eastAsia="宋体"/>
                <w:b w:val="0"/>
                <w:i w:val="0"/>
                <w:color w:val="auto"/>
                <w:sz w:val="24"/>
              </w:rPr>
              <w:t>【YYYY】年【MM】月【DD】日</w:t>
            </w:r>
          </w:p>
          <w:p w14:paraId="3E77D31F">
            <w:pPr>
              <w:pStyle w:val="38"/>
              <w:rPr>
                <w:rFonts w:hint="eastAsia"/>
                <w:vertAlign w:val="baseline"/>
                <w:lang w:val="en-US" w:eastAsia="zh-CN"/>
              </w:rPr>
            </w:pPr>
          </w:p>
          <w:p w14:paraId="22E6A30D">
            <w:pPr>
              <w:pStyle w:val="38"/>
              <w:rPr>
                <w:rFonts w:hint="eastAsia"/>
                <w:vertAlign w:val="baseline"/>
                <w:lang w:val="en-US" w:eastAsia="zh-CN"/>
              </w:rPr>
            </w:pPr>
          </w:p>
          <w:p w14:paraId="3477E748">
            <w:pPr>
              <w:pStyle w:val="38"/>
              <w:ind w:left="0" w:leftChars="0" w:firstLine="0" w:firstLineChars="0"/>
              <w:rPr>
                <w:rFonts w:hint="eastAsia"/>
                <w:vertAlign w:val="baseline"/>
                <w:lang w:val="en-US" w:eastAsia="zh-CN"/>
              </w:rPr>
            </w:pPr>
            <w:r>
              <w:rPr>
                <w:rFonts w:hint="eastAsia" w:eastAsia="黑体"/>
                <w:b w:val="0"/>
                <w:i w:val="0"/>
                <w:sz w:val="28"/>
                <w:lang w:val="en-US" w:eastAsia="zh-CN"/>
              </w:rPr>
              <w:t>一、</w:t>
            </w:r>
            <w:r>
              <w:rPr>
                <w:rFonts w:ascii="Times New Roman" w:hAnsi="Times New Roman" w:eastAsia="黑体"/>
                <w:b w:val="0"/>
                <w:i w:val="0"/>
                <w:sz w:val="28"/>
              </w:rPr>
              <w:t>概况</w:t>
            </w:r>
          </w:p>
          <w:p w14:paraId="627C96FA">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1．生产者信息</w:t>
            </w:r>
          </w:p>
          <w:p w14:paraId="69F599C7">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生产</w:t>
            </w:r>
            <w:r>
              <w:rPr>
                <w:rFonts w:hint="eastAsia" w:cs="Times New Roman"/>
                <w:color w:val="auto"/>
                <w:sz w:val="21"/>
                <w:szCs w:val="21"/>
                <w:vertAlign w:val="baseline"/>
                <w:lang w:val="en-US" w:eastAsia="zh-CN"/>
              </w:rPr>
              <w:t>单位</w:t>
            </w:r>
            <w:r>
              <w:rPr>
                <w:rFonts w:hint="default" w:ascii="Times New Roman" w:hAnsi="Times New Roman" w:eastAsia="宋体" w:cs="Times New Roman"/>
                <w:color w:val="auto"/>
                <w:sz w:val="21"/>
                <w:szCs w:val="21"/>
                <w:vertAlign w:val="baseline"/>
                <w:lang w:val="en-US" w:eastAsia="zh-CN"/>
              </w:rPr>
              <w:t>名称：</w:t>
            </w:r>
          </w:p>
          <w:p w14:paraId="69988377">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地址：</w:t>
            </w:r>
          </w:p>
          <w:p w14:paraId="2361DE73">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法定代表人：</w:t>
            </w:r>
          </w:p>
          <w:p w14:paraId="02DA76FC">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授权人（联系人）：</w:t>
            </w:r>
          </w:p>
          <w:p w14:paraId="6602CB74">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联系电话：</w:t>
            </w:r>
          </w:p>
          <w:p w14:paraId="61595F27">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企业概况：</w:t>
            </w:r>
          </w:p>
          <w:p w14:paraId="3A54A449">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eastAsia"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含生产规模</w:t>
            </w:r>
            <w:r>
              <w:rPr>
                <w:rFonts w:hint="eastAsia" w:cs="Times New Roman"/>
                <w:b w:val="0"/>
                <w:i w:val="0"/>
                <w:color w:val="auto"/>
                <w:sz w:val="21"/>
                <w:szCs w:val="21"/>
                <w:u w:val="single"/>
                <w:lang w:eastAsia="zh-CN"/>
              </w:rPr>
              <w:t>（</w:t>
            </w:r>
            <w:r>
              <w:rPr>
                <w:rFonts w:hint="eastAsia" w:cs="Times New Roman"/>
                <w:b w:val="0"/>
                <w:i w:val="0"/>
                <w:color w:val="auto"/>
                <w:sz w:val="21"/>
                <w:szCs w:val="21"/>
                <w:u w:val="single"/>
                <w:lang w:val="en-US" w:eastAsia="zh-CN"/>
              </w:rPr>
              <w:t>棚室数量、面积、轮作批次）</w:t>
            </w:r>
            <w:r>
              <w:rPr>
                <w:rFonts w:hint="default" w:ascii="Times New Roman" w:hAnsi="Times New Roman" w:eastAsia="宋体" w:cs="Times New Roman"/>
                <w:b w:val="0"/>
                <w:i w:val="0"/>
                <w:color w:val="auto"/>
                <w:sz w:val="21"/>
                <w:szCs w:val="21"/>
                <w:u w:val="single"/>
              </w:rPr>
              <w:t>、经营模式</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资质认证、绿色发展基础</w:t>
            </w:r>
            <w:r>
              <w:rPr>
                <w:rFonts w:hint="eastAsia" w:cs="Times New Roman"/>
                <w:b w:val="0"/>
                <w:i w:val="0"/>
                <w:color w:val="auto"/>
                <w:sz w:val="21"/>
                <w:szCs w:val="21"/>
                <w:u w:val="single"/>
                <w:lang w:eastAsia="zh-CN"/>
              </w:rPr>
              <w:t>。</w:t>
            </w:r>
          </w:p>
          <w:p w14:paraId="3800D040">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2．产品信息</w:t>
            </w:r>
          </w:p>
          <w:p w14:paraId="21E7D1B8">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eastAsia="zh-CN"/>
              </w:rPr>
              <w:t>产品名称：</w:t>
            </w:r>
            <w:r>
              <w:rPr>
                <w:rFonts w:hint="eastAsia" w:cs="Times New Roman"/>
                <w:color w:val="auto"/>
                <w:sz w:val="21"/>
                <w:szCs w:val="21"/>
                <w:u w:val="single"/>
                <w:vertAlign w:val="baseline"/>
                <w:lang w:val="en-US" w:eastAsia="zh-CN"/>
              </w:rPr>
              <w:t>食用菊花</w:t>
            </w:r>
          </w:p>
          <w:p w14:paraId="46B67107">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产品介绍：</w:t>
            </w:r>
          </w:p>
          <w:p w14:paraId="683FEB9F">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含产地</w:t>
            </w:r>
            <w:r>
              <w:rPr>
                <w:rFonts w:hint="eastAsia" w:cs="Times New Roman"/>
                <w:b w:val="0"/>
                <w:i w:val="0"/>
                <w:color w:val="auto"/>
                <w:sz w:val="21"/>
                <w:szCs w:val="21"/>
                <w:u w:val="single"/>
                <w:lang w:val="en-US" w:eastAsia="zh-CN"/>
              </w:rPr>
              <w:t>基本信息（包括位置、管理措施、气候条件、土壤条件等）</w:t>
            </w:r>
            <w:r>
              <w:rPr>
                <w:rFonts w:hint="default" w:ascii="Times New Roman" w:hAnsi="Times New Roman" w:eastAsia="宋体" w:cs="Times New Roman"/>
                <w:b w:val="0"/>
                <w:i w:val="0"/>
                <w:color w:val="auto"/>
                <w:sz w:val="21"/>
                <w:szCs w:val="21"/>
                <w:u w:val="single"/>
              </w:rPr>
              <w:t>、</w:t>
            </w:r>
            <w:r>
              <w:rPr>
                <w:rFonts w:hint="eastAsia" w:cs="Times New Roman"/>
                <w:b w:val="0"/>
                <w:i w:val="0"/>
                <w:color w:val="auto"/>
                <w:sz w:val="21"/>
                <w:szCs w:val="21"/>
                <w:u w:val="single"/>
                <w:lang w:val="en-US" w:eastAsia="zh-CN"/>
              </w:rPr>
              <w:t>食用菊花信息（种植面积、单位产量、单果重量、单位产值等）。</w:t>
            </w:r>
          </w:p>
          <w:p w14:paraId="3AA753AC">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图片</w:t>
            </w:r>
            <w:r>
              <w:rPr>
                <w:rFonts w:hint="default" w:ascii="Times New Roman" w:hAnsi="Times New Roman" w:eastAsia="宋体" w:cs="Times New Roman"/>
                <w:color w:val="auto"/>
                <w:sz w:val="21"/>
                <w:szCs w:val="21"/>
                <w:vertAlign w:val="baseline"/>
                <w:lang w:eastAsia="zh-CN"/>
              </w:rPr>
              <w:t>：</w:t>
            </w:r>
          </w:p>
          <w:p w14:paraId="4AC95D85">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种植流程</w:t>
            </w:r>
            <w:r>
              <w:rPr>
                <w:rFonts w:hint="default" w:ascii="Times New Roman" w:hAnsi="Times New Roman" w:eastAsia="宋体" w:cs="Times New Roman"/>
                <w:color w:val="auto"/>
                <w:sz w:val="21"/>
                <w:szCs w:val="21"/>
                <w:vertAlign w:val="baseline"/>
                <w:lang w:eastAsia="zh-CN"/>
              </w:rPr>
              <w:t>：</w:t>
            </w:r>
            <w:r>
              <w:rPr>
                <w:rFonts w:hint="default" w:ascii="Times New Roman" w:hAnsi="Times New Roman" w:eastAsia="宋体" w:cs="Times New Roman"/>
                <w:color w:val="auto"/>
                <w:sz w:val="21"/>
                <w:szCs w:val="21"/>
                <w:u w:val="single"/>
                <w:vertAlign w:val="baseline"/>
                <w:lang w:eastAsia="zh-CN"/>
              </w:rPr>
              <w:t>宜给出从母本</w:t>
            </w:r>
            <w:r>
              <w:rPr>
                <w:rFonts w:hint="eastAsia" w:cs="Times New Roman"/>
                <w:color w:val="auto"/>
                <w:sz w:val="21"/>
                <w:szCs w:val="21"/>
                <w:u w:val="single"/>
                <w:vertAlign w:val="baseline"/>
                <w:lang w:val="en-US" w:eastAsia="zh-CN"/>
              </w:rPr>
              <w:t>插穗育苗</w:t>
            </w:r>
            <w:r>
              <w:rPr>
                <w:rFonts w:hint="default" w:ascii="Times New Roman" w:hAnsi="Times New Roman" w:eastAsia="宋体" w:cs="Times New Roman"/>
                <w:color w:val="auto"/>
                <w:sz w:val="21"/>
                <w:szCs w:val="21"/>
                <w:u w:val="single"/>
                <w:vertAlign w:val="baseline"/>
                <w:lang w:eastAsia="zh-CN"/>
              </w:rPr>
              <w:t>—</w:t>
            </w:r>
            <w:r>
              <w:rPr>
                <w:rFonts w:hint="eastAsia" w:cs="Times New Roman"/>
                <w:color w:val="auto"/>
                <w:sz w:val="21"/>
                <w:szCs w:val="21"/>
                <w:u w:val="single"/>
                <w:vertAlign w:val="baseline"/>
                <w:lang w:val="en-US" w:eastAsia="zh-CN"/>
              </w:rPr>
              <w:t>种苗</w:t>
            </w:r>
            <w:r>
              <w:rPr>
                <w:rFonts w:hint="default" w:ascii="Times New Roman" w:hAnsi="Times New Roman" w:eastAsia="宋体" w:cs="Times New Roman"/>
                <w:color w:val="auto"/>
                <w:sz w:val="21"/>
                <w:szCs w:val="21"/>
                <w:u w:val="single"/>
                <w:vertAlign w:val="baseline"/>
                <w:lang w:eastAsia="zh-CN"/>
              </w:rPr>
              <w:t>生根繁育—扦插</w:t>
            </w:r>
            <w:r>
              <w:rPr>
                <w:rFonts w:hint="eastAsia" w:cs="Times New Roman"/>
                <w:color w:val="auto"/>
                <w:sz w:val="21"/>
                <w:szCs w:val="21"/>
                <w:u w:val="single"/>
                <w:vertAlign w:val="baseline"/>
                <w:lang w:val="en-US" w:eastAsia="zh-CN"/>
              </w:rPr>
              <w:t>苗扦插</w:t>
            </w:r>
            <w:r>
              <w:rPr>
                <w:rFonts w:hint="default" w:ascii="Times New Roman" w:hAnsi="Times New Roman" w:eastAsia="宋体" w:cs="Times New Roman"/>
                <w:color w:val="auto"/>
                <w:sz w:val="21"/>
                <w:szCs w:val="21"/>
                <w:u w:val="single"/>
                <w:vertAlign w:val="baseline"/>
                <w:lang w:eastAsia="zh-CN"/>
              </w:rPr>
              <w:t>定植—种植管护与花期调控—人工采收—预冷储存—包装—装箱出厂的流程图；种苗</w:t>
            </w:r>
            <w:r>
              <w:rPr>
                <w:rFonts w:hint="eastAsia" w:cs="Times New Roman"/>
                <w:color w:val="auto"/>
                <w:sz w:val="21"/>
                <w:szCs w:val="21"/>
                <w:u w:val="single"/>
                <w:vertAlign w:val="baseline"/>
                <w:lang w:val="en-US" w:eastAsia="zh-CN"/>
              </w:rPr>
              <w:t>外购</w:t>
            </w:r>
            <w:r>
              <w:rPr>
                <w:rFonts w:hint="default" w:ascii="Times New Roman" w:hAnsi="Times New Roman" w:eastAsia="宋体" w:cs="Times New Roman"/>
                <w:color w:val="auto"/>
                <w:sz w:val="21"/>
                <w:szCs w:val="21"/>
                <w:u w:val="single"/>
                <w:vertAlign w:val="baseline"/>
                <w:lang w:eastAsia="zh-CN"/>
              </w:rPr>
              <w:t>的，从扦插苗</w:t>
            </w:r>
            <w:r>
              <w:rPr>
                <w:rFonts w:hint="eastAsia" w:cs="Times New Roman"/>
                <w:color w:val="auto"/>
                <w:sz w:val="21"/>
                <w:szCs w:val="21"/>
                <w:u w:val="single"/>
                <w:vertAlign w:val="baseline"/>
                <w:lang w:val="en-US" w:eastAsia="zh-CN"/>
              </w:rPr>
              <w:t>扦插</w:t>
            </w:r>
            <w:r>
              <w:rPr>
                <w:rFonts w:hint="default" w:ascii="Times New Roman" w:hAnsi="Times New Roman" w:eastAsia="宋体" w:cs="Times New Roman"/>
                <w:color w:val="auto"/>
                <w:sz w:val="21"/>
                <w:szCs w:val="21"/>
                <w:u w:val="single"/>
                <w:vertAlign w:val="baseline"/>
                <w:lang w:eastAsia="zh-CN"/>
              </w:rPr>
              <w:t>定植环节起算。</w:t>
            </w:r>
          </w:p>
          <w:p w14:paraId="32F7DBB0">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3．量化方法</w:t>
            </w:r>
          </w:p>
          <w:p w14:paraId="203704E9">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1）</w:t>
            </w:r>
            <w:r>
              <w:rPr>
                <w:rFonts w:hint="default" w:ascii="Times New Roman" w:hAnsi="Times New Roman" w:eastAsia="宋体" w:cs="Times New Roman"/>
                <w:color w:val="auto"/>
                <w:sz w:val="21"/>
                <w:szCs w:val="21"/>
                <w:u w:val="single"/>
                <w:vertAlign w:val="baseline"/>
                <w:lang w:eastAsia="zh-CN"/>
              </w:rPr>
              <w:t>《ISO 14067：2018</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温室气体</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产品碳足迹</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量化要求及指南》；</w:t>
            </w:r>
          </w:p>
          <w:p w14:paraId="26EAE949">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2）</w:t>
            </w:r>
            <w:r>
              <w:rPr>
                <w:rFonts w:hint="default" w:ascii="Times New Roman" w:hAnsi="Times New Roman" w:eastAsia="宋体" w:cs="Times New Roman"/>
                <w:color w:val="auto"/>
                <w:sz w:val="21"/>
                <w:szCs w:val="21"/>
                <w:u w:val="single"/>
                <w:vertAlign w:val="baseline"/>
                <w:lang w:eastAsia="zh-CN"/>
              </w:rPr>
              <w:t>《PAS 2050</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2011：商品和服务的生命周期温室气体排放评价规范》；</w:t>
            </w:r>
          </w:p>
          <w:p w14:paraId="1CFA09C5">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3）</w:t>
            </w:r>
            <w:r>
              <w:rPr>
                <w:rFonts w:hint="default" w:ascii="Times New Roman" w:hAnsi="Times New Roman" w:eastAsia="宋体" w:cs="Times New Roman"/>
                <w:color w:val="auto"/>
                <w:sz w:val="21"/>
                <w:szCs w:val="21"/>
                <w:u w:val="single"/>
                <w:vertAlign w:val="baseline"/>
                <w:lang w:eastAsia="zh-CN"/>
              </w:rPr>
              <w:t>《GB/T 24067</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2024：温室气体 产品碳足迹 量化要求和指南》；</w:t>
            </w:r>
          </w:p>
          <w:p w14:paraId="12673A0C">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b w:val="0"/>
                <w:i w:val="0"/>
                <w:color w:val="auto"/>
                <w:sz w:val="21"/>
                <w:szCs w:val="21"/>
                <w:u w:val="single"/>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4）</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24040—2008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原则与框架》；</w:t>
            </w:r>
          </w:p>
          <w:p w14:paraId="55FFB811">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5）</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24044—2008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要求与指南》</w:t>
            </w:r>
            <w:r>
              <w:rPr>
                <w:rFonts w:hint="default" w:ascii="Times New Roman" w:hAnsi="Times New Roman" w:eastAsia="宋体" w:cs="Times New Roman"/>
                <w:b w:val="0"/>
                <w:i w:val="0"/>
                <w:color w:val="auto"/>
                <w:sz w:val="21"/>
                <w:szCs w:val="21"/>
                <w:u w:val="single"/>
                <w:lang w:eastAsia="zh-CN"/>
              </w:rPr>
              <w:t>。</w:t>
            </w:r>
          </w:p>
          <w:p w14:paraId="72B1FD7D">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二、量化目的</w:t>
            </w:r>
          </w:p>
          <w:p w14:paraId="05EC7075">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u w:val="single"/>
                <w:vertAlign w:val="baseline"/>
                <w:lang w:eastAsia="zh-CN"/>
              </w:rPr>
              <w:t>明确评价用途、覆盖阶段（原材料获取与投入阶段、生产阶段）与预期成果。</w:t>
            </w:r>
          </w:p>
          <w:p w14:paraId="010CA5D7">
            <w:pPr>
              <w:pStyle w:val="38"/>
              <w:ind w:left="0" w:leftChars="0" w:firstLine="0" w:firstLineChars="0"/>
              <w:rPr>
                <w:rFonts w:hint="default" w:ascii="Times New Roman" w:hAnsi="Times New Roman" w:eastAsia="黑体"/>
                <w:b w:val="0"/>
                <w:i w:val="0"/>
                <w:sz w:val="28"/>
                <w:lang w:val="en-US" w:eastAsia="zh-CN"/>
              </w:rPr>
            </w:pPr>
            <w:r>
              <w:rPr>
                <w:rFonts w:hint="eastAsia" w:ascii="Times New Roman" w:hAnsi="Times New Roman" w:eastAsia="黑体"/>
                <w:b w:val="0"/>
                <w:i w:val="0"/>
                <w:sz w:val="28"/>
                <w:lang w:val="en-US" w:eastAsia="zh-CN"/>
              </w:rPr>
              <w:t>三</w:t>
            </w:r>
            <w:r>
              <w:rPr>
                <w:rFonts w:hint="eastAsia" w:ascii="Times New Roman" w:hAnsi="Times New Roman" w:eastAsia="黑体"/>
                <w:b w:val="0"/>
                <w:i w:val="0"/>
                <w:sz w:val="28"/>
                <w:lang w:eastAsia="zh-CN"/>
              </w:rPr>
              <w:t>、量化</w:t>
            </w:r>
            <w:r>
              <w:rPr>
                <w:rFonts w:hint="eastAsia" w:ascii="Times New Roman" w:hAnsi="Times New Roman" w:eastAsia="黑体"/>
                <w:b w:val="0"/>
                <w:i w:val="0"/>
                <w:sz w:val="28"/>
                <w:lang w:val="en-US" w:eastAsia="zh-CN"/>
              </w:rPr>
              <w:t>范围</w:t>
            </w:r>
          </w:p>
          <w:p w14:paraId="60CE65F0">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1．功能单位</w:t>
            </w:r>
          </w:p>
          <w:p w14:paraId="29E18531">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default"/>
                <w:color w:val="auto"/>
                <w:sz w:val="21"/>
                <w:szCs w:val="21"/>
                <w:vertAlign w:val="baseline"/>
                <w:lang w:val="en-US" w:eastAsia="zh-CN"/>
              </w:rPr>
            </w:pPr>
            <w:r>
              <w:rPr>
                <w:rFonts w:hint="eastAsia"/>
                <w:color w:val="auto"/>
                <w:sz w:val="21"/>
                <w:szCs w:val="21"/>
                <w:u w:val="single"/>
                <w:vertAlign w:val="baseline"/>
                <w:lang w:val="en-US" w:eastAsia="zh-CN"/>
              </w:rPr>
              <w:t>食用菊花碳足迹核算的功能单位，为“1kg 食用菊花鲜花”。同时披露平均单朵质量（g/朵）及按“1朵”折算的碳足迹参考值。</w:t>
            </w:r>
          </w:p>
          <w:p w14:paraId="444E425B">
            <w:pPr>
              <w:pStyle w:val="38"/>
              <w:keepNext w:val="0"/>
              <w:keepLines w:val="0"/>
              <w:pageBreakBefore w:val="0"/>
              <w:widowControl/>
              <w:numPr>
                <w:ilvl w:val="0"/>
                <w:numId w:val="38"/>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系统边界</w:t>
            </w:r>
          </w:p>
          <w:p w14:paraId="46C91397">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color w:val="auto"/>
                <w:sz w:val="21"/>
                <w:szCs w:val="21"/>
                <w:u w:val="single"/>
                <w:vertAlign w:val="baseline"/>
                <w:lang w:val="en-US" w:eastAsia="zh-CN"/>
              </w:rPr>
              <w:t>碳足迹核算的系统边界描述，按</w:t>
            </w:r>
            <w:r>
              <w:rPr>
                <w:rFonts w:hint="eastAsia" w:cs="Times New Roman"/>
                <w:color w:val="auto"/>
                <w:sz w:val="21"/>
                <w:szCs w:val="21"/>
                <w:u w:val="single"/>
                <w:vertAlign w:val="baseline"/>
                <w:lang w:val="en-US" w:eastAsia="zh-CN"/>
              </w:rPr>
              <w:t>“</w:t>
            </w:r>
            <w:r>
              <w:rPr>
                <w:rFonts w:hint="default" w:ascii="Times New Roman" w:hAnsi="Times New Roman" w:eastAsia="宋体" w:cs="Times New Roman"/>
                <w:color w:val="auto"/>
                <w:sz w:val="21"/>
                <w:szCs w:val="21"/>
                <w:u w:val="single"/>
                <w:vertAlign w:val="baseline"/>
                <w:lang w:val="en-US" w:eastAsia="zh-CN"/>
              </w:rPr>
              <w:t>原材料获取与投入阶段”与“生产阶段（种植阶段、包装阶段）</w:t>
            </w:r>
            <w:r>
              <w:rPr>
                <w:rFonts w:hint="eastAsia" w:cs="Times New Roman"/>
                <w:color w:val="auto"/>
                <w:sz w:val="21"/>
                <w:szCs w:val="21"/>
                <w:u w:val="single"/>
                <w:vertAlign w:val="baseline"/>
                <w:lang w:val="en-US" w:eastAsia="zh-CN"/>
              </w:rPr>
              <w:t>”</w:t>
            </w:r>
            <w:r>
              <w:rPr>
                <w:rFonts w:hint="default" w:ascii="Times New Roman" w:hAnsi="Times New Roman" w:eastAsia="宋体" w:cs="Times New Roman"/>
                <w:color w:val="auto"/>
                <w:sz w:val="21"/>
                <w:szCs w:val="21"/>
                <w:u w:val="single"/>
                <w:vertAlign w:val="baseline"/>
                <w:lang w:val="en-US" w:eastAsia="zh-CN"/>
              </w:rPr>
              <w:t>分别说明。</w:t>
            </w:r>
          </w:p>
          <w:p w14:paraId="033D6942">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3．取舍原则</w:t>
            </w:r>
          </w:p>
          <w:p w14:paraId="59EA9A5D">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ascii="Times New Roman" w:hAnsi="Times New Roman" w:eastAsia="宋体"/>
                <w:b w:val="0"/>
                <w:i w:val="0"/>
                <w:color w:val="auto"/>
                <w:sz w:val="21"/>
                <w:szCs w:val="21"/>
                <w:u w:val="single"/>
              </w:rPr>
              <w:t>采用的取舍准则以 GB/T 24067—2024《温室气体 产品碳足迹 量化要求和指南》为依据。即可舍弃产品碳足迹影响小于 1% 的环节，但舍弃环节总的影响不应超过产品碳足迹总量的 5%。</w:t>
            </w:r>
          </w:p>
          <w:p w14:paraId="01943251">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4．时间边界与分配原则</w:t>
            </w:r>
          </w:p>
          <w:p w14:paraId="1B17A85E">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hint="eastAsia" w:ascii="Times New Roman" w:hAnsi="Times New Roman" w:eastAsia="宋体"/>
                <w:b w:val="0"/>
                <w:i w:val="0"/>
                <w:color w:val="auto"/>
                <w:sz w:val="21"/>
                <w:szCs w:val="21"/>
                <w:u w:val="single"/>
              </w:rPr>
              <w:t>说明核算周期（</w:t>
            </w:r>
            <w:r>
              <w:rPr>
                <w:rFonts w:hint="eastAsia" w:ascii="Times New Roman" w:hAnsi="Times New Roman"/>
                <w:b w:val="0"/>
                <w:i w:val="0"/>
                <w:color w:val="auto"/>
                <w:sz w:val="21"/>
                <w:szCs w:val="21"/>
                <w:u w:val="single"/>
                <w:lang w:val="en-US" w:eastAsia="zh-CN"/>
              </w:rPr>
              <w:t>宜为12个连续自然月</w:t>
            </w:r>
            <w:r>
              <w:rPr>
                <w:rFonts w:hint="eastAsia" w:ascii="Times New Roman" w:hAnsi="Times New Roman" w:eastAsia="宋体"/>
                <w:b w:val="0"/>
                <w:i w:val="0"/>
                <w:color w:val="auto"/>
                <w:sz w:val="21"/>
                <w:szCs w:val="21"/>
                <w:u w:val="single"/>
              </w:rPr>
              <w:t>）、周期内的</w:t>
            </w:r>
            <w:r>
              <w:rPr>
                <w:rFonts w:hint="eastAsia" w:ascii="Times New Roman" w:hAnsi="Times New Roman"/>
                <w:b w:val="0"/>
                <w:i w:val="0"/>
                <w:color w:val="auto"/>
                <w:sz w:val="21"/>
                <w:szCs w:val="21"/>
                <w:u w:val="single"/>
                <w:lang w:val="en-US" w:eastAsia="zh-CN"/>
              </w:rPr>
              <w:t>育苗与出花情况</w:t>
            </w:r>
            <w:r>
              <w:rPr>
                <w:rFonts w:hint="eastAsia" w:ascii="Times New Roman" w:hAnsi="Times New Roman" w:eastAsia="宋体"/>
                <w:b w:val="0"/>
                <w:i w:val="0"/>
                <w:color w:val="auto"/>
                <w:sz w:val="21"/>
                <w:szCs w:val="21"/>
                <w:u w:val="single"/>
              </w:rPr>
              <w:t>，以及按年度归集的分配方法与依据（含副产品与废弃物的处理）。</w:t>
            </w:r>
          </w:p>
          <w:p w14:paraId="40B56B86">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四、清单分析</w:t>
            </w:r>
          </w:p>
          <w:p w14:paraId="0763B993">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1．数据来源说明</w:t>
            </w:r>
          </w:p>
          <w:p w14:paraId="35F9E2E6">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1.1　初级数据</w:t>
            </w:r>
          </w:p>
          <w:p w14:paraId="1160826D">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b w:val="0"/>
                <w:i w:val="0"/>
                <w:sz w:val="21"/>
                <w:u w:val="single"/>
                <w:lang w:eastAsia="zh-CN"/>
              </w:rPr>
            </w:pPr>
            <w:r>
              <w:rPr>
                <w:rFonts w:ascii="Times New Roman" w:hAnsi="Times New Roman" w:eastAsia="宋体"/>
                <w:b w:val="0"/>
                <w:i w:val="0"/>
                <w:sz w:val="21"/>
                <w:u w:val="single"/>
              </w:rPr>
              <w:t>产品生命周期各阶段的活动数据</w:t>
            </w:r>
            <w:r>
              <w:rPr>
                <w:rFonts w:hint="eastAsia"/>
                <w:b w:val="0"/>
                <w:i w:val="0"/>
                <w:sz w:val="21"/>
                <w:u w:val="single"/>
                <w:lang w:eastAsia="zh-CN"/>
              </w:rPr>
              <w:t>。</w:t>
            </w:r>
          </w:p>
          <w:p w14:paraId="1FDC92BE">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（1）原材料获取与投入阶段</w:t>
            </w:r>
          </w:p>
          <w:p w14:paraId="56E5ABA3">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1</w:t>
            </w:r>
            <w:r>
              <w:rPr>
                <w:rFonts w:ascii="Times New Roman" w:hAnsi="Times New Roman" w:eastAsia="黑体"/>
                <w:b w:val="0"/>
                <w:i w:val="0"/>
                <w:sz w:val="21"/>
              </w:rPr>
              <w:t xml:space="preserve">  农业投入品</w:t>
            </w:r>
            <w:r>
              <w:rPr>
                <w:rFonts w:hint="eastAsia" w:ascii="Times New Roman" w:hAnsi="Times New Roman" w:eastAsia="黑体"/>
                <w:b w:val="0"/>
                <w:i w:val="0"/>
                <w:sz w:val="21"/>
                <w:lang w:val="en-US" w:eastAsia="zh-CN"/>
              </w:rPr>
              <w:t>与包装材料</w:t>
            </w:r>
            <w:r>
              <w:rPr>
                <w:rFonts w:ascii="Times New Roman" w:hAnsi="Times New Roman" w:eastAsia="黑体"/>
                <w:b w:val="0"/>
                <w:i w:val="0"/>
                <w:sz w:val="21"/>
              </w:rPr>
              <w:t>生产与运输清单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62"/>
              <w:gridCol w:w="1330"/>
              <w:gridCol w:w="665"/>
              <w:gridCol w:w="997"/>
              <w:gridCol w:w="1164"/>
              <w:gridCol w:w="1496"/>
            </w:tblGrid>
            <w:tr w14:paraId="2707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shd w:val="clear" w:color="auto" w:fill="D9D9D9"/>
                  <w:vAlign w:val="center"/>
                </w:tcPr>
                <w:p w14:paraId="63E1FC8F">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1F0C92FF">
                  <w:pPr>
                    <w:spacing w:before="20" w:after="20" w:line="276" w:lineRule="auto"/>
                    <w:jc w:val="center"/>
                  </w:pPr>
                  <w:r>
                    <w:rPr>
                      <w:rFonts w:ascii="Times New Roman" w:hAnsi="Times New Roman" w:eastAsia="宋体"/>
                      <w:b/>
                      <w:i w:val="0"/>
                      <w:sz w:val="18"/>
                    </w:rPr>
                    <w:t>构成/规格</w:t>
                  </w:r>
                </w:p>
              </w:tc>
              <w:tc>
                <w:tcPr>
                  <w:tcW w:w="1330" w:type="dxa"/>
                  <w:shd w:val="clear" w:color="auto" w:fill="D9D9D9"/>
                  <w:vAlign w:val="center"/>
                </w:tcPr>
                <w:p w14:paraId="61DB1B83">
                  <w:pPr>
                    <w:spacing w:before="20" w:after="20" w:line="276" w:lineRule="auto"/>
                    <w:jc w:val="center"/>
                  </w:pPr>
                  <w:r>
                    <w:rPr>
                      <w:rFonts w:ascii="Times New Roman" w:hAnsi="Times New Roman" w:eastAsia="宋体"/>
                      <w:b/>
                      <w:i w:val="0"/>
                      <w:sz w:val="18"/>
                    </w:rPr>
                    <w:t>每功能单位使用量</w:t>
                  </w:r>
                </w:p>
              </w:tc>
              <w:tc>
                <w:tcPr>
                  <w:tcW w:w="665" w:type="dxa"/>
                  <w:shd w:val="clear" w:color="auto" w:fill="D9D9D9"/>
                  <w:vAlign w:val="center"/>
                </w:tcPr>
                <w:p w14:paraId="03B0F47E">
                  <w:pPr>
                    <w:spacing w:before="20" w:after="20" w:line="276" w:lineRule="auto"/>
                    <w:jc w:val="center"/>
                  </w:pPr>
                  <w:r>
                    <w:rPr>
                      <w:rFonts w:ascii="Times New Roman" w:hAnsi="Times New Roman" w:eastAsia="宋体"/>
                      <w:b/>
                      <w:i w:val="0"/>
                      <w:sz w:val="18"/>
                    </w:rPr>
                    <w:t>单位</w:t>
                  </w:r>
                </w:p>
              </w:tc>
              <w:tc>
                <w:tcPr>
                  <w:tcW w:w="997" w:type="dxa"/>
                  <w:shd w:val="clear" w:color="auto" w:fill="D9D9D9"/>
                  <w:vAlign w:val="center"/>
                </w:tcPr>
                <w:p w14:paraId="28B8E752">
                  <w:pPr>
                    <w:spacing w:before="20" w:after="20" w:line="276" w:lineRule="auto"/>
                    <w:jc w:val="center"/>
                  </w:pPr>
                  <w:r>
                    <w:rPr>
                      <w:rFonts w:ascii="Times New Roman" w:hAnsi="Times New Roman" w:eastAsia="宋体"/>
                      <w:b/>
                      <w:i w:val="0"/>
                      <w:sz w:val="18"/>
                    </w:rPr>
                    <w:t>运输方式</w:t>
                  </w:r>
                </w:p>
              </w:tc>
              <w:tc>
                <w:tcPr>
                  <w:tcW w:w="1164" w:type="dxa"/>
                  <w:shd w:val="clear" w:color="auto" w:fill="D9D9D9"/>
                  <w:vAlign w:val="center"/>
                </w:tcPr>
                <w:p w14:paraId="325B48F3">
                  <w:pPr>
                    <w:spacing w:before="20" w:after="20" w:line="276" w:lineRule="auto"/>
                    <w:jc w:val="center"/>
                  </w:pPr>
                  <w:r>
                    <w:rPr>
                      <w:rFonts w:ascii="Times New Roman" w:hAnsi="Times New Roman" w:eastAsia="宋体"/>
                      <w:b/>
                      <w:i w:val="0"/>
                      <w:sz w:val="18"/>
                    </w:rPr>
                    <w:t>运输距离（km）</w:t>
                  </w:r>
                </w:p>
              </w:tc>
              <w:tc>
                <w:tcPr>
                  <w:tcW w:w="1496" w:type="dxa"/>
                  <w:shd w:val="clear" w:color="auto" w:fill="D9D9D9"/>
                  <w:vAlign w:val="center"/>
                </w:tcPr>
                <w:p w14:paraId="0DD24D2C">
                  <w:pPr>
                    <w:spacing w:before="20" w:after="20" w:line="276" w:lineRule="auto"/>
                    <w:jc w:val="center"/>
                  </w:pPr>
                  <w:r>
                    <w:rPr>
                      <w:rFonts w:ascii="Times New Roman" w:hAnsi="Times New Roman" w:eastAsia="宋体"/>
                      <w:b/>
                      <w:i w:val="0"/>
                      <w:sz w:val="18"/>
                    </w:rPr>
                    <w:t>数据来源</w:t>
                  </w:r>
                </w:p>
              </w:tc>
            </w:tr>
            <w:tr w14:paraId="5B3C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7C9D2663">
                  <w:pPr>
                    <w:spacing w:before="20" w:after="20" w:line="276" w:lineRule="auto"/>
                    <w:jc w:val="left"/>
                  </w:pPr>
                </w:p>
              </w:tc>
              <w:tc>
                <w:tcPr>
                  <w:tcW w:w="1662" w:type="dxa"/>
                  <w:vAlign w:val="center"/>
                </w:tcPr>
                <w:p w14:paraId="408D3AD4">
                  <w:pPr>
                    <w:spacing w:before="20" w:after="20" w:line="276" w:lineRule="auto"/>
                    <w:jc w:val="center"/>
                  </w:pPr>
                </w:p>
              </w:tc>
              <w:tc>
                <w:tcPr>
                  <w:tcW w:w="1330" w:type="dxa"/>
                  <w:vAlign w:val="center"/>
                </w:tcPr>
                <w:p w14:paraId="3D8FA92F">
                  <w:pPr>
                    <w:spacing w:before="20" w:after="20" w:line="276" w:lineRule="auto"/>
                    <w:jc w:val="center"/>
                  </w:pPr>
                </w:p>
              </w:tc>
              <w:tc>
                <w:tcPr>
                  <w:tcW w:w="665" w:type="dxa"/>
                  <w:vAlign w:val="center"/>
                </w:tcPr>
                <w:p w14:paraId="4FFCE55D">
                  <w:pPr>
                    <w:spacing w:before="20" w:after="20" w:line="276" w:lineRule="auto"/>
                    <w:jc w:val="center"/>
                  </w:pPr>
                </w:p>
              </w:tc>
              <w:tc>
                <w:tcPr>
                  <w:tcW w:w="997" w:type="dxa"/>
                  <w:vAlign w:val="center"/>
                </w:tcPr>
                <w:p w14:paraId="3051DA20">
                  <w:pPr>
                    <w:spacing w:before="20" w:after="20" w:line="276" w:lineRule="auto"/>
                    <w:jc w:val="center"/>
                  </w:pPr>
                </w:p>
              </w:tc>
              <w:tc>
                <w:tcPr>
                  <w:tcW w:w="1164" w:type="dxa"/>
                  <w:vAlign w:val="center"/>
                </w:tcPr>
                <w:p w14:paraId="5A98B68C">
                  <w:pPr>
                    <w:spacing w:before="20" w:after="20" w:line="276" w:lineRule="auto"/>
                    <w:jc w:val="center"/>
                  </w:pPr>
                </w:p>
              </w:tc>
              <w:tc>
                <w:tcPr>
                  <w:tcW w:w="1496" w:type="dxa"/>
                  <w:vAlign w:val="center"/>
                </w:tcPr>
                <w:p w14:paraId="27B00936">
                  <w:pPr>
                    <w:spacing w:before="20" w:after="20" w:line="276" w:lineRule="auto"/>
                    <w:jc w:val="center"/>
                  </w:pPr>
                </w:p>
              </w:tc>
            </w:tr>
            <w:tr w14:paraId="7F8C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169A8F67">
                  <w:pPr>
                    <w:spacing w:before="20" w:after="20" w:line="276" w:lineRule="auto"/>
                    <w:jc w:val="left"/>
                  </w:pPr>
                </w:p>
              </w:tc>
              <w:tc>
                <w:tcPr>
                  <w:tcW w:w="1662" w:type="dxa"/>
                  <w:vAlign w:val="center"/>
                </w:tcPr>
                <w:p w14:paraId="363093ED">
                  <w:pPr>
                    <w:spacing w:before="20" w:after="20" w:line="276" w:lineRule="auto"/>
                    <w:jc w:val="center"/>
                  </w:pPr>
                </w:p>
              </w:tc>
              <w:tc>
                <w:tcPr>
                  <w:tcW w:w="1330" w:type="dxa"/>
                  <w:vAlign w:val="center"/>
                </w:tcPr>
                <w:p w14:paraId="03400465">
                  <w:pPr>
                    <w:spacing w:before="20" w:after="20" w:line="276" w:lineRule="auto"/>
                    <w:jc w:val="center"/>
                  </w:pPr>
                </w:p>
              </w:tc>
              <w:tc>
                <w:tcPr>
                  <w:tcW w:w="665" w:type="dxa"/>
                  <w:vAlign w:val="center"/>
                </w:tcPr>
                <w:p w14:paraId="10EB7C2A">
                  <w:pPr>
                    <w:spacing w:before="20" w:after="20" w:line="276" w:lineRule="auto"/>
                    <w:jc w:val="center"/>
                  </w:pPr>
                </w:p>
              </w:tc>
              <w:tc>
                <w:tcPr>
                  <w:tcW w:w="997" w:type="dxa"/>
                  <w:vAlign w:val="center"/>
                </w:tcPr>
                <w:p w14:paraId="63618609">
                  <w:pPr>
                    <w:spacing w:before="20" w:after="20" w:line="276" w:lineRule="auto"/>
                    <w:jc w:val="center"/>
                  </w:pPr>
                </w:p>
              </w:tc>
              <w:tc>
                <w:tcPr>
                  <w:tcW w:w="1164" w:type="dxa"/>
                  <w:vAlign w:val="center"/>
                </w:tcPr>
                <w:p w14:paraId="23F42E8F">
                  <w:pPr>
                    <w:spacing w:before="20" w:after="20" w:line="276" w:lineRule="auto"/>
                    <w:jc w:val="center"/>
                  </w:pPr>
                </w:p>
              </w:tc>
              <w:tc>
                <w:tcPr>
                  <w:tcW w:w="1496" w:type="dxa"/>
                  <w:vAlign w:val="center"/>
                </w:tcPr>
                <w:p w14:paraId="0BC0734B">
                  <w:pPr>
                    <w:spacing w:before="20" w:after="20" w:line="276" w:lineRule="auto"/>
                    <w:jc w:val="center"/>
                  </w:pPr>
                </w:p>
              </w:tc>
            </w:tr>
          </w:tbl>
          <w:p w14:paraId="65296141">
            <w:pPr>
              <w:spacing w:before="120" w:after="40" w:line="288" w:lineRule="auto"/>
              <w:jc w:val="center"/>
              <w:rPr>
                <w:rFonts w:ascii="Times New Roman" w:hAnsi="Times New Roman" w:eastAsia="黑体"/>
                <w:b w:val="0"/>
                <w:i w:val="0"/>
                <w:sz w:val="21"/>
              </w:rPr>
            </w:pPr>
          </w:p>
          <w:p w14:paraId="4066EEA7">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w:t>
            </w:r>
            <w:r>
              <w:rPr>
                <w:rFonts w:hint="eastAsia"/>
                <w:vertAlign w:val="baseline"/>
                <w:lang w:val="en-US" w:eastAsia="zh-CN"/>
              </w:rPr>
              <w:t>2</w:t>
            </w:r>
            <w:r>
              <w:rPr>
                <w:rFonts w:hint="eastAsia"/>
                <w:vertAlign w:val="baseline"/>
                <w:lang w:eastAsia="zh-CN"/>
              </w:rPr>
              <w:t>）</w:t>
            </w:r>
            <w:r>
              <w:rPr>
                <w:rFonts w:hint="eastAsia"/>
                <w:vertAlign w:val="baseline"/>
                <w:lang w:val="en-US" w:eastAsia="zh-CN"/>
              </w:rPr>
              <w:t>种植</w:t>
            </w:r>
            <w:r>
              <w:rPr>
                <w:rFonts w:hint="eastAsia"/>
                <w:vertAlign w:val="baseline"/>
                <w:lang w:eastAsia="zh-CN"/>
              </w:rPr>
              <w:t>阶段</w:t>
            </w:r>
          </w:p>
          <w:p w14:paraId="78FB8FA5">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2</w:t>
            </w:r>
            <w:r>
              <w:rPr>
                <w:rFonts w:ascii="Times New Roman" w:hAnsi="Times New Roman" w:eastAsia="黑体"/>
                <w:b w:val="0"/>
                <w:i w:val="0"/>
                <w:sz w:val="21"/>
              </w:rPr>
              <w:t xml:space="preserve">  种植过程能源消耗清单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1"/>
              <w:gridCol w:w="1995"/>
              <w:gridCol w:w="1164"/>
              <w:gridCol w:w="2992"/>
            </w:tblGrid>
            <w:tr w14:paraId="01ED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shd w:val="clear" w:color="auto" w:fill="D9D9D9"/>
                  <w:vAlign w:val="center"/>
                </w:tcPr>
                <w:p w14:paraId="1D2092FC">
                  <w:pPr>
                    <w:spacing w:before="20" w:after="20" w:line="276" w:lineRule="auto"/>
                    <w:jc w:val="center"/>
                  </w:pPr>
                  <w:r>
                    <w:rPr>
                      <w:rFonts w:ascii="Times New Roman" w:hAnsi="Times New Roman" w:eastAsia="宋体"/>
                      <w:b/>
                      <w:i w:val="0"/>
                      <w:sz w:val="18"/>
                    </w:rPr>
                    <w:t>能源种类</w:t>
                  </w:r>
                </w:p>
              </w:tc>
              <w:tc>
                <w:tcPr>
                  <w:tcW w:w="1995" w:type="dxa"/>
                  <w:shd w:val="clear" w:color="auto" w:fill="D9D9D9"/>
                  <w:vAlign w:val="center"/>
                </w:tcPr>
                <w:p w14:paraId="1A0130B3">
                  <w:pPr>
                    <w:spacing w:before="20" w:after="20" w:line="276" w:lineRule="auto"/>
                    <w:jc w:val="center"/>
                  </w:pPr>
                  <w:r>
                    <w:rPr>
                      <w:rFonts w:ascii="Times New Roman" w:hAnsi="Times New Roman" w:eastAsia="宋体"/>
                      <w:b/>
                      <w:i w:val="0"/>
                      <w:sz w:val="18"/>
                    </w:rPr>
                    <w:t>每功能单位消耗量</w:t>
                  </w:r>
                </w:p>
              </w:tc>
              <w:tc>
                <w:tcPr>
                  <w:tcW w:w="1164" w:type="dxa"/>
                  <w:shd w:val="clear" w:color="auto" w:fill="D9D9D9"/>
                  <w:vAlign w:val="center"/>
                </w:tcPr>
                <w:p w14:paraId="5327FAFC">
                  <w:pPr>
                    <w:spacing w:before="20" w:after="20" w:line="276" w:lineRule="auto"/>
                    <w:jc w:val="center"/>
                  </w:pPr>
                  <w:r>
                    <w:rPr>
                      <w:rFonts w:ascii="Times New Roman" w:hAnsi="Times New Roman" w:eastAsia="宋体"/>
                      <w:b/>
                      <w:i w:val="0"/>
                      <w:sz w:val="18"/>
                    </w:rPr>
                    <w:t>单位</w:t>
                  </w:r>
                </w:p>
              </w:tc>
              <w:tc>
                <w:tcPr>
                  <w:tcW w:w="2992" w:type="dxa"/>
                  <w:shd w:val="clear" w:color="auto" w:fill="D9D9D9"/>
                  <w:vAlign w:val="center"/>
                </w:tcPr>
                <w:p w14:paraId="0424AFFC">
                  <w:pPr>
                    <w:spacing w:before="20" w:after="20" w:line="276" w:lineRule="auto"/>
                    <w:jc w:val="center"/>
                  </w:pPr>
                  <w:r>
                    <w:rPr>
                      <w:rFonts w:ascii="Times New Roman" w:hAnsi="Times New Roman" w:eastAsia="宋体"/>
                      <w:b/>
                      <w:i w:val="0"/>
                      <w:sz w:val="18"/>
                    </w:rPr>
                    <w:t>数据来源</w:t>
                  </w:r>
                </w:p>
              </w:tc>
            </w:tr>
            <w:tr w14:paraId="6540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63C0C9C">
                  <w:pPr>
                    <w:spacing w:before="20" w:after="20" w:line="276" w:lineRule="auto"/>
                    <w:jc w:val="left"/>
                  </w:pPr>
                </w:p>
              </w:tc>
              <w:tc>
                <w:tcPr>
                  <w:tcW w:w="1995" w:type="dxa"/>
                  <w:vAlign w:val="center"/>
                </w:tcPr>
                <w:p w14:paraId="1C5E9263">
                  <w:pPr>
                    <w:spacing w:before="20" w:after="20" w:line="276" w:lineRule="auto"/>
                    <w:jc w:val="center"/>
                  </w:pPr>
                </w:p>
              </w:tc>
              <w:tc>
                <w:tcPr>
                  <w:tcW w:w="1164" w:type="dxa"/>
                  <w:vAlign w:val="center"/>
                </w:tcPr>
                <w:p w14:paraId="56EFB2AE">
                  <w:pPr>
                    <w:spacing w:before="20" w:after="20" w:line="276" w:lineRule="auto"/>
                    <w:jc w:val="center"/>
                  </w:pPr>
                </w:p>
              </w:tc>
              <w:tc>
                <w:tcPr>
                  <w:tcW w:w="2992" w:type="dxa"/>
                  <w:vAlign w:val="center"/>
                </w:tcPr>
                <w:p w14:paraId="610FC431">
                  <w:pPr>
                    <w:spacing w:before="20" w:after="20" w:line="276" w:lineRule="auto"/>
                    <w:jc w:val="center"/>
                  </w:pPr>
                </w:p>
              </w:tc>
            </w:tr>
            <w:tr w14:paraId="300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C320070">
                  <w:pPr>
                    <w:spacing w:before="20" w:after="20" w:line="276" w:lineRule="auto"/>
                    <w:jc w:val="left"/>
                  </w:pPr>
                </w:p>
              </w:tc>
              <w:tc>
                <w:tcPr>
                  <w:tcW w:w="1995" w:type="dxa"/>
                  <w:vAlign w:val="center"/>
                </w:tcPr>
                <w:p w14:paraId="7F6D4357">
                  <w:pPr>
                    <w:spacing w:before="20" w:after="20" w:line="276" w:lineRule="auto"/>
                    <w:jc w:val="center"/>
                  </w:pPr>
                </w:p>
              </w:tc>
              <w:tc>
                <w:tcPr>
                  <w:tcW w:w="1164" w:type="dxa"/>
                  <w:vAlign w:val="center"/>
                </w:tcPr>
                <w:p w14:paraId="2ABCD296">
                  <w:pPr>
                    <w:spacing w:before="20" w:after="20" w:line="276" w:lineRule="auto"/>
                    <w:jc w:val="center"/>
                  </w:pPr>
                </w:p>
              </w:tc>
              <w:tc>
                <w:tcPr>
                  <w:tcW w:w="2992" w:type="dxa"/>
                  <w:vAlign w:val="center"/>
                </w:tcPr>
                <w:p w14:paraId="1A017C14">
                  <w:pPr>
                    <w:spacing w:before="20" w:after="20" w:line="276" w:lineRule="auto"/>
                    <w:jc w:val="center"/>
                  </w:pPr>
                </w:p>
              </w:tc>
            </w:tr>
          </w:tbl>
          <w:p w14:paraId="0841F8BF">
            <w:pPr>
              <w:pStyle w:val="38"/>
              <w:ind w:left="0" w:leftChars="0" w:firstLine="0" w:firstLineChars="0"/>
              <w:rPr>
                <w:rFonts w:hint="eastAsia"/>
                <w:vertAlign w:val="baseline"/>
                <w:lang w:eastAsia="zh-CN"/>
              </w:rPr>
            </w:pPr>
          </w:p>
          <w:p w14:paraId="3CCCE5D1">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3</w:t>
            </w:r>
            <w:r>
              <w:rPr>
                <w:rFonts w:ascii="Times New Roman" w:hAnsi="Times New Roman" w:eastAsia="黑体"/>
                <w:b w:val="0"/>
                <w:i w:val="0"/>
                <w:sz w:val="21"/>
              </w:rPr>
              <w:t xml:space="preserve">  N₂O 排放清单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2826"/>
              <w:gridCol w:w="3158"/>
            </w:tblGrid>
            <w:tr w14:paraId="721A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shd w:val="clear" w:color="auto" w:fill="D9D9D9"/>
                  <w:vAlign w:val="center"/>
                </w:tcPr>
                <w:p w14:paraId="5E0BDA6C">
                  <w:pPr>
                    <w:spacing w:before="20" w:after="20" w:line="276" w:lineRule="auto"/>
                    <w:jc w:val="center"/>
                  </w:pPr>
                  <w:r>
                    <w:rPr>
                      <w:rFonts w:ascii="Times New Roman" w:hAnsi="Times New Roman" w:eastAsia="宋体"/>
                      <w:b/>
                      <w:i w:val="0"/>
                      <w:sz w:val="18"/>
                    </w:rPr>
                    <w:t>名称</w:t>
                  </w:r>
                </w:p>
              </w:tc>
              <w:tc>
                <w:tcPr>
                  <w:tcW w:w="2826" w:type="dxa"/>
                  <w:shd w:val="clear" w:color="auto" w:fill="D9D9D9"/>
                  <w:vAlign w:val="center"/>
                </w:tcPr>
                <w:p w14:paraId="5F93AB41">
                  <w:pPr>
                    <w:spacing w:before="20" w:after="20" w:line="276" w:lineRule="auto"/>
                    <w:jc w:val="center"/>
                  </w:pPr>
                  <w:r>
                    <w:rPr>
                      <w:rFonts w:ascii="Times New Roman" w:hAnsi="Times New Roman" w:eastAsia="宋体"/>
                      <w:b/>
                      <w:i w:val="0"/>
                      <w:sz w:val="18"/>
                    </w:rPr>
                    <w:t>每功能单位排放量（kg CO₂e）</w:t>
                  </w:r>
                </w:p>
              </w:tc>
              <w:tc>
                <w:tcPr>
                  <w:tcW w:w="3158" w:type="dxa"/>
                  <w:shd w:val="clear" w:color="auto" w:fill="D9D9D9"/>
                  <w:vAlign w:val="center"/>
                </w:tcPr>
                <w:p w14:paraId="519A5193">
                  <w:pPr>
                    <w:spacing w:before="20" w:after="20" w:line="276" w:lineRule="auto"/>
                    <w:jc w:val="center"/>
                  </w:pPr>
                  <w:r>
                    <w:rPr>
                      <w:rFonts w:ascii="Times New Roman" w:hAnsi="Times New Roman" w:eastAsia="宋体"/>
                      <w:b/>
                      <w:i w:val="0"/>
                      <w:sz w:val="18"/>
                    </w:rPr>
                    <w:t>计算依据</w:t>
                  </w:r>
                </w:p>
              </w:tc>
            </w:tr>
            <w:tr w14:paraId="4FD0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4FF16C75">
                  <w:pPr>
                    <w:spacing w:before="20" w:after="20" w:line="276" w:lineRule="auto"/>
                    <w:jc w:val="left"/>
                  </w:pPr>
                </w:p>
              </w:tc>
              <w:tc>
                <w:tcPr>
                  <w:tcW w:w="2826" w:type="dxa"/>
                  <w:vAlign w:val="center"/>
                </w:tcPr>
                <w:p w14:paraId="7A674E0B">
                  <w:pPr>
                    <w:spacing w:before="20" w:after="20" w:line="276" w:lineRule="auto"/>
                    <w:jc w:val="center"/>
                  </w:pPr>
                </w:p>
              </w:tc>
              <w:tc>
                <w:tcPr>
                  <w:tcW w:w="3158" w:type="dxa"/>
                  <w:vAlign w:val="center"/>
                </w:tcPr>
                <w:p w14:paraId="0F404BEA">
                  <w:pPr>
                    <w:spacing w:before="20" w:after="20" w:line="276" w:lineRule="auto"/>
                    <w:jc w:val="center"/>
                  </w:pPr>
                </w:p>
              </w:tc>
            </w:tr>
            <w:tr w14:paraId="557D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3F08EFFC">
                  <w:pPr>
                    <w:spacing w:before="20" w:after="20" w:line="276" w:lineRule="auto"/>
                    <w:jc w:val="left"/>
                  </w:pPr>
                </w:p>
              </w:tc>
              <w:tc>
                <w:tcPr>
                  <w:tcW w:w="2826" w:type="dxa"/>
                  <w:vAlign w:val="center"/>
                </w:tcPr>
                <w:p w14:paraId="086A518B">
                  <w:pPr>
                    <w:spacing w:before="20" w:after="20" w:line="276" w:lineRule="auto"/>
                    <w:jc w:val="center"/>
                  </w:pPr>
                </w:p>
              </w:tc>
              <w:tc>
                <w:tcPr>
                  <w:tcW w:w="3158" w:type="dxa"/>
                  <w:vAlign w:val="center"/>
                </w:tcPr>
                <w:p w14:paraId="401CC532">
                  <w:pPr>
                    <w:spacing w:before="20" w:after="20" w:line="276" w:lineRule="auto"/>
                    <w:jc w:val="center"/>
                  </w:pPr>
                </w:p>
              </w:tc>
            </w:tr>
          </w:tbl>
          <w:p w14:paraId="697246C1">
            <w:pPr>
              <w:pStyle w:val="38"/>
              <w:ind w:left="0" w:leftChars="0" w:firstLine="0" w:firstLineChars="0"/>
              <w:rPr>
                <w:rFonts w:hint="eastAsia"/>
                <w:vertAlign w:val="baseline"/>
                <w:lang w:eastAsia="zh-CN"/>
              </w:rPr>
            </w:pPr>
          </w:p>
          <w:p w14:paraId="2E1458CC">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4</w:t>
            </w:r>
            <w:r>
              <w:rPr>
                <w:rFonts w:ascii="Times New Roman" w:hAnsi="Times New Roman" w:eastAsia="黑体"/>
                <w:b w:val="0"/>
                <w:i w:val="0"/>
                <w:sz w:val="21"/>
              </w:rPr>
              <w:t xml:space="preserve">  </w:t>
            </w:r>
            <w:r>
              <w:rPr>
                <w:rFonts w:hint="eastAsia" w:ascii="Times New Roman" w:hAnsi="Times New Roman" w:eastAsia="黑体"/>
                <w:b w:val="0"/>
                <w:i w:val="0"/>
                <w:sz w:val="21"/>
                <w:lang w:val="en-US" w:eastAsia="zh-CN"/>
              </w:rPr>
              <w:t>采收残体与农业</w:t>
            </w:r>
            <w:r>
              <w:rPr>
                <w:rFonts w:ascii="Times New Roman" w:hAnsi="Times New Roman" w:eastAsia="黑体"/>
                <w:b w:val="0"/>
                <w:i w:val="0"/>
                <w:sz w:val="21"/>
              </w:rPr>
              <w:t>废弃物处理清单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1662"/>
              <w:gridCol w:w="1662"/>
              <w:gridCol w:w="831"/>
              <w:gridCol w:w="1662"/>
              <w:gridCol w:w="1164"/>
            </w:tblGrid>
            <w:tr w14:paraId="3E64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76438F65">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54D39246">
                  <w:pPr>
                    <w:spacing w:before="20" w:after="20" w:line="276" w:lineRule="auto"/>
                    <w:jc w:val="center"/>
                  </w:pPr>
                  <w:r>
                    <w:rPr>
                      <w:rFonts w:ascii="Times New Roman" w:hAnsi="Times New Roman" w:eastAsia="宋体"/>
                      <w:b/>
                      <w:i w:val="0"/>
                      <w:sz w:val="18"/>
                    </w:rPr>
                    <w:t>构成</w:t>
                  </w:r>
                </w:p>
              </w:tc>
              <w:tc>
                <w:tcPr>
                  <w:tcW w:w="1662" w:type="dxa"/>
                  <w:shd w:val="clear" w:color="auto" w:fill="D9D9D9"/>
                  <w:vAlign w:val="center"/>
                </w:tcPr>
                <w:p w14:paraId="71C7F11E">
                  <w:pPr>
                    <w:spacing w:before="20" w:after="20" w:line="276" w:lineRule="auto"/>
                    <w:jc w:val="center"/>
                  </w:pPr>
                  <w:r>
                    <w:rPr>
                      <w:rFonts w:ascii="Times New Roman" w:hAnsi="Times New Roman" w:eastAsia="宋体"/>
                      <w:b/>
                      <w:i w:val="0"/>
                      <w:sz w:val="18"/>
                    </w:rPr>
                    <w:t>每功能单位产生量</w:t>
                  </w:r>
                </w:p>
              </w:tc>
              <w:tc>
                <w:tcPr>
                  <w:tcW w:w="831" w:type="dxa"/>
                  <w:shd w:val="clear" w:color="auto" w:fill="D9D9D9"/>
                  <w:vAlign w:val="center"/>
                </w:tcPr>
                <w:p w14:paraId="03C75310">
                  <w:pPr>
                    <w:spacing w:before="20" w:after="20" w:line="276" w:lineRule="auto"/>
                    <w:jc w:val="center"/>
                  </w:pPr>
                  <w:r>
                    <w:rPr>
                      <w:rFonts w:ascii="Times New Roman" w:hAnsi="Times New Roman" w:eastAsia="宋体"/>
                      <w:b/>
                      <w:i w:val="0"/>
                      <w:sz w:val="18"/>
                    </w:rPr>
                    <w:t>单位</w:t>
                  </w:r>
                </w:p>
              </w:tc>
              <w:tc>
                <w:tcPr>
                  <w:tcW w:w="1662" w:type="dxa"/>
                  <w:shd w:val="clear" w:color="auto" w:fill="D9D9D9"/>
                  <w:vAlign w:val="center"/>
                </w:tcPr>
                <w:p w14:paraId="02FD0E22">
                  <w:pPr>
                    <w:spacing w:before="20" w:after="20" w:line="276" w:lineRule="auto"/>
                    <w:jc w:val="center"/>
                  </w:pPr>
                  <w:r>
                    <w:rPr>
                      <w:rFonts w:ascii="Times New Roman" w:hAnsi="Times New Roman" w:eastAsia="宋体"/>
                      <w:b/>
                      <w:i w:val="0"/>
                      <w:sz w:val="18"/>
                    </w:rPr>
                    <w:t>处理方式</w:t>
                  </w:r>
                </w:p>
              </w:tc>
              <w:tc>
                <w:tcPr>
                  <w:tcW w:w="1164" w:type="dxa"/>
                  <w:shd w:val="clear" w:color="auto" w:fill="D9D9D9"/>
                  <w:vAlign w:val="center"/>
                </w:tcPr>
                <w:p w14:paraId="73CE43D2">
                  <w:pPr>
                    <w:spacing w:before="20" w:after="20" w:line="276" w:lineRule="auto"/>
                    <w:jc w:val="center"/>
                  </w:pPr>
                  <w:r>
                    <w:rPr>
                      <w:rFonts w:ascii="Times New Roman" w:hAnsi="Times New Roman" w:eastAsia="宋体"/>
                      <w:b/>
                      <w:i w:val="0"/>
                      <w:sz w:val="18"/>
                    </w:rPr>
                    <w:t>运输距离（km）</w:t>
                  </w:r>
                </w:p>
              </w:tc>
            </w:tr>
            <w:tr w14:paraId="762D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BD4A002">
                  <w:pPr>
                    <w:spacing w:before="20" w:after="20" w:line="276" w:lineRule="auto"/>
                    <w:jc w:val="left"/>
                  </w:pPr>
                </w:p>
              </w:tc>
              <w:tc>
                <w:tcPr>
                  <w:tcW w:w="1662" w:type="dxa"/>
                  <w:vAlign w:val="center"/>
                </w:tcPr>
                <w:p w14:paraId="146D7170">
                  <w:pPr>
                    <w:spacing w:before="20" w:after="20" w:line="276" w:lineRule="auto"/>
                    <w:jc w:val="center"/>
                  </w:pPr>
                </w:p>
              </w:tc>
              <w:tc>
                <w:tcPr>
                  <w:tcW w:w="1662" w:type="dxa"/>
                  <w:vAlign w:val="center"/>
                </w:tcPr>
                <w:p w14:paraId="6043CE84">
                  <w:pPr>
                    <w:spacing w:before="20" w:after="20" w:line="276" w:lineRule="auto"/>
                    <w:jc w:val="center"/>
                  </w:pPr>
                </w:p>
              </w:tc>
              <w:tc>
                <w:tcPr>
                  <w:tcW w:w="831" w:type="dxa"/>
                  <w:vAlign w:val="center"/>
                </w:tcPr>
                <w:p w14:paraId="484A04D1">
                  <w:pPr>
                    <w:spacing w:before="20" w:after="20" w:line="276" w:lineRule="auto"/>
                    <w:jc w:val="center"/>
                  </w:pPr>
                </w:p>
              </w:tc>
              <w:tc>
                <w:tcPr>
                  <w:tcW w:w="1662" w:type="dxa"/>
                  <w:vAlign w:val="center"/>
                </w:tcPr>
                <w:p w14:paraId="0E2F3E16">
                  <w:pPr>
                    <w:spacing w:before="20" w:after="20" w:line="276" w:lineRule="auto"/>
                    <w:jc w:val="center"/>
                  </w:pPr>
                </w:p>
              </w:tc>
              <w:tc>
                <w:tcPr>
                  <w:tcW w:w="1164" w:type="dxa"/>
                  <w:vAlign w:val="center"/>
                </w:tcPr>
                <w:p w14:paraId="1897FF11">
                  <w:pPr>
                    <w:spacing w:before="20" w:after="20" w:line="276" w:lineRule="auto"/>
                    <w:jc w:val="center"/>
                  </w:pPr>
                </w:p>
              </w:tc>
            </w:tr>
            <w:tr w14:paraId="5933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E8E7AB9">
                  <w:pPr>
                    <w:spacing w:before="20" w:after="20" w:line="276" w:lineRule="auto"/>
                    <w:jc w:val="left"/>
                  </w:pPr>
                </w:p>
              </w:tc>
              <w:tc>
                <w:tcPr>
                  <w:tcW w:w="1662" w:type="dxa"/>
                  <w:vAlign w:val="center"/>
                </w:tcPr>
                <w:p w14:paraId="5F985580">
                  <w:pPr>
                    <w:spacing w:before="20" w:after="20" w:line="276" w:lineRule="auto"/>
                    <w:jc w:val="center"/>
                  </w:pPr>
                </w:p>
              </w:tc>
              <w:tc>
                <w:tcPr>
                  <w:tcW w:w="1662" w:type="dxa"/>
                  <w:vAlign w:val="center"/>
                </w:tcPr>
                <w:p w14:paraId="73F7316B">
                  <w:pPr>
                    <w:spacing w:before="20" w:after="20" w:line="276" w:lineRule="auto"/>
                    <w:jc w:val="center"/>
                  </w:pPr>
                </w:p>
              </w:tc>
              <w:tc>
                <w:tcPr>
                  <w:tcW w:w="831" w:type="dxa"/>
                  <w:vAlign w:val="center"/>
                </w:tcPr>
                <w:p w14:paraId="580B4324">
                  <w:pPr>
                    <w:spacing w:before="20" w:after="20" w:line="276" w:lineRule="auto"/>
                    <w:jc w:val="center"/>
                  </w:pPr>
                </w:p>
              </w:tc>
              <w:tc>
                <w:tcPr>
                  <w:tcW w:w="1662" w:type="dxa"/>
                  <w:vAlign w:val="center"/>
                </w:tcPr>
                <w:p w14:paraId="79170610">
                  <w:pPr>
                    <w:spacing w:before="20" w:after="20" w:line="276" w:lineRule="auto"/>
                    <w:jc w:val="center"/>
                  </w:pPr>
                </w:p>
              </w:tc>
              <w:tc>
                <w:tcPr>
                  <w:tcW w:w="1164" w:type="dxa"/>
                  <w:vAlign w:val="center"/>
                </w:tcPr>
                <w:p w14:paraId="6FFF1534">
                  <w:pPr>
                    <w:spacing w:before="20" w:after="20" w:line="276" w:lineRule="auto"/>
                    <w:jc w:val="center"/>
                  </w:pPr>
                </w:p>
              </w:tc>
            </w:tr>
          </w:tbl>
          <w:p w14:paraId="2C6DCA1C">
            <w:pPr>
              <w:pStyle w:val="38"/>
              <w:ind w:left="0" w:leftChars="0" w:firstLine="0" w:firstLineChars="0"/>
              <w:rPr>
                <w:rFonts w:hint="eastAsia"/>
                <w:vertAlign w:val="baseline"/>
                <w:lang w:eastAsia="zh-CN"/>
              </w:rPr>
            </w:pPr>
          </w:p>
          <w:p w14:paraId="620C1BF3">
            <w:pPr>
              <w:pStyle w:val="38"/>
              <w:keepNext w:val="0"/>
              <w:keepLines w:val="0"/>
              <w:pageBreakBefore w:val="0"/>
              <w:widowControl/>
              <w:numPr>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eastAsia="zh-CN"/>
              </w:rPr>
              <w:t>（</w:t>
            </w:r>
            <w:r>
              <w:rPr>
                <w:rFonts w:hint="eastAsia"/>
                <w:vertAlign w:val="baseline"/>
                <w:lang w:val="en-US" w:eastAsia="zh-CN"/>
              </w:rPr>
              <w:t>3）</w:t>
            </w:r>
            <w:r>
              <w:rPr>
                <w:rFonts w:hint="eastAsia"/>
                <w:vertAlign w:val="baseline"/>
                <w:lang w:eastAsia="zh-CN"/>
              </w:rPr>
              <w:t>包装阶段</w:t>
            </w:r>
          </w:p>
          <w:p w14:paraId="5443E95F">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5</w:t>
            </w:r>
            <w:r>
              <w:rPr>
                <w:rFonts w:ascii="Times New Roman" w:hAnsi="Times New Roman" w:eastAsia="黑体"/>
                <w:b w:val="0"/>
                <w:i w:val="0"/>
                <w:sz w:val="21"/>
              </w:rPr>
              <w:t xml:space="preserve">  包装材料生产与运输清单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62"/>
              <w:gridCol w:w="1330"/>
              <w:gridCol w:w="665"/>
              <w:gridCol w:w="997"/>
              <w:gridCol w:w="1164"/>
              <w:gridCol w:w="1496"/>
            </w:tblGrid>
            <w:tr w14:paraId="0FDF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shd w:val="clear" w:color="auto" w:fill="D9D9D9"/>
                  <w:vAlign w:val="center"/>
                </w:tcPr>
                <w:p w14:paraId="0522DDDC">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48C35C4A">
                  <w:pPr>
                    <w:spacing w:before="20" w:after="20" w:line="276" w:lineRule="auto"/>
                    <w:jc w:val="center"/>
                  </w:pPr>
                  <w:r>
                    <w:rPr>
                      <w:rFonts w:ascii="Times New Roman" w:hAnsi="Times New Roman" w:eastAsia="宋体"/>
                      <w:b/>
                      <w:i w:val="0"/>
                      <w:sz w:val="18"/>
                    </w:rPr>
                    <w:t>构成/规格</w:t>
                  </w:r>
                </w:p>
              </w:tc>
              <w:tc>
                <w:tcPr>
                  <w:tcW w:w="1330" w:type="dxa"/>
                  <w:shd w:val="clear" w:color="auto" w:fill="D9D9D9"/>
                  <w:vAlign w:val="center"/>
                </w:tcPr>
                <w:p w14:paraId="4B97560F">
                  <w:pPr>
                    <w:spacing w:before="20" w:after="20" w:line="276" w:lineRule="auto"/>
                    <w:jc w:val="center"/>
                  </w:pPr>
                  <w:r>
                    <w:rPr>
                      <w:rFonts w:ascii="Times New Roman" w:hAnsi="Times New Roman" w:eastAsia="宋体"/>
                      <w:b/>
                      <w:i w:val="0"/>
                      <w:sz w:val="18"/>
                    </w:rPr>
                    <w:t>每功能单位使用量</w:t>
                  </w:r>
                </w:p>
              </w:tc>
              <w:tc>
                <w:tcPr>
                  <w:tcW w:w="665" w:type="dxa"/>
                  <w:shd w:val="clear" w:color="auto" w:fill="D9D9D9"/>
                  <w:vAlign w:val="center"/>
                </w:tcPr>
                <w:p w14:paraId="05557A2F">
                  <w:pPr>
                    <w:spacing w:before="20" w:after="20" w:line="276" w:lineRule="auto"/>
                    <w:jc w:val="center"/>
                  </w:pPr>
                  <w:r>
                    <w:rPr>
                      <w:rFonts w:ascii="Times New Roman" w:hAnsi="Times New Roman" w:eastAsia="宋体"/>
                      <w:b/>
                      <w:i w:val="0"/>
                      <w:sz w:val="18"/>
                    </w:rPr>
                    <w:t>单位</w:t>
                  </w:r>
                </w:p>
              </w:tc>
              <w:tc>
                <w:tcPr>
                  <w:tcW w:w="997" w:type="dxa"/>
                  <w:shd w:val="clear" w:color="auto" w:fill="D9D9D9"/>
                  <w:vAlign w:val="center"/>
                </w:tcPr>
                <w:p w14:paraId="04DB5327">
                  <w:pPr>
                    <w:spacing w:before="20" w:after="20" w:line="276" w:lineRule="auto"/>
                    <w:jc w:val="center"/>
                  </w:pPr>
                  <w:r>
                    <w:rPr>
                      <w:rFonts w:ascii="Times New Roman" w:hAnsi="Times New Roman" w:eastAsia="宋体"/>
                      <w:b/>
                      <w:i w:val="0"/>
                      <w:sz w:val="18"/>
                    </w:rPr>
                    <w:t>运输方式</w:t>
                  </w:r>
                </w:p>
              </w:tc>
              <w:tc>
                <w:tcPr>
                  <w:tcW w:w="1164" w:type="dxa"/>
                  <w:shd w:val="clear" w:color="auto" w:fill="D9D9D9"/>
                  <w:vAlign w:val="center"/>
                </w:tcPr>
                <w:p w14:paraId="75DA531C">
                  <w:pPr>
                    <w:spacing w:before="20" w:after="20" w:line="276" w:lineRule="auto"/>
                    <w:jc w:val="center"/>
                  </w:pPr>
                  <w:r>
                    <w:rPr>
                      <w:rFonts w:ascii="Times New Roman" w:hAnsi="Times New Roman" w:eastAsia="宋体"/>
                      <w:b/>
                      <w:i w:val="0"/>
                      <w:sz w:val="18"/>
                    </w:rPr>
                    <w:t>运输距离（km）</w:t>
                  </w:r>
                </w:p>
              </w:tc>
              <w:tc>
                <w:tcPr>
                  <w:tcW w:w="1496" w:type="dxa"/>
                  <w:shd w:val="clear" w:color="auto" w:fill="D9D9D9"/>
                  <w:vAlign w:val="center"/>
                </w:tcPr>
                <w:p w14:paraId="5434D7A3">
                  <w:pPr>
                    <w:spacing w:before="20" w:after="20" w:line="276" w:lineRule="auto"/>
                    <w:jc w:val="center"/>
                  </w:pPr>
                  <w:r>
                    <w:rPr>
                      <w:rFonts w:ascii="Times New Roman" w:hAnsi="Times New Roman" w:eastAsia="宋体"/>
                      <w:b/>
                      <w:i w:val="0"/>
                      <w:sz w:val="18"/>
                    </w:rPr>
                    <w:t>数据来源</w:t>
                  </w:r>
                </w:p>
              </w:tc>
            </w:tr>
            <w:tr w14:paraId="0DE3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5C67E447">
                  <w:pPr>
                    <w:spacing w:before="20" w:after="20" w:line="276" w:lineRule="auto"/>
                    <w:jc w:val="left"/>
                  </w:pPr>
                </w:p>
              </w:tc>
              <w:tc>
                <w:tcPr>
                  <w:tcW w:w="1662" w:type="dxa"/>
                  <w:vAlign w:val="center"/>
                </w:tcPr>
                <w:p w14:paraId="32622400">
                  <w:pPr>
                    <w:spacing w:before="20" w:after="20" w:line="276" w:lineRule="auto"/>
                    <w:jc w:val="center"/>
                  </w:pPr>
                </w:p>
              </w:tc>
              <w:tc>
                <w:tcPr>
                  <w:tcW w:w="1330" w:type="dxa"/>
                  <w:vAlign w:val="center"/>
                </w:tcPr>
                <w:p w14:paraId="4652DA42">
                  <w:pPr>
                    <w:spacing w:before="20" w:after="20" w:line="276" w:lineRule="auto"/>
                    <w:jc w:val="center"/>
                  </w:pPr>
                </w:p>
              </w:tc>
              <w:tc>
                <w:tcPr>
                  <w:tcW w:w="665" w:type="dxa"/>
                  <w:vAlign w:val="center"/>
                </w:tcPr>
                <w:p w14:paraId="4D60AD73">
                  <w:pPr>
                    <w:spacing w:before="20" w:after="20" w:line="276" w:lineRule="auto"/>
                    <w:jc w:val="center"/>
                  </w:pPr>
                </w:p>
              </w:tc>
              <w:tc>
                <w:tcPr>
                  <w:tcW w:w="997" w:type="dxa"/>
                  <w:vAlign w:val="center"/>
                </w:tcPr>
                <w:p w14:paraId="442248EC">
                  <w:pPr>
                    <w:spacing w:before="20" w:after="20" w:line="276" w:lineRule="auto"/>
                    <w:jc w:val="center"/>
                  </w:pPr>
                </w:p>
              </w:tc>
              <w:tc>
                <w:tcPr>
                  <w:tcW w:w="1164" w:type="dxa"/>
                  <w:vAlign w:val="center"/>
                </w:tcPr>
                <w:p w14:paraId="6127DE80">
                  <w:pPr>
                    <w:spacing w:before="20" w:after="20" w:line="276" w:lineRule="auto"/>
                    <w:jc w:val="center"/>
                  </w:pPr>
                </w:p>
              </w:tc>
              <w:tc>
                <w:tcPr>
                  <w:tcW w:w="1496" w:type="dxa"/>
                  <w:vAlign w:val="center"/>
                </w:tcPr>
                <w:p w14:paraId="3AB43A39">
                  <w:pPr>
                    <w:spacing w:before="20" w:after="20" w:line="276" w:lineRule="auto"/>
                    <w:jc w:val="center"/>
                  </w:pPr>
                </w:p>
              </w:tc>
            </w:tr>
            <w:tr w14:paraId="65AD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7F834E10">
                  <w:pPr>
                    <w:spacing w:before="20" w:after="20" w:line="276" w:lineRule="auto"/>
                    <w:jc w:val="left"/>
                  </w:pPr>
                </w:p>
              </w:tc>
              <w:tc>
                <w:tcPr>
                  <w:tcW w:w="1662" w:type="dxa"/>
                  <w:vAlign w:val="center"/>
                </w:tcPr>
                <w:p w14:paraId="5ED5A218">
                  <w:pPr>
                    <w:spacing w:before="20" w:after="20" w:line="276" w:lineRule="auto"/>
                    <w:jc w:val="center"/>
                  </w:pPr>
                </w:p>
              </w:tc>
              <w:tc>
                <w:tcPr>
                  <w:tcW w:w="1330" w:type="dxa"/>
                  <w:vAlign w:val="center"/>
                </w:tcPr>
                <w:p w14:paraId="21758888">
                  <w:pPr>
                    <w:spacing w:before="20" w:after="20" w:line="276" w:lineRule="auto"/>
                    <w:jc w:val="center"/>
                  </w:pPr>
                </w:p>
              </w:tc>
              <w:tc>
                <w:tcPr>
                  <w:tcW w:w="665" w:type="dxa"/>
                  <w:vAlign w:val="center"/>
                </w:tcPr>
                <w:p w14:paraId="2B5B4BB4">
                  <w:pPr>
                    <w:spacing w:before="20" w:after="20" w:line="276" w:lineRule="auto"/>
                    <w:jc w:val="center"/>
                  </w:pPr>
                </w:p>
              </w:tc>
              <w:tc>
                <w:tcPr>
                  <w:tcW w:w="997" w:type="dxa"/>
                  <w:vAlign w:val="center"/>
                </w:tcPr>
                <w:p w14:paraId="28B379DE">
                  <w:pPr>
                    <w:spacing w:before="20" w:after="20" w:line="276" w:lineRule="auto"/>
                    <w:jc w:val="center"/>
                  </w:pPr>
                </w:p>
              </w:tc>
              <w:tc>
                <w:tcPr>
                  <w:tcW w:w="1164" w:type="dxa"/>
                  <w:vAlign w:val="center"/>
                </w:tcPr>
                <w:p w14:paraId="481A6868">
                  <w:pPr>
                    <w:spacing w:before="20" w:after="20" w:line="276" w:lineRule="auto"/>
                    <w:jc w:val="center"/>
                  </w:pPr>
                </w:p>
              </w:tc>
              <w:tc>
                <w:tcPr>
                  <w:tcW w:w="1496" w:type="dxa"/>
                  <w:vAlign w:val="center"/>
                </w:tcPr>
                <w:p w14:paraId="1B72DE00">
                  <w:pPr>
                    <w:spacing w:before="20" w:after="20" w:line="276" w:lineRule="auto"/>
                    <w:jc w:val="center"/>
                  </w:pPr>
                </w:p>
              </w:tc>
            </w:tr>
          </w:tbl>
          <w:p w14:paraId="0A8194F8">
            <w:pPr>
              <w:pStyle w:val="38"/>
              <w:numPr>
                <w:ilvl w:val="0"/>
                <w:numId w:val="0"/>
              </w:numPr>
              <w:autoSpaceDE w:val="0"/>
              <w:autoSpaceDN w:val="0"/>
              <w:jc w:val="both"/>
              <w:rPr>
                <w:rFonts w:hint="eastAsia"/>
                <w:vertAlign w:val="baseline"/>
                <w:lang w:eastAsia="zh-CN"/>
              </w:rPr>
            </w:pPr>
          </w:p>
          <w:p w14:paraId="519D742E">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b w:val="0"/>
                <w:i w:val="0"/>
                <w:color w:val="auto"/>
                <w:sz w:val="21"/>
                <w:lang w:eastAsia="zh-CN"/>
              </w:rPr>
            </w:pPr>
            <w:r>
              <w:rPr>
                <w:rFonts w:hint="eastAsia"/>
                <w:vertAlign w:val="baseline"/>
                <w:lang w:eastAsia="zh-CN"/>
              </w:rPr>
              <w:t>1.2　</w:t>
            </w:r>
            <w:r>
              <w:rPr>
                <w:rFonts w:hint="eastAsia" w:ascii="Times New Roman" w:hAnsi="Times New Roman" w:eastAsia="宋体"/>
                <w:b w:val="0"/>
                <w:i w:val="0"/>
                <w:color w:val="auto"/>
                <w:sz w:val="21"/>
                <w:lang w:eastAsia="zh-CN"/>
              </w:rPr>
              <w:t xml:space="preserve">次级数据 </w:t>
            </w:r>
          </w:p>
          <w:p w14:paraId="2286ECA6">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eastAsia="宋体"/>
                <w:b w:val="0"/>
                <w:i w:val="0"/>
                <w:sz w:val="21"/>
                <w:u w:val="single"/>
                <w:lang w:val="en-US" w:eastAsia="zh-CN"/>
              </w:rPr>
            </w:pPr>
            <w:r>
              <w:rPr>
                <w:rFonts w:ascii="Times New Roman" w:hAnsi="Times New Roman" w:eastAsia="宋体"/>
                <w:b w:val="0"/>
                <w:i w:val="0"/>
                <w:color w:val="auto"/>
                <w:sz w:val="21"/>
                <w:u w:val="single"/>
              </w:rPr>
              <w:t>次级数据主要为各项活动数据对应的排放因子</w:t>
            </w:r>
            <w:r>
              <w:rPr>
                <w:rFonts w:hint="eastAsia"/>
                <w:b w:val="0"/>
                <w:i w:val="0"/>
                <w:color w:val="auto"/>
                <w:sz w:val="21"/>
                <w:u w:val="single"/>
                <w:lang w:eastAsia="zh-CN"/>
              </w:rPr>
              <w:t>。</w:t>
            </w:r>
          </w:p>
          <w:p w14:paraId="5BD87026">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6</w:t>
            </w:r>
            <w:r>
              <w:rPr>
                <w:rFonts w:ascii="Times New Roman" w:hAnsi="Times New Roman" w:eastAsia="黑体"/>
                <w:b w:val="0"/>
                <w:i w:val="0"/>
                <w:sz w:val="21"/>
              </w:rPr>
              <w:t xml:space="preserve">  排放因子清单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2161"/>
              <w:gridCol w:w="3158"/>
              <w:gridCol w:w="1662"/>
            </w:tblGrid>
            <w:tr w14:paraId="2EAF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56726DFA">
                  <w:pPr>
                    <w:spacing w:before="20" w:after="20" w:line="276" w:lineRule="auto"/>
                    <w:jc w:val="center"/>
                  </w:pPr>
                  <w:r>
                    <w:rPr>
                      <w:rFonts w:ascii="Times New Roman" w:hAnsi="Times New Roman" w:eastAsia="宋体"/>
                      <w:b/>
                      <w:i w:val="0"/>
                      <w:sz w:val="18"/>
                    </w:rPr>
                    <w:t>生命周期阶段</w:t>
                  </w:r>
                </w:p>
              </w:tc>
              <w:tc>
                <w:tcPr>
                  <w:tcW w:w="2161" w:type="dxa"/>
                  <w:shd w:val="clear" w:color="auto" w:fill="D9D9D9"/>
                  <w:vAlign w:val="center"/>
                </w:tcPr>
                <w:p w14:paraId="32DECC02">
                  <w:pPr>
                    <w:spacing w:before="20" w:after="20" w:line="276" w:lineRule="auto"/>
                    <w:jc w:val="center"/>
                  </w:pPr>
                  <w:r>
                    <w:rPr>
                      <w:rFonts w:ascii="Times New Roman" w:hAnsi="Times New Roman" w:eastAsia="宋体"/>
                      <w:b/>
                      <w:i w:val="0"/>
                      <w:sz w:val="18"/>
                    </w:rPr>
                    <w:t>活动数据</w:t>
                  </w:r>
                </w:p>
              </w:tc>
              <w:tc>
                <w:tcPr>
                  <w:tcW w:w="3158" w:type="dxa"/>
                  <w:shd w:val="clear" w:color="auto" w:fill="D9D9D9"/>
                  <w:vAlign w:val="center"/>
                </w:tcPr>
                <w:p w14:paraId="5F9C12CD">
                  <w:pPr>
                    <w:spacing w:before="20" w:after="20" w:line="276" w:lineRule="auto"/>
                    <w:jc w:val="center"/>
                  </w:pPr>
                  <w:r>
                    <w:rPr>
                      <w:rFonts w:ascii="Times New Roman" w:hAnsi="Times New Roman" w:eastAsia="宋体"/>
                      <w:b/>
                      <w:i w:val="0"/>
                      <w:sz w:val="18"/>
                    </w:rPr>
                    <w:t>排放因子</w:t>
                  </w:r>
                </w:p>
              </w:tc>
              <w:tc>
                <w:tcPr>
                  <w:tcW w:w="1662" w:type="dxa"/>
                  <w:shd w:val="clear" w:color="auto" w:fill="D9D9D9"/>
                  <w:vAlign w:val="center"/>
                </w:tcPr>
                <w:p w14:paraId="58746FD3">
                  <w:pPr>
                    <w:spacing w:before="20" w:after="20" w:line="276" w:lineRule="auto"/>
                    <w:jc w:val="center"/>
                  </w:pPr>
                  <w:r>
                    <w:rPr>
                      <w:rFonts w:ascii="Times New Roman" w:hAnsi="Times New Roman" w:eastAsia="宋体"/>
                      <w:b/>
                      <w:i w:val="0"/>
                      <w:sz w:val="18"/>
                    </w:rPr>
                    <w:t>数据来源</w:t>
                  </w:r>
                </w:p>
              </w:tc>
            </w:tr>
            <w:tr w14:paraId="2C16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3903D7DA">
                  <w:pPr>
                    <w:spacing w:before="20" w:after="20" w:line="276" w:lineRule="auto"/>
                    <w:jc w:val="left"/>
                  </w:pPr>
                </w:p>
              </w:tc>
              <w:tc>
                <w:tcPr>
                  <w:tcW w:w="2161" w:type="dxa"/>
                  <w:vAlign w:val="center"/>
                </w:tcPr>
                <w:p w14:paraId="59AC319C">
                  <w:pPr>
                    <w:spacing w:before="20" w:after="20" w:line="276" w:lineRule="auto"/>
                    <w:jc w:val="center"/>
                  </w:pPr>
                </w:p>
              </w:tc>
              <w:tc>
                <w:tcPr>
                  <w:tcW w:w="3158" w:type="dxa"/>
                  <w:vAlign w:val="center"/>
                </w:tcPr>
                <w:p w14:paraId="461A18F4">
                  <w:pPr>
                    <w:spacing w:before="20" w:after="20" w:line="276" w:lineRule="auto"/>
                    <w:jc w:val="center"/>
                  </w:pPr>
                </w:p>
              </w:tc>
              <w:tc>
                <w:tcPr>
                  <w:tcW w:w="1662" w:type="dxa"/>
                  <w:vAlign w:val="center"/>
                </w:tcPr>
                <w:p w14:paraId="5AE9E83D">
                  <w:pPr>
                    <w:spacing w:before="20" w:after="20" w:line="276" w:lineRule="auto"/>
                    <w:jc w:val="center"/>
                  </w:pPr>
                </w:p>
              </w:tc>
            </w:tr>
            <w:tr w14:paraId="17D2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0C254E29">
                  <w:pPr>
                    <w:spacing w:before="20" w:after="20" w:line="276" w:lineRule="auto"/>
                    <w:jc w:val="left"/>
                  </w:pPr>
                </w:p>
              </w:tc>
              <w:tc>
                <w:tcPr>
                  <w:tcW w:w="2161" w:type="dxa"/>
                  <w:vAlign w:val="center"/>
                </w:tcPr>
                <w:p w14:paraId="1ABB337B">
                  <w:pPr>
                    <w:spacing w:before="20" w:after="20" w:line="276" w:lineRule="auto"/>
                    <w:jc w:val="center"/>
                  </w:pPr>
                </w:p>
              </w:tc>
              <w:tc>
                <w:tcPr>
                  <w:tcW w:w="3158" w:type="dxa"/>
                  <w:vAlign w:val="center"/>
                </w:tcPr>
                <w:p w14:paraId="64B8795C">
                  <w:pPr>
                    <w:spacing w:before="20" w:after="20" w:line="276" w:lineRule="auto"/>
                    <w:jc w:val="center"/>
                  </w:pPr>
                </w:p>
              </w:tc>
              <w:tc>
                <w:tcPr>
                  <w:tcW w:w="1662" w:type="dxa"/>
                  <w:vAlign w:val="center"/>
                </w:tcPr>
                <w:p w14:paraId="5C28599F">
                  <w:pPr>
                    <w:spacing w:before="20" w:after="20" w:line="276" w:lineRule="auto"/>
                    <w:jc w:val="center"/>
                  </w:pPr>
                </w:p>
              </w:tc>
            </w:tr>
          </w:tbl>
          <w:p w14:paraId="2C4AF589">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．分配原则与程序</w:t>
            </w:r>
          </w:p>
          <w:p w14:paraId="5BF56666">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vertAlign w:val="baseline"/>
                <w:lang w:eastAsia="zh-CN"/>
              </w:rPr>
            </w:pPr>
            <w:r>
              <w:rPr>
                <w:rFonts w:hint="eastAsia"/>
                <w:u w:val="single"/>
                <w:vertAlign w:val="baseline"/>
                <w:lang w:eastAsia="zh-CN"/>
              </w:rPr>
              <w:t>说明</w:t>
            </w:r>
            <w:r>
              <w:rPr>
                <w:rFonts w:hint="eastAsia"/>
                <w:u w:val="single"/>
                <w:vertAlign w:val="baseline"/>
                <w:lang w:val="en-US" w:eastAsia="zh-CN"/>
              </w:rPr>
              <w:t>鲜花与种苗</w:t>
            </w:r>
            <w:r>
              <w:rPr>
                <w:rFonts w:hint="eastAsia"/>
                <w:u w:val="single"/>
                <w:vertAlign w:val="baseline"/>
                <w:lang w:eastAsia="zh-CN"/>
              </w:rPr>
              <w:t>的分配原则、程序与方法，列出产值或产量等分配依据数据。</w:t>
            </w:r>
          </w:p>
          <w:p w14:paraId="073BCA39">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3．数据质量评价</w:t>
            </w:r>
          </w:p>
          <w:p w14:paraId="668A1DD1">
            <w:pPr>
              <w:pStyle w:val="38"/>
              <w:ind w:left="0" w:leftChars="0" w:firstLine="420" w:firstLineChars="200"/>
              <w:rPr>
                <w:rFonts w:hint="eastAsia"/>
                <w:u w:val="single"/>
                <w:vertAlign w:val="baseline"/>
                <w:lang w:eastAsia="zh-CN"/>
              </w:rPr>
            </w:pPr>
            <w:r>
              <w:rPr>
                <w:rFonts w:hint="eastAsia"/>
                <w:u w:val="single"/>
                <w:vertAlign w:val="baseline"/>
                <w:lang w:eastAsia="zh-CN"/>
              </w:rPr>
              <w:t>对活动数据</w:t>
            </w:r>
            <w:r>
              <w:rPr>
                <w:rFonts w:hint="eastAsia"/>
                <w:u w:val="single"/>
                <w:vertAlign w:val="baseline"/>
                <w:lang w:val="en-US" w:eastAsia="zh-CN"/>
              </w:rPr>
              <w:t>与</w:t>
            </w:r>
            <w:r>
              <w:rPr>
                <w:rFonts w:hint="eastAsia"/>
                <w:u w:val="single"/>
                <w:vertAlign w:val="baseline"/>
                <w:lang w:eastAsia="zh-CN"/>
              </w:rPr>
              <w:t>排放因子做质量评判，说明数据的时间代表性、地域代表性、技术代表性、完整性、不确定性，说明数据是否满足本评价目标。</w:t>
            </w:r>
          </w:p>
          <w:p w14:paraId="0A2E0B05">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五、影响评价</w:t>
            </w:r>
          </w:p>
          <w:p w14:paraId="15E8C4F8">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1．影响类型和特征化因子选择</w:t>
            </w:r>
          </w:p>
          <w:p w14:paraId="64565A8A">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u w:val="single"/>
                <w:vertAlign w:val="baseline"/>
                <w:lang w:eastAsia="zh-CN"/>
              </w:rPr>
              <w:t>说明选取了哪些环境影响类别、用哪一套特征化因子、数据来源。</w:t>
            </w:r>
          </w:p>
          <w:p w14:paraId="22EB9DA7">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．产品碳足迹结果计算</w:t>
            </w:r>
          </w:p>
          <w:p w14:paraId="02A7765B">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u w:val="single"/>
                <w:vertAlign w:val="baseline"/>
                <w:lang w:eastAsia="zh-CN"/>
              </w:rPr>
            </w:pPr>
            <w:r>
              <w:rPr>
                <w:rFonts w:hint="eastAsia"/>
                <w:u w:val="single"/>
                <w:vertAlign w:val="baseline"/>
                <w:lang w:eastAsia="zh-CN"/>
              </w:rPr>
              <w:t>给出整套计算公式、变量释义、功能单位，分步展示产品碳足迹的完整计算逻辑。</w:t>
            </w:r>
          </w:p>
          <w:p w14:paraId="1102A890">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 xml:space="preserve">六、结果解释 </w:t>
            </w:r>
          </w:p>
          <w:p w14:paraId="20134D61">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1．结果说明</w:t>
            </w:r>
          </w:p>
          <w:p w14:paraId="5DDB3D4D">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u w:val="single"/>
                <w:vertAlign w:val="baseline"/>
                <w:lang w:eastAsia="zh-CN"/>
              </w:rPr>
            </w:pPr>
            <w:r>
              <w:rPr>
                <w:rFonts w:hint="eastAsia"/>
                <w:u w:val="single"/>
                <w:vertAlign w:val="baseline"/>
                <w:lang w:eastAsia="zh-CN"/>
              </w:rPr>
              <w:t>（食用菊花种植单位名称)生产的(食用菊花)产品，从(原材料获取与投入到包装完成)生命周期碳足迹为(XXX kg CO</w:t>
            </w:r>
            <w:r>
              <w:rPr>
                <w:rFonts w:hint="eastAsia"/>
                <w:u w:val="single"/>
                <w:vertAlign w:val="subscript"/>
                <w:lang w:eastAsia="zh-CN"/>
              </w:rPr>
              <w:t>2</w:t>
            </w:r>
            <w:r>
              <w:rPr>
                <w:rFonts w:hint="eastAsia"/>
                <w:u w:val="single"/>
                <w:vertAlign w:val="baseline"/>
                <w:lang w:eastAsia="zh-CN"/>
              </w:rPr>
              <w:t>e / kg)。</w:t>
            </w:r>
          </w:p>
          <w:p w14:paraId="00B8E16C">
            <w:pPr>
              <w:spacing w:before="120" w:after="40" w:line="288" w:lineRule="auto"/>
              <w:jc w:val="center"/>
              <w:rPr>
                <w:rFonts w:hint="eastAsia" w:ascii="Times New Roman" w:hAnsi="Times New Roman" w:eastAsia="黑体"/>
                <w:b w:val="0"/>
                <w:i w:val="0"/>
                <w:sz w:val="21"/>
              </w:rPr>
            </w:pPr>
            <w:r>
              <w:rPr>
                <w:rFonts w:hint="eastAsia" w:ascii="Times New Roman" w:hAnsi="Times New Roman" w:eastAsia="黑体"/>
                <w:b w:val="0"/>
                <w:i w:val="0"/>
                <w:sz w:val="21"/>
              </w:rPr>
              <w:t>表</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7</w:t>
            </w:r>
            <w:r>
              <w:rPr>
                <w:rFonts w:hint="eastAsia" w:ascii="Times New Roman" w:hAnsi="Times New Roman" w:eastAsia="黑体"/>
                <w:b w:val="0"/>
                <w:i w:val="0"/>
                <w:sz w:val="21"/>
              </w:rPr>
              <w:t xml:space="preserve"> </w:t>
            </w:r>
            <w:r>
              <w:rPr>
                <w:rFonts w:hint="eastAsia" w:ascii="Times New Roman" w:hAnsi="Times New Roman" w:eastAsia="黑体"/>
                <w:b w:val="0"/>
                <w:i w:val="0"/>
                <w:sz w:val="21"/>
                <w:lang w:val="en-US" w:eastAsia="zh-CN"/>
              </w:rPr>
              <w:t xml:space="preserve"> </w:t>
            </w:r>
            <w:r>
              <w:rPr>
                <w:rFonts w:hint="eastAsia" w:ascii="Times New Roman" w:hAnsi="Times New Roman" w:eastAsia="黑体"/>
                <w:b w:val="0"/>
                <w:i w:val="0"/>
                <w:sz w:val="21"/>
              </w:rPr>
              <w:t>产品生命周期各阶段温室气体排放情况</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5"/>
              <w:gridCol w:w="2006"/>
              <w:gridCol w:w="2232"/>
              <w:gridCol w:w="1482"/>
            </w:tblGrid>
            <w:tr w14:paraId="45B5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shd w:val="clear" w:color="auto" w:fill="D9D9D9"/>
                  <w:vAlign w:val="center"/>
                </w:tcPr>
                <w:p w14:paraId="4E1DACC4">
                  <w:pPr>
                    <w:spacing w:before="20" w:after="20" w:line="276" w:lineRule="auto"/>
                    <w:jc w:val="center"/>
                  </w:pPr>
                  <w:r>
                    <w:rPr>
                      <w:rFonts w:ascii="Times New Roman" w:hAnsi="Times New Roman" w:eastAsia="宋体"/>
                      <w:b/>
                      <w:i w:val="0"/>
                      <w:sz w:val="18"/>
                    </w:rPr>
                    <w:t>生命周期阶段</w:t>
                  </w:r>
                </w:p>
              </w:tc>
              <w:tc>
                <w:tcPr>
                  <w:tcW w:w="2006" w:type="dxa"/>
                  <w:shd w:val="clear" w:color="auto" w:fill="D9D9D9"/>
                  <w:vAlign w:val="center"/>
                </w:tcPr>
                <w:p w14:paraId="768142AD">
                  <w:pPr>
                    <w:spacing w:before="20" w:after="20" w:line="276" w:lineRule="auto"/>
                    <w:jc w:val="center"/>
                    <w:rPr>
                      <w:rFonts w:hint="eastAsia" w:ascii="Times New Roman" w:hAnsi="Times New Roman" w:eastAsia="宋体"/>
                      <w:b/>
                      <w:i w:val="0"/>
                      <w:sz w:val="18"/>
                      <w:lang w:val="en-US" w:eastAsia="zh-CN"/>
                    </w:rPr>
                  </w:pPr>
                  <w:r>
                    <w:rPr>
                      <w:rFonts w:hint="eastAsia" w:ascii="Times New Roman" w:hAnsi="Times New Roman" w:eastAsia="宋体"/>
                      <w:b/>
                      <w:i w:val="0"/>
                      <w:sz w:val="18"/>
                      <w:lang w:val="en-US" w:eastAsia="zh-CN"/>
                    </w:rPr>
                    <w:t>名称</w:t>
                  </w:r>
                </w:p>
              </w:tc>
              <w:tc>
                <w:tcPr>
                  <w:tcW w:w="2232" w:type="dxa"/>
                  <w:shd w:val="clear" w:color="auto" w:fill="D9D9D9"/>
                  <w:vAlign w:val="center"/>
                </w:tcPr>
                <w:p w14:paraId="04E48740">
                  <w:pPr>
                    <w:spacing w:before="20" w:after="20" w:line="276" w:lineRule="auto"/>
                    <w:jc w:val="center"/>
                    <w:rPr>
                      <w:rFonts w:hint="eastAsia" w:ascii="Times New Roman" w:hAnsi="Times New Roman" w:eastAsia="宋体"/>
                      <w:b/>
                      <w:i w:val="0"/>
                      <w:sz w:val="18"/>
                      <w:lang w:val="en-US" w:eastAsia="zh-CN"/>
                    </w:rPr>
                  </w:pPr>
                  <w:r>
                    <w:rPr>
                      <w:rFonts w:ascii="Times New Roman" w:hAnsi="Times New Roman" w:eastAsia="宋体"/>
                      <w:b/>
                      <w:i w:val="0"/>
                      <w:sz w:val="18"/>
                    </w:rPr>
                    <w:t>排放</w:t>
                  </w:r>
                  <w:r>
                    <w:rPr>
                      <w:rFonts w:hint="eastAsia" w:ascii="Times New Roman" w:hAnsi="Times New Roman"/>
                      <w:b/>
                      <w:i w:val="0"/>
                      <w:sz w:val="18"/>
                      <w:lang w:val="en-US" w:eastAsia="zh-CN"/>
                    </w:rPr>
                    <w:t>/清除量（</w:t>
                  </w:r>
                  <w:r>
                    <w:rPr>
                      <w:rFonts w:ascii="Times New Roman" w:hAnsi="Times New Roman" w:eastAsia="宋体"/>
                      <w:b/>
                      <w:i w:val="0"/>
                      <w:sz w:val="18"/>
                    </w:rPr>
                    <w:t>kg CO₂e）</w:t>
                  </w:r>
                </w:p>
              </w:tc>
              <w:tc>
                <w:tcPr>
                  <w:tcW w:w="1482" w:type="dxa"/>
                  <w:shd w:val="clear" w:color="auto" w:fill="D9D9D9"/>
                  <w:vAlign w:val="center"/>
                </w:tcPr>
                <w:p w14:paraId="7F25B796">
                  <w:pPr>
                    <w:spacing w:before="20" w:after="20" w:line="276" w:lineRule="auto"/>
                    <w:jc w:val="center"/>
                    <w:rPr>
                      <w:rFonts w:hint="eastAsia" w:ascii="Times New Roman" w:hAnsi="Times New Roman" w:eastAsia="宋体"/>
                      <w:b/>
                      <w:i w:val="0"/>
                      <w:sz w:val="18"/>
                      <w:lang w:eastAsia="zh-CN"/>
                    </w:rPr>
                  </w:pPr>
                  <w:r>
                    <w:rPr>
                      <w:rFonts w:hint="eastAsia" w:ascii="Times New Roman" w:hAnsi="Times New Roman"/>
                      <w:b/>
                      <w:i w:val="0"/>
                      <w:sz w:val="18"/>
                      <w:lang w:val="en-US" w:eastAsia="zh-CN"/>
                    </w:rPr>
                    <w:t>占比</w:t>
                  </w:r>
                </w:p>
              </w:tc>
            </w:tr>
            <w:tr w14:paraId="4462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63444245">
                  <w:pPr>
                    <w:spacing w:before="20" w:after="20" w:line="276" w:lineRule="auto"/>
                    <w:jc w:val="left"/>
                    <w:rPr>
                      <w:rFonts w:hint="default"/>
                      <w:lang w:val="en-US" w:eastAsia="zh-CN"/>
                    </w:rPr>
                  </w:pPr>
                  <w:r>
                    <w:rPr>
                      <w:rFonts w:hint="eastAsia"/>
                      <w:b/>
                      <w:bCs/>
                      <w:lang w:val="en-US" w:eastAsia="zh-CN"/>
                    </w:rPr>
                    <w:t>碳排放清单</w:t>
                  </w:r>
                </w:p>
              </w:tc>
              <w:tc>
                <w:tcPr>
                  <w:tcW w:w="2006" w:type="dxa"/>
                  <w:vAlign w:val="center"/>
                </w:tcPr>
                <w:p w14:paraId="013D91BE">
                  <w:pPr>
                    <w:spacing w:before="20" w:after="20" w:line="276" w:lineRule="auto"/>
                    <w:jc w:val="center"/>
                  </w:pPr>
                </w:p>
              </w:tc>
              <w:tc>
                <w:tcPr>
                  <w:tcW w:w="2232" w:type="dxa"/>
                  <w:vAlign w:val="center"/>
                </w:tcPr>
                <w:p w14:paraId="690FB54A">
                  <w:pPr>
                    <w:spacing w:before="20" w:after="20" w:line="276" w:lineRule="auto"/>
                    <w:jc w:val="center"/>
                  </w:pPr>
                </w:p>
              </w:tc>
              <w:tc>
                <w:tcPr>
                  <w:tcW w:w="1482" w:type="dxa"/>
                  <w:vAlign w:val="center"/>
                </w:tcPr>
                <w:p w14:paraId="5BDAC8A5">
                  <w:pPr>
                    <w:spacing w:before="20" w:after="20" w:line="276" w:lineRule="auto"/>
                    <w:jc w:val="center"/>
                  </w:pPr>
                </w:p>
              </w:tc>
            </w:tr>
            <w:tr w14:paraId="4D83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6A6542F7">
                  <w:pPr>
                    <w:spacing w:before="20" w:after="20" w:line="276" w:lineRule="auto"/>
                    <w:jc w:val="left"/>
                    <w:rPr>
                      <w:rFonts w:hint="eastAsia"/>
                      <w:lang w:val="en-US" w:eastAsia="zh-CN"/>
                    </w:rPr>
                  </w:pPr>
                  <w:r>
                    <w:rPr>
                      <w:rFonts w:hint="eastAsia"/>
                      <w:lang w:val="en-US" w:eastAsia="zh-CN"/>
                    </w:rPr>
                    <w:t>原材料获取与投入阶段</w:t>
                  </w:r>
                </w:p>
              </w:tc>
              <w:tc>
                <w:tcPr>
                  <w:tcW w:w="2006" w:type="dxa"/>
                  <w:vAlign w:val="center"/>
                </w:tcPr>
                <w:p w14:paraId="1D29176F">
                  <w:pPr>
                    <w:spacing w:before="20" w:after="20" w:line="276" w:lineRule="auto"/>
                    <w:jc w:val="center"/>
                  </w:pPr>
                </w:p>
              </w:tc>
              <w:tc>
                <w:tcPr>
                  <w:tcW w:w="2232" w:type="dxa"/>
                  <w:vAlign w:val="center"/>
                </w:tcPr>
                <w:p w14:paraId="105DED1B">
                  <w:pPr>
                    <w:spacing w:before="20" w:after="20" w:line="276" w:lineRule="auto"/>
                    <w:jc w:val="center"/>
                  </w:pPr>
                </w:p>
              </w:tc>
              <w:tc>
                <w:tcPr>
                  <w:tcW w:w="1482" w:type="dxa"/>
                  <w:vAlign w:val="center"/>
                </w:tcPr>
                <w:p w14:paraId="081D0822">
                  <w:pPr>
                    <w:spacing w:before="20" w:after="20" w:line="276" w:lineRule="auto"/>
                    <w:jc w:val="center"/>
                  </w:pPr>
                </w:p>
              </w:tc>
            </w:tr>
            <w:tr w14:paraId="0D9D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7690D31D">
                  <w:pPr>
                    <w:spacing w:before="20" w:after="20" w:line="276" w:lineRule="auto"/>
                    <w:jc w:val="left"/>
                    <w:rPr>
                      <w:rFonts w:hint="default"/>
                      <w:lang w:val="en-US" w:eastAsia="zh-CN"/>
                    </w:rPr>
                  </w:pPr>
                  <w:r>
                    <w:rPr>
                      <w:rFonts w:hint="eastAsia"/>
                      <w:lang w:val="en-US" w:eastAsia="zh-CN"/>
                    </w:rPr>
                    <w:t>生产阶段（种植阶段）</w:t>
                  </w:r>
                </w:p>
              </w:tc>
              <w:tc>
                <w:tcPr>
                  <w:tcW w:w="2006" w:type="dxa"/>
                  <w:vAlign w:val="center"/>
                </w:tcPr>
                <w:p w14:paraId="66B80C5B">
                  <w:pPr>
                    <w:spacing w:before="20" w:after="20" w:line="276" w:lineRule="auto"/>
                    <w:jc w:val="center"/>
                  </w:pPr>
                </w:p>
              </w:tc>
              <w:tc>
                <w:tcPr>
                  <w:tcW w:w="2232" w:type="dxa"/>
                  <w:vAlign w:val="center"/>
                </w:tcPr>
                <w:p w14:paraId="3B001B66">
                  <w:pPr>
                    <w:spacing w:before="20" w:after="20" w:line="276" w:lineRule="auto"/>
                    <w:jc w:val="center"/>
                  </w:pPr>
                </w:p>
              </w:tc>
              <w:tc>
                <w:tcPr>
                  <w:tcW w:w="1482" w:type="dxa"/>
                  <w:vAlign w:val="center"/>
                </w:tcPr>
                <w:p w14:paraId="618DF6F5">
                  <w:pPr>
                    <w:spacing w:before="20" w:after="20" w:line="276" w:lineRule="auto"/>
                    <w:jc w:val="center"/>
                  </w:pPr>
                </w:p>
              </w:tc>
            </w:tr>
            <w:tr w14:paraId="1A23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04E0D397">
                  <w:pPr>
                    <w:spacing w:before="20" w:after="20" w:line="276" w:lineRule="auto"/>
                    <w:jc w:val="left"/>
                    <w:rPr>
                      <w:rFonts w:hint="eastAsia"/>
                      <w:lang w:val="en-US" w:eastAsia="zh-CN"/>
                    </w:rPr>
                  </w:pPr>
                  <w:r>
                    <w:rPr>
                      <w:rFonts w:hint="eastAsia"/>
                      <w:lang w:val="en-US" w:eastAsia="zh-CN"/>
                    </w:rPr>
                    <w:t>生产阶段（包装阶段）</w:t>
                  </w:r>
                </w:p>
              </w:tc>
              <w:tc>
                <w:tcPr>
                  <w:tcW w:w="2006" w:type="dxa"/>
                  <w:vAlign w:val="center"/>
                </w:tcPr>
                <w:p w14:paraId="79F38F7E">
                  <w:pPr>
                    <w:spacing w:before="20" w:after="20" w:line="276" w:lineRule="auto"/>
                    <w:jc w:val="center"/>
                  </w:pPr>
                </w:p>
              </w:tc>
              <w:tc>
                <w:tcPr>
                  <w:tcW w:w="2232" w:type="dxa"/>
                  <w:vAlign w:val="center"/>
                </w:tcPr>
                <w:p w14:paraId="020FA863">
                  <w:pPr>
                    <w:spacing w:before="20" w:after="20" w:line="276" w:lineRule="auto"/>
                    <w:jc w:val="center"/>
                  </w:pPr>
                </w:p>
              </w:tc>
              <w:tc>
                <w:tcPr>
                  <w:tcW w:w="1482" w:type="dxa"/>
                  <w:vAlign w:val="center"/>
                </w:tcPr>
                <w:p w14:paraId="699F2A9D">
                  <w:pPr>
                    <w:spacing w:before="20" w:after="20" w:line="276" w:lineRule="auto"/>
                    <w:jc w:val="center"/>
                  </w:pPr>
                </w:p>
              </w:tc>
            </w:tr>
            <w:tr w14:paraId="64C1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231C2113">
                  <w:pPr>
                    <w:spacing w:before="20" w:after="20" w:line="276" w:lineRule="auto"/>
                    <w:jc w:val="left"/>
                    <w:rPr>
                      <w:rFonts w:hint="default"/>
                      <w:lang w:val="en-US" w:eastAsia="zh-CN"/>
                    </w:rPr>
                  </w:pPr>
                  <w:r>
                    <w:rPr>
                      <w:rFonts w:hint="eastAsia"/>
                      <w:lang w:val="en-US" w:eastAsia="zh-CN"/>
                    </w:rPr>
                    <w:t>小计</w:t>
                  </w:r>
                </w:p>
              </w:tc>
              <w:tc>
                <w:tcPr>
                  <w:tcW w:w="2006" w:type="dxa"/>
                  <w:vAlign w:val="center"/>
                </w:tcPr>
                <w:p w14:paraId="7169C393">
                  <w:pPr>
                    <w:spacing w:before="20" w:after="20" w:line="276" w:lineRule="auto"/>
                    <w:jc w:val="center"/>
                  </w:pPr>
                </w:p>
              </w:tc>
              <w:tc>
                <w:tcPr>
                  <w:tcW w:w="2232" w:type="dxa"/>
                  <w:vAlign w:val="center"/>
                </w:tcPr>
                <w:p w14:paraId="110BD688">
                  <w:pPr>
                    <w:spacing w:before="20" w:after="20" w:line="276" w:lineRule="auto"/>
                    <w:jc w:val="center"/>
                  </w:pPr>
                </w:p>
              </w:tc>
              <w:tc>
                <w:tcPr>
                  <w:tcW w:w="1482" w:type="dxa"/>
                  <w:vAlign w:val="center"/>
                </w:tcPr>
                <w:p w14:paraId="3D74087E">
                  <w:pPr>
                    <w:spacing w:before="20" w:after="20" w:line="276" w:lineRule="auto"/>
                    <w:jc w:val="center"/>
                  </w:pPr>
                </w:p>
              </w:tc>
            </w:tr>
            <w:tr w14:paraId="6CC0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67594E24">
                  <w:pPr>
                    <w:spacing w:before="20" w:after="20" w:line="276" w:lineRule="auto"/>
                    <w:jc w:val="left"/>
                    <w:rPr>
                      <w:rFonts w:hint="default"/>
                      <w:lang w:val="en-US" w:eastAsia="zh-CN"/>
                    </w:rPr>
                  </w:pPr>
                  <w:r>
                    <w:rPr>
                      <w:rFonts w:hint="eastAsia"/>
                      <w:b/>
                      <w:bCs/>
                      <w:lang w:val="en-US" w:eastAsia="zh-CN"/>
                    </w:rPr>
                    <w:t>碳汇清单</w:t>
                  </w:r>
                </w:p>
              </w:tc>
              <w:tc>
                <w:tcPr>
                  <w:tcW w:w="2006" w:type="dxa"/>
                  <w:vAlign w:val="center"/>
                </w:tcPr>
                <w:p w14:paraId="7E32E1E4">
                  <w:pPr>
                    <w:spacing w:before="20" w:after="20" w:line="276" w:lineRule="auto"/>
                    <w:jc w:val="center"/>
                  </w:pPr>
                </w:p>
              </w:tc>
              <w:tc>
                <w:tcPr>
                  <w:tcW w:w="2232" w:type="dxa"/>
                  <w:vAlign w:val="center"/>
                </w:tcPr>
                <w:p w14:paraId="35FE33C4">
                  <w:pPr>
                    <w:spacing w:before="20" w:after="20" w:line="276" w:lineRule="auto"/>
                    <w:jc w:val="center"/>
                  </w:pPr>
                </w:p>
              </w:tc>
              <w:tc>
                <w:tcPr>
                  <w:tcW w:w="1482" w:type="dxa"/>
                  <w:vAlign w:val="center"/>
                </w:tcPr>
                <w:p w14:paraId="2E701536">
                  <w:pPr>
                    <w:spacing w:before="20" w:after="20" w:line="276" w:lineRule="auto"/>
                    <w:jc w:val="center"/>
                  </w:pPr>
                </w:p>
              </w:tc>
            </w:tr>
            <w:tr w14:paraId="7D8E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484600BF">
                  <w:pPr>
                    <w:spacing w:before="20" w:after="20" w:line="276" w:lineRule="auto"/>
                    <w:jc w:val="left"/>
                    <w:rPr>
                      <w:rFonts w:hint="default"/>
                      <w:lang w:val="en-US" w:eastAsia="zh-CN"/>
                    </w:rPr>
                  </w:pPr>
                  <w:r>
                    <w:rPr>
                      <w:rFonts w:hint="eastAsia"/>
                      <w:lang w:val="en-US" w:eastAsia="zh-CN"/>
                    </w:rPr>
                    <w:t>种植阶段（碳汇）</w:t>
                  </w:r>
                </w:p>
              </w:tc>
              <w:tc>
                <w:tcPr>
                  <w:tcW w:w="2006" w:type="dxa"/>
                  <w:vAlign w:val="center"/>
                </w:tcPr>
                <w:p w14:paraId="395F96BF">
                  <w:pPr>
                    <w:spacing w:before="20" w:after="20" w:line="276" w:lineRule="auto"/>
                    <w:jc w:val="center"/>
                  </w:pPr>
                </w:p>
              </w:tc>
              <w:tc>
                <w:tcPr>
                  <w:tcW w:w="2232" w:type="dxa"/>
                  <w:vAlign w:val="center"/>
                </w:tcPr>
                <w:p w14:paraId="2A92B0F9">
                  <w:pPr>
                    <w:spacing w:before="20" w:after="20" w:line="276" w:lineRule="auto"/>
                    <w:jc w:val="center"/>
                  </w:pPr>
                </w:p>
              </w:tc>
              <w:tc>
                <w:tcPr>
                  <w:tcW w:w="1482" w:type="dxa"/>
                  <w:vAlign w:val="center"/>
                </w:tcPr>
                <w:p w14:paraId="2F68BE01">
                  <w:pPr>
                    <w:spacing w:before="20" w:after="20" w:line="276" w:lineRule="auto"/>
                    <w:jc w:val="center"/>
                  </w:pPr>
                </w:p>
              </w:tc>
            </w:tr>
            <w:tr w14:paraId="7E19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5" w:type="dxa"/>
                  <w:vAlign w:val="center"/>
                </w:tcPr>
                <w:p w14:paraId="19914927">
                  <w:pPr>
                    <w:spacing w:before="20" w:after="20" w:line="276" w:lineRule="auto"/>
                    <w:jc w:val="left"/>
                    <w:rPr>
                      <w:rFonts w:hint="default"/>
                      <w:lang w:val="en-US" w:eastAsia="zh-CN"/>
                    </w:rPr>
                  </w:pPr>
                  <w:r>
                    <w:rPr>
                      <w:rFonts w:hint="eastAsia"/>
                      <w:b/>
                      <w:bCs/>
                      <w:lang w:val="en-US" w:eastAsia="zh-CN"/>
                    </w:rPr>
                    <w:t>碳足迹结果</w:t>
                  </w:r>
                </w:p>
              </w:tc>
              <w:tc>
                <w:tcPr>
                  <w:tcW w:w="2006" w:type="dxa"/>
                  <w:vAlign w:val="center"/>
                </w:tcPr>
                <w:p w14:paraId="1DFB12B0">
                  <w:pPr>
                    <w:spacing w:before="20" w:after="20" w:line="276" w:lineRule="auto"/>
                    <w:jc w:val="center"/>
                  </w:pPr>
                </w:p>
              </w:tc>
              <w:tc>
                <w:tcPr>
                  <w:tcW w:w="2232" w:type="dxa"/>
                  <w:vAlign w:val="center"/>
                </w:tcPr>
                <w:p w14:paraId="56EA2012">
                  <w:pPr>
                    <w:spacing w:before="20" w:after="20" w:line="276" w:lineRule="auto"/>
                    <w:jc w:val="center"/>
                  </w:pPr>
                </w:p>
              </w:tc>
              <w:tc>
                <w:tcPr>
                  <w:tcW w:w="1482" w:type="dxa"/>
                  <w:vAlign w:val="center"/>
                </w:tcPr>
                <w:p w14:paraId="7386CAA0">
                  <w:pPr>
                    <w:spacing w:before="20" w:after="20" w:line="276" w:lineRule="auto"/>
                    <w:jc w:val="center"/>
                  </w:pPr>
                </w:p>
              </w:tc>
            </w:tr>
          </w:tbl>
          <w:p w14:paraId="194F4C28">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p>
          <w:p w14:paraId="43F64EE0">
            <w:pPr>
              <w:pStyle w:val="38"/>
              <w:keepNext w:val="0"/>
              <w:keepLines w:val="0"/>
              <w:pageBreakBefore w:val="0"/>
              <w:widowControl/>
              <w:numPr>
                <w:ilvl w:val="0"/>
                <w:numId w:val="39"/>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假设和局限性说明</w:t>
            </w:r>
          </w:p>
          <w:p w14:paraId="0BE8F9D4">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u w:val="single"/>
                <w:vertAlign w:val="baseline"/>
                <w:lang w:eastAsia="zh-CN"/>
              </w:rPr>
            </w:pPr>
            <w:r>
              <w:rPr>
                <w:rFonts w:hint="eastAsia"/>
                <w:u w:val="single"/>
                <w:vertAlign w:val="baseline"/>
                <w:lang w:eastAsia="zh-CN"/>
              </w:rPr>
              <w:t>写核算过程人为做出的假设前提，以及客观数据、方法带来的固有局限，说明结果的适用边界。</w:t>
            </w:r>
          </w:p>
          <w:p w14:paraId="71080CFB">
            <w:pPr>
              <w:pStyle w:val="38"/>
              <w:keepNext w:val="0"/>
              <w:keepLines w:val="0"/>
              <w:pageBreakBefore w:val="0"/>
              <w:widowControl/>
              <w:numPr>
                <w:ilvl w:val="0"/>
                <w:numId w:val="39"/>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敏感性说明</w:t>
            </w:r>
          </w:p>
          <w:p w14:paraId="0AF3C763">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u w:val="single"/>
                <w:vertAlign w:val="baseline"/>
                <w:lang w:eastAsia="zh-CN"/>
              </w:rPr>
            </w:pPr>
            <w:r>
              <w:rPr>
                <w:rFonts w:hint="eastAsia"/>
                <w:u w:val="single"/>
                <w:vertAlign w:val="baseline"/>
                <w:lang w:eastAsia="zh-CN"/>
              </w:rPr>
              <w:t>分析哪些输入参数变动，会显著改变最终碳足迹结果；识别关键敏感参数，说明结果的稳定程度。</w:t>
            </w:r>
          </w:p>
          <w:p w14:paraId="36D4B536">
            <w:pPr>
              <w:pStyle w:val="38"/>
              <w:keepNext w:val="0"/>
              <w:keepLines w:val="0"/>
              <w:pageBreakBefore w:val="0"/>
              <w:widowControl/>
              <w:numPr>
                <w:ilvl w:val="0"/>
                <w:numId w:val="39"/>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特殊说明</w:t>
            </w:r>
          </w:p>
          <w:p w14:paraId="07428FD7">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vertAlign w:val="baseline"/>
                <w:lang w:eastAsia="zh-CN"/>
              </w:rPr>
            </w:pPr>
            <w:r>
              <w:rPr>
                <w:rFonts w:hint="eastAsia"/>
                <w:u w:val="single"/>
                <w:vertAlign w:val="baseline"/>
                <w:lang w:eastAsia="zh-CN"/>
              </w:rPr>
              <w:t>需要特别留意的补充事项，是其它章节放不下的特殊约定、提醒、免责。</w:t>
            </w:r>
          </w:p>
          <w:p w14:paraId="008C69A8">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5．结论及建议</w:t>
            </w:r>
          </w:p>
        </w:tc>
      </w:tr>
      <w:bookmarkEnd w:id="84"/>
    </w:tbl>
    <w:p w14:paraId="554A91B8">
      <w:pPr>
        <w:pStyle w:val="38"/>
        <w:bidi w:val="0"/>
        <w:rPr>
          <w:rFonts w:hint="eastAsia"/>
          <w:lang w:val="en-US" w:eastAsia="zh-CN"/>
        </w:rPr>
        <w:sectPr>
          <w:pgSz w:w="11906" w:h="16838"/>
          <w:pgMar w:top="1928" w:right="1134" w:bottom="1134" w:left="1134" w:header="1418" w:footer="1134" w:gutter="284"/>
          <w:pgNumType w:fmt="decimal"/>
          <w:cols w:space="425" w:num="1"/>
          <w:formProt w:val="0"/>
          <w:docGrid w:linePitch="312" w:charSpace="0"/>
        </w:sectPr>
      </w:pPr>
      <w:bookmarkStart w:id="100" w:name="BookMark6"/>
    </w:p>
    <w:p w14:paraId="4C0525B5">
      <w:pPr>
        <w:pStyle w:val="69"/>
        <w:bidi w:val="0"/>
        <w:rPr>
          <w:rFonts w:hint="eastAsia"/>
          <w:lang w:val="en-US" w:eastAsia="zh-CN"/>
        </w:rPr>
      </w:pPr>
      <w:bookmarkStart w:id="101" w:name="_Toc3255"/>
      <w:bookmarkStart w:id="102" w:name="_Toc20505"/>
      <w:bookmarkStart w:id="103" w:name="_Toc25171"/>
      <w:r>
        <w:rPr>
          <w:rFonts w:hint="eastAsia"/>
          <w:spacing w:val="105"/>
          <w:lang w:val="en-US" w:eastAsia="zh-CN"/>
        </w:rPr>
        <w:t>参考文</w:t>
      </w:r>
      <w:r>
        <w:rPr>
          <w:rFonts w:hint="eastAsia"/>
          <w:lang w:val="en-US" w:eastAsia="zh-CN"/>
        </w:rPr>
        <w:t>献</w:t>
      </w:r>
      <w:bookmarkEnd w:id="101"/>
      <w:bookmarkEnd w:id="102"/>
      <w:bookmarkEnd w:id="103"/>
    </w:p>
    <w:p w14:paraId="2455477E">
      <w:pPr>
        <w:pStyle w:val="70"/>
        <w:bidi w:val="0"/>
      </w:pPr>
      <w:r>
        <w:rPr>
          <w:rFonts w:hint="eastAsia" w:ascii="Times New Roman" w:hAnsi="Times New Roman" w:eastAsia="宋体" w:cs="Times New Roman"/>
          <w:b w:val="0"/>
          <w:i w:val="0"/>
          <w:sz w:val="21"/>
          <w:szCs w:val="21"/>
          <w:lang w:val="en-US" w:eastAsia="zh-CN"/>
        </w:rPr>
        <w:t>T/CGFA 012—2025  温室气体  产品碳足迹量化方法与要求  种植农产品</w:t>
      </w:r>
    </w:p>
    <w:p w14:paraId="70885F03">
      <w:pPr>
        <w:pStyle w:val="70"/>
        <w:bidi w:val="0"/>
      </w:pPr>
      <w:r>
        <w:rPr>
          <w:rFonts w:hint="eastAsia" w:ascii="Times New Roman" w:hAnsi="Times New Roman" w:eastAsia="宋体" w:cs="Times New Roman"/>
          <w:b w:val="0"/>
          <w:i w:val="0"/>
          <w:sz w:val="21"/>
          <w:szCs w:val="21"/>
          <w:lang w:val="en-US" w:eastAsia="zh-CN"/>
        </w:rPr>
        <w:t>DB4420/T 18—2022  中山市鲜食菊花栽培技术标准</w:t>
      </w:r>
    </w:p>
    <w:p w14:paraId="0C7D2A68">
      <w:pPr>
        <w:pStyle w:val="70"/>
        <w:bidi w:val="0"/>
      </w:pPr>
      <w:r>
        <w:rPr>
          <w:rFonts w:hint="eastAsia" w:ascii="Times New Roman" w:hAnsi="Times New Roman" w:eastAsia="宋体" w:cs="Times New Roman"/>
          <w:b w:val="0"/>
          <w:i w:val="0"/>
          <w:sz w:val="21"/>
          <w:szCs w:val="21"/>
          <w:lang w:val="en-US" w:eastAsia="zh-CN"/>
        </w:rPr>
        <w:t>CNCA-CFP-00:2025  产品碳足迹标识认证通用实施规则（试行）</w:t>
      </w:r>
    </w:p>
    <w:p w14:paraId="54FF9991">
      <w:pPr>
        <w:pStyle w:val="70"/>
        <w:bidi w:val="0"/>
      </w:pPr>
      <w:r>
        <w:rPr>
          <w:rFonts w:hint="eastAsia" w:ascii="Times New Roman" w:hAnsi="Times New Roman" w:eastAsia="宋体" w:cs="Times New Roman"/>
          <w:b w:val="0"/>
          <w:i w:val="0"/>
          <w:sz w:val="21"/>
          <w:szCs w:val="21"/>
          <w:lang w:val="en-US" w:eastAsia="zh-CN"/>
        </w:rPr>
        <w:t>ISO 14067:2018  Greenhouse gases — Carbon footprint of products — Requirements and guidelines for quantification</w:t>
      </w:r>
    </w:p>
    <w:p w14:paraId="6CA340F2">
      <w:pPr>
        <w:pStyle w:val="70"/>
        <w:bidi w:val="0"/>
      </w:pPr>
      <w:r>
        <w:rPr>
          <w:rFonts w:hint="eastAsia" w:ascii="Times New Roman" w:hAnsi="Times New Roman" w:eastAsia="宋体" w:cs="Times New Roman"/>
          <w:b w:val="0"/>
          <w:i w:val="0"/>
          <w:sz w:val="21"/>
          <w:szCs w:val="21"/>
          <w:lang w:val="en-US" w:eastAsia="zh-CN"/>
        </w:rPr>
        <w:t>PAS 2050:2011  Specification for the assessment of the life cycle greenhouse gas emissions of goods and services</w:t>
      </w:r>
    </w:p>
    <w:p w14:paraId="2C372B36">
      <w:pPr>
        <w:pStyle w:val="70"/>
        <w:bidi w:val="0"/>
      </w:pPr>
      <w:r>
        <w:rPr>
          <w:rFonts w:hint="eastAsia" w:ascii="Times New Roman" w:hAnsi="Times New Roman" w:eastAsia="宋体" w:cs="Times New Roman"/>
          <w:b w:val="0"/>
          <w:i w:val="0"/>
          <w:sz w:val="21"/>
          <w:szCs w:val="21"/>
          <w:lang w:val="en-US" w:eastAsia="zh-CN"/>
        </w:rPr>
        <w:t>IPCC, 2006. IPCC Guidelines for National Greenhouse Gas Inventories, Volume 4: Agriculture, Forestry and Other Land Use. Kanagawa: IGES</w:t>
      </w:r>
    </w:p>
    <w:p w14:paraId="33A82A4D">
      <w:pPr>
        <w:pStyle w:val="70"/>
        <w:bidi w:val="0"/>
      </w:pPr>
      <w:r>
        <w:rPr>
          <w:rFonts w:hint="eastAsia" w:ascii="Times New Roman" w:hAnsi="Times New Roman" w:eastAsia="宋体" w:cs="Times New Roman"/>
          <w:b w:val="0"/>
          <w:i w:val="0"/>
          <w:sz w:val="21"/>
          <w:szCs w:val="21"/>
          <w:lang w:val="en-US" w:eastAsia="zh-CN"/>
        </w:rPr>
        <w:t>IPCC, 2019. Refinement to the 2006 IPCC Guidelines for National Greenhouse Gas Inventories, Volume 4: Agriculture, Forestry and Other Land Use</w:t>
      </w:r>
    </w:p>
    <w:p w14:paraId="122BD277">
      <w:pPr>
        <w:pStyle w:val="70"/>
        <w:bidi w:val="0"/>
      </w:pPr>
      <w:r>
        <w:rPr>
          <w:rFonts w:hint="eastAsia" w:ascii="Times New Roman" w:hAnsi="Times New Roman" w:eastAsia="宋体" w:cs="Times New Roman"/>
          <w:b w:val="0"/>
          <w:i w:val="0"/>
          <w:sz w:val="21"/>
          <w:szCs w:val="21"/>
          <w:lang w:val="en-US" w:eastAsia="zh-CN"/>
        </w:rPr>
        <w:t>IPCC, 2021. Climate Change 2021: The Physical Science Basis. Contribution of Working Group I to the Sixth Assessment Report of the IPCC</w:t>
      </w:r>
    </w:p>
    <w:p w14:paraId="1ADC41DD">
      <w:pPr>
        <w:pStyle w:val="70"/>
        <w:bidi w:val="0"/>
      </w:pPr>
      <w:r>
        <w:rPr>
          <w:rFonts w:hint="eastAsia" w:ascii="Times New Roman" w:hAnsi="Times New Roman" w:eastAsia="宋体" w:cs="Times New Roman"/>
          <w:b w:val="0"/>
          <w:i w:val="0"/>
          <w:sz w:val="21"/>
          <w:szCs w:val="21"/>
          <w:lang w:val="en-US" w:eastAsia="zh-CN"/>
        </w:rPr>
        <w:t>国家发展和改革委员会. 省级温室气体清单指南（试行）</w:t>
      </w:r>
    </w:p>
    <w:p w14:paraId="38C48105">
      <w:pPr>
        <w:pStyle w:val="70"/>
        <w:bidi w:val="0"/>
        <w:rPr>
          <w:rFonts w:hint="eastAsia"/>
          <w:lang w:val="en-US" w:eastAsia="zh-CN"/>
        </w:rPr>
      </w:pPr>
      <w:r>
        <w:rPr>
          <w:rFonts w:hint="eastAsia" w:ascii="Times New Roman" w:hAnsi="Times New Roman" w:eastAsia="宋体" w:cs="Times New Roman"/>
          <w:b w:val="0"/>
          <w:i w:val="0"/>
          <w:sz w:val="21"/>
          <w:szCs w:val="21"/>
          <w:lang w:val="en-US" w:eastAsia="zh-CN"/>
        </w:rPr>
        <w:t>生态环境部、国家统计局. 关于发布2022年电力二氧化碳排放因子的公告</w:t>
      </w:r>
    </w:p>
    <w:p w14:paraId="61818C83">
      <w:pPr>
        <w:pStyle w:val="38"/>
        <w:bidi w:val="0"/>
        <w:rPr>
          <w:rFonts w:hint="eastAsia"/>
          <w:lang w:val="en-US" w:eastAsia="zh-CN"/>
        </w:rPr>
      </w:pPr>
    </w:p>
    <w:p w14:paraId="30084B2D">
      <w:pPr>
        <w:pStyle w:val="38"/>
        <w:bidi w:val="0"/>
        <w:rPr>
          <w:rFonts w:hint="eastAsia"/>
          <w:lang w:val="en-US" w:eastAsia="zh-CN"/>
        </w:rPr>
      </w:pPr>
    </w:p>
    <w:p w14:paraId="378028D2">
      <w:pPr>
        <w:pStyle w:val="38"/>
        <w:bidi w:val="0"/>
        <w:rPr>
          <w:rFonts w:hint="eastAsia"/>
          <w:lang w:val="en-US" w:eastAsia="zh-CN"/>
        </w:rPr>
      </w:pPr>
    </w:p>
    <w:bookmarkEnd w:id="100"/>
    <w:p w14:paraId="07D2B79A">
      <w:pPr>
        <w:pStyle w:val="38"/>
        <w:bidi w:val="0"/>
        <w:ind w:firstLine="0" w:firstLineChars="0"/>
        <w:jc w:val="center"/>
        <w:rPr>
          <w:rFonts w:hint="eastAsia"/>
          <w:lang w:val="en-US" w:eastAsia="zh-CN"/>
        </w:rPr>
      </w:pPr>
      <w:bookmarkStart w:id="104" w:name="BookMark8"/>
      <w:r>
        <w:rPr>
          <w:rFonts w:hint="eastAsia"/>
          <w:lang w:val="en-US" w:eastAsia="zh-CN"/>
        </w:rPr>
        <w:drawing>
          <wp:inline distT="0" distB="0" distL="114300" distR="114300">
            <wp:extent cx="1485900" cy="317500"/>
            <wp:effectExtent l="0" t="0" r="0" b="6350"/>
            <wp:docPr id="3" name="图片 3" descr="1"/>
            <wp:cNvGraphicFramePr/>
            <a:graphic xmlns:a="http://schemas.openxmlformats.org/drawingml/2006/main">
              <a:graphicData uri="http://schemas.openxmlformats.org/drawingml/2006/picture">
                <pic:pic xmlns:pic="http://schemas.openxmlformats.org/drawingml/2006/picture">
                  <pic:nvPicPr>
                    <pic:cNvPr id="3" name="图片 3" descr="1"/>
                    <pic:cNvPicPr/>
                  </pic:nvPicPr>
                  <pic:blipFill>
                    <a:blip r:embed="rId15"/>
                    <a:stretch>
                      <a:fillRect/>
                    </a:stretch>
                  </pic:blipFill>
                  <pic:spPr>
                    <a:xfrm>
                      <a:off x="0" y="0"/>
                      <a:ext cx="1485900" cy="317500"/>
                    </a:xfrm>
                    <a:prstGeom prst="rect">
                      <a:avLst/>
                    </a:prstGeom>
                  </pic:spPr>
                </pic:pic>
              </a:graphicData>
            </a:graphic>
          </wp:inline>
        </w:drawing>
      </w:r>
      <w:bookmarkEnd w:id="104"/>
    </w:p>
    <w:sectPr>
      <w:pgSz w:w="11906" w:h="16838"/>
      <w:pgMar w:top="1928" w:right="1134" w:bottom="1134" w:left="1134" w:header="1418" w:footer="1134" w:gutter="284"/>
      <w:pgNumType w:fmt="decimal"/>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MS Mincho">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6B6D">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E29D">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2EF22">
    <w:pPr>
      <w:pStyle w:val="59"/>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1CD1">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CA2E">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13336">
    <w:pPr>
      <w:pStyle w:val="67"/>
      <w:rPr>
        <w:rFonts w:hint="eastAsia"/>
      </w:rPr>
    </w:pPr>
    <w:r>
      <w:fldChar w:fldCharType="begin"/>
    </w:r>
    <w:r>
      <w:instrText xml:space="preserve"> STYLEREF  标准文件_文件编号  \* MERGEFORMAT </w:instrText>
    </w:r>
    <w:r>
      <w:fldChar w:fldCharType="separate"/>
    </w:r>
    <w:r>
      <w:t>T/ZSESS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9020FA"/>
    <w:multiLevelType w:val="multilevel"/>
    <w:tmpl w:val="A09020F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AB485101"/>
    <w:multiLevelType w:val="multilevel"/>
    <w:tmpl w:val="AB48510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CCAA0978"/>
    <w:multiLevelType w:val="multilevel"/>
    <w:tmpl w:val="CCAA097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E4B59F14"/>
    <w:multiLevelType w:val="singleLevel"/>
    <w:tmpl w:val="E4B59F14"/>
    <w:lvl w:ilvl="0" w:tentative="0">
      <w:start w:val="2"/>
      <w:numFmt w:val="decimal"/>
      <w:suff w:val="nothing"/>
      <w:lvlText w:val="%1．"/>
      <w:lvlJc w:val="left"/>
    </w:lvl>
  </w:abstractNum>
  <w:abstractNum w:abstractNumId="4">
    <w:nsid w:val="019369F7"/>
    <w:multiLevelType w:val="multilevel"/>
    <w:tmpl w:val="019369F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6">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7">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8">
    <w:nsid w:val="07ED3FEA"/>
    <w:multiLevelType w:val="multilevel"/>
    <w:tmpl w:val="07ED3FEA"/>
    <w:lvl w:ilvl="0" w:tentative="0">
      <w:start w:val="1"/>
      <w:numFmt w:val="none"/>
      <w:pStyle w:val="94"/>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0">
    <w:nsid w:val="0BDC1670"/>
    <w:multiLevelType w:val="multilevel"/>
    <w:tmpl w:val="0BDC1670"/>
    <w:lvl w:ilvl="0" w:tentative="0">
      <w:start w:val="1"/>
      <w:numFmt w:val="decimal"/>
      <w:pStyle w:val="72"/>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2">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AF15012"/>
    <w:multiLevelType w:val="multilevel"/>
    <w:tmpl w:val="1AF15012"/>
    <w:lvl w:ilvl="0" w:tentative="0">
      <w:start w:val="1"/>
      <w:numFmt w:val="upperLetter"/>
      <w:pStyle w:val="90"/>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1EAA1992"/>
    <w:multiLevelType w:val="multilevel"/>
    <w:tmpl w:val="1EAA1992"/>
    <w:lvl w:ilvl="0" w:tentative="0">
      <w:start w:val="1"/>
      <w:numFmt w:val="none"/>
      <w:pStyle w:val="97"/>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5">
    <w:nsid w:val="2227DFC6"/>
    <w:multiLevelType w:val="multilevel"/>
    <w:tmpl w:val="2227DFC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7">
    <w:nsid w:val="2E7863D1"/>
    <w:multiLevelType w:val="multilevel"/>
    <w:tmpl w:val="2E7863D1"/>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8">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9">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8"/>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0">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1">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2">
    <w:nsid w:val="54632751"/>
    <w:multiLevelType w:val="multilevel"/>
    <w:tmpl w:val="54632751"/>
    <w:lvl w:ilvl="0" w:tentative="0">
      <w:start w:val="1"/>
      <w:numFmt w:val="none"/>
      <w:pStyle w:val="98"/>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3">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4">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82"/>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5">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8A0ECD2"/>
    <w:multiLevelType w:val="multilevel"/>
    <w:tmpl w:val="58A0ECD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7">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8">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9">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0">
    <w:nsid w:val="657D3FBC"/>
    <w:multiLevelType w:val="multilevel"/>
    <w:tmpl w:val="657D3FBC"/>
    <w:lvl w:ilvl="0" w:tentative="0">
      <w:start w:val="1"/>
      <w:numFmt w:val="upperLetter"/>
      <w:pStyle w:val="81"/>
      <w:suff w:val="nothing"/>
      <w:lvlText w:val="附录%1"/>
      <w:lvlJc w:val="left"/>
      <w:pPr>
        <w:ind w:left="0" w:firstLine="0"/>
      </w:pPr>
      <w:rPr>
        <w:rFonts w:hint="eastAsia"/>
        <w:spacing w:val="100"/>
      </w:rPr>
    </w:lvl>
    <w:lvl w:ilvl="1" w:tentative="0">
      <w:start w:val="1"/>
      <w:numFmt w:val="decimal"/>
      <w:pStyle w:val="83"/>
      <w:suff w:val="nothing"/>
      <w:lvlText w:val="%1.%2　"/>
      <w:lvlJc w:val="left"/>
      <w:pPr>
        <w:ind w:left="0" w:firstLine="0"/>
      </w:pPr>
      <w:rPr>
        <w:rFonts w:hint="eastAsia" w:ascii="黑体" w:eastAsia="黑体"/>
        <w:b w:val="0"/>
        <w:i w:val="0"/>
        <w:sz w:val="21"/>
      </w:rPr>
    </w:lvl>
    <w:lvl w:ilvl="2" w:tentative="0">
      <w:start w:val="1"/>
      <w:numFmt w:val="decimal"/>
      <w:pStyle w:val="84"/>
      <w:suff w:val="nothing"/>
      <w:lvlText w:val="%1.%2.%3　"/>
      <w:lvlJc w:val="left"/>
      <w:pPr>
        <w:ind w:left="0" w:firstLine="0"/>
      </w:pPr>
      <w:rPr>
        <w:rFonts w:hint="eastAsia" w:ascii="黑体" w:eastAsia="黑体"/>
        <w:b w:val="0"/>
        <w:i w:val="0"/>
        <w:sz w:val="21"/>
      </w:rPr>
    </w:lvl>
    <w:lvl w:ilvl="3" w:tentative="0">
      <w:start w:val="1"/>
      <w:numFmt w:val="decimal"/>
      <w:pStyle w:val="86"/>
      <w:suff w:val="nothing"/>
      <w:lvlText w:val="%1.%2.%3.%4　"/>
      <w:lvlJc w:val="left"/>
      <w:pPr>
        <w:ind w:left="0" w:firstLine="0"/>
      </w:pPr>
      <w:rPr>
        <w:rFonts w:hint="eastAsia" w:ascii="黑体" w:eastAsia="黑体"/>
        <w:b w:val="0"/>
        <w:i w:val="0"/>
        <w:sz w:val="21"/>
      </w:rPr>
    </w:lvl>
    <w:lvl w:ilvl="4" w:tentative="0">
      <w:start w:val="1"/>
      <w:numFmt w:val="decimal"/>
      <w:pStyle w:val="87"/>
      <w:suff w:val="nothing"/>
      <w:lvlText w:val="%1.%2.%3.%4.%5　"/>
      <w:lvlJc w:val="left"/>
      <w:pPr>
        <w:ind w:left="0" w:firstLine="0"/>
      </w:pPr>
      <w:rPr>
        <w:rFonts w:hint="eastAsia" w:ascii="黑体" w:eastAsia="黑体"/>
        <w:b w:val="0"/>
        <w:i w:val="0"/>
        <w:sz w:val="21"/>
      </w:rPr>
    </w:lvl>
    <w:lvl w:ilvl="5" w:tentative="0">
      <w:start w:val="1"/>
      <w:numFmt w:val="decimal"/>
      <w:pStyle w:val="8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1">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2">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37"/>
      <w:suff w:val="nothing"/>
      <w:lvlText w:val="%1%2.%3.%4　"/>
      <w:lvlJc w:val="left"/>
      <w:pPr>
        <w:ind w:left="0" w:firstLine="0"/>
      </w:pPr>
      <w:rPr>
        <w:rFonts w:hint="eastAsia" w:ascii="黑体" w:eastAsia="黑体"/>
        <w:b w:val="0"/>
        <w:i w:val="0"/>
        <w:sz w:val="21"/>
      </w:rPr>
    </w:lvl>
    <w:lvl w:ilvl="4" w:tentative="0">
      <w:start w:val="1"/>
      <w:numFmt w:val="decimal"/>
      <w:pStyle w:val="39"/>
      <w:suff w:val="nothing"/>
      <w:lvlText w:val="%1%2.%3.%4.%5　"/>
      <w:lvlJc w:val="left"/>
      <w:pPr>
        <w:ind w:left="0" w:firstLine="0"/>
      </w:pPr>
      <w:rPr>
        <w:rFonts w:hint="eastAsia" w:ascii="黑体" w:eastAsia="黑体"/>
        <w:b w:val="0"/>
        <w:i w:val="0"/>
        <w:sz w:val="21"/>
      </w:rPr>
    </w:lvl>
    <w:lvl w:ilvl="5" w:tentative="0">
      <w:start w:val="1"/>
      <w:numFmt w:val="decimal"/>
      <w:pStyle w:val="40"/>
      <w:suff w:val="nothing"/>
      <w:lvlText w:val="%1%2.%3.%4.%5.%6　"/>
      <w:lvlJc w:val="left"/>
      <w:pPr>
        <w:ind w:left="0" w:firstLine="0"/>
      </w:pPr>
      <w:rPr>
        <w:rFonts w:hint="eastAsia" w:ascii="黑体" w:eastAsia="黑体"/>
        <w:b w:val="0"/>
        <w:i w:val="0"/>
        <w:sz w:val="21"/>
      </w:rPr>
    </w:lvl>
    <w:lvl w:ilvl="6" w:tentative="0">
      <w:start w:val="1"/>
      <w:numFmt w:val="decimal"/>
      <w:pStyle w:val="41"/>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5">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6">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7">
    <w:nsid w:val="732A7B53"/>
    <w:multiLevelType w:val="singleLevel"/>
    <w:tmpl w:val="732A7B53"/>
    <w:lvl w:ilvl="0" w:tentative="0">
      <w:start w:val="2"/>
      <w:numFmt w:val="decimal"/>
      <w:suff w:val="nothing"/>
      <w:lvlText w:val="%1．"/>
      <w:lvlJc w:val="left"/>
    </w:lvl>
  </w:abstractNum>
  <w:abstractNum w:abstractNumId="38">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4"/>
  </w:num>
  <w:num w:numId="2">
    <w:abstractNumId w:val="5"/>
  </w:num>
  <w:num w:numId="3">
    <w:abstractNumId w:val="10"/>
  </w:num>
  <w:num w:numId="4">
    <w:abstractNumId w:val="30"/>
  </w:num>
  <w:num w:numId="5">
    <w:abstractNumId w:val="24"/>
  </w:num>
  <w:num w:numId="6">
    <w:abstractNumId w:val="19"/>
  </w:num>
  <w:num w:numId="7">
    <w:abstractNumId w:val="13"/>
  </w:num>
  <w:num w:numId="8">
    <w:abstractNumId w:val="8"/>
  </w:num>
  <w:num w:numId="9">
    <w:abstractNumId w:val="14"/>
  </w:num>
  <w:num w:numId="10">
    <w:abstractNumId w:val="22"/>
  </w:num>
  <w:num w:numId="11">
    <w:abstractNumId w:val="32"/>
  </w:num>
  <w:num w:numId="12">
    <w:abstractNumId w:val="18"/>
  </w:num>
  <w:num w:numId="13">
    <w:abstractNumId w:val="17"/>
  </w:num>
  <w:num w:numId="14">
    <w:abstractNumId w:val="12"/>
  </w:num>
  <w:num w:numId="15">
    <w:abstractNumId w:val="25"/>
  </w:num>
  <w:num w:numId="16">
    <w:abstractNumId w:val="28"/>
  </w:num>
  <w:num w:numId="17">
    <w:abstractNumId w:val="23"/>
  </w:num>
  <w:num w:numId="18">
    <w:abstractNumId w:val="36"/>
  </w:num>
  <w:num w:numId="19">
    <w:abstractNumId w:val="21"/>
  </w:num>
  <w:num w:numId="20">
    <w:abstractNumId w:val="6"/>
  </w:num>
  <w:num w:numId="21">
    <w:abstractNumId w:val="16"/>
  </w:num>
  <w:num w:numId="22">
    <w:abstractNumId w:val="38"/>
  </w:num>
  <w:num w:numId="23">
    <w:abstractNumId w:val="27"/>
  </w:num>
  <w:num w:numId="24">
    <w:abstractNumId w:val="11"/>
  </w:num>
  <w:num w:numId="25">
    <w:abstractNumId w:val="33"/>
  </w:num>
  <w:num w:numId="26">
    <w:abstractNumId w:val="35"/>
  </w:num>
  <w:num w:numId="27">
    <w:abstractNumId w:val="7"/>
  </w:num>
  <w:num w:numId="28">
    <w:abstractNumId w:val="9"/>
  </w:num>
  <w:num w:numId="29">
    <w:abstractNumId w:val="20"/>
  </w:num>
  <w:num w:numId="30">
    <w:abstractNumId w:val="31"/>
  </w:num>
  <w:num w:numId="31">
    <w:abstractNumId w:val="29"/>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dit="forms" w:enforcement="1" w:cryptProviderType="rsaFull" w:cryptAlgorithmClass="hash" w:cryptAlgorithmType="typeAny" w:cryptAlgorithmSid="4" w:cryptSpinCount="0" w:hash="gMtqSVpJP/fc5e7L8fcMX1J9588=" w:salt="CWzY3zQkYZWVneu0TpWxUA=="/>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C7E94"/>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AA447B"/>
    <w:rsid w:val="087A1620"/>
    <w:rsid w:val="08916DDC"/>
    <w:rsid w:val="09361F9D"/>
    <w:rsid w:val="0A480A7B"/>
    <w:rsid w:val="1326566F"/>
    <w:rsid w:val="138A1E9B"/>
    <w:rsid w:val="158119DA"/>
    <w:rsid w:val="1A14526E"/>
    <w:rsid w:val="1BE91714"/>
    <w:rsid w:val="24E10366"/>
    <w:rsid w:val="27703DC3"/>
    <w:rsid w:val="28AD0F86"/>
    <w:rsid w:val="2F7F2206"/>
    <w:rsid w:val="305A21E2"/>
    <w:rsid w:val="3B351B46"/>
    <w:rsid w:val="41EB2984"/>
    <w:rsid w:val="46A47CDD"/>
    <w:rsid w:val="63B81E84"/>
    <w:rsid w:val="67047FFF"/>
    <w:rsid w:val="69B31FE7"/>
    <w:rsid w:val="72B700AD"/>
    <w:rsid w:val="766C7E94"/>
    <w:rsid w:val="7A1A0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3"/>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4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5"/>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6"/>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7"/>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8"/>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9"/>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91"/>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52"/>
    <w:semiHidden/>
    <w:unhideWhenUsed/>
    <w:qFormat/>
    <w:uiPriority w:val="99"/>
    <w:rPr>
      <w:sz w:val="18"/>
      <w:szCs w:val="18"/>
    </w:rPr>
  </w:style>
  <w:style w:type="paragraph" w:styleId="18">
    <w:name w:val="footer"/>
    <w:basedOn w:val="1"/>
    <w:link w:val="51"/>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50"/>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Title"/>
    <w:basedOn w:val="1"/>
    <w:link w:val="55"/>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HTML Code"/>
    <w:basedOn w:val="29"/>
    <w:semiHidden/>
    <w:unhideWhenUsed/>
    <w:qFormat/>
    <w:uiPriority w:val="99"/>
    <w:rPr>
      <w:rFonts w:ascii="Courier New" w:hAnsi="Courier New"/>
      <w:sz w:val="20"/>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3 字符"/>
    <w:link w:val="4"/>
    <w:qFormat/>
    <w:uiPriority w:val="0"/>
    <w:rPr>
      <w:b/>
      <w:bCs/>
      <w:kern w:val="2"/>
      <w:sz w:val="32"/>
      <w:szCs w:val="32"/>
    </w:rPr>
  </w:style>
  <w:style w:type="paragraph" w:customStyle="1" w:styleId="37">
    <w:name w:val="标准文件_二级条标题"/>
    <w:next w:val="38"/>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38">
    <w:name w:val="标准文件_段"/>
    <w:link w:val="186"/>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39">
    <w:name w:val="标准文件_三级条标题"/>
    <w:basedOn w:val="37"/>
    <w:next w:val="38"/>
    <w:qFormat/>
    <w:uiPriority w:val="0"/>
    <w:pPr>
      <w:widowControl/>
      <w:numPr>
        <w:ilvl w:val="4"/>
      </w:numPr>
      <w:outlineLvl w:val="3"/>
    </w:pPr>
  </w:style>
  <w:style w:type="paragraph" w:customStyle="1" w:styleId="40">
    <w:name w:val="标准文件_四级条标题"/>
    <w:next w:val="38"/>
    <w:qFormat/>
    <w:uiPriority w:val="0"/>
    <w:pPr>
      <w:widowControl w:val="0"/>
      <w:numPr>
        <w:ilvl w:val="5"/>
        <w:numId w:val="1"/>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41">
    <w:name w:val="标准文件_五级条标题"/>
    <w:next w:val="38"/>
    <w:qFormat/>
    <w:uiPriority w:val="0"/>
    <w:pPr>
      <w:widowControl w:val="0"/>
      <w:numPr>
        <w:ilvl w:val="6"/>
        <w:numId w:val="1"/>
      </w:numPr>
      <w:spacing w:before="50" w:beforeLines="50" w:after="50" w:afterLines="50"/>
      <w:jc w:val="both"/>
      <w:outlineLvl w:val="5"/>
    </w:pPr>
    <w:rPr>
      <w:rFonts w:ascii="黑体" w:hAnsi="Times New Roman" w:eastAsia="黑体" w:cs="Times New Roman"/>
      <w:sz w:val="21"/>
      <w:lang w:val="en-US" w:eastAsia="zh-CN" w:bidi="ar-SA"/>
    </w:rPr>
  </w:style>
  <w:style w:type="character" w:customStyle="1" w:styleId="42">
    <w:name w:val="标题 1 字符"/>
    <w:link w:val="2"/>
    <w:qFormat/>
    <w:uiPriority w:val="0"/>
    <w:rPr>
      <w:b/>
      <w:bCs/>
      <w:kern w:val="44"/>
      <w:sz w:val="44"/>
      <w:szCs w:val="44"/>
    </w:rPr>
  </w:style>
  <w:style w:type="character" w:customStyle="1" w:styleId="43">
    <w:name w:val="标题 2 字符"/>
    <w:link w:val="3"/>
    <w:qFormat/>
    <w:uiPriority w:val="0"/>
    <w:rPr>
      <w:rFonts w:ascii="Arial" w:hAnsi="Arial" w:eastAsia="黑体"/>
      <w:b/>
      <w:bCs/>
      <w:kern w:val="2"/>
      <w:sz w:val="32"/>
      <w:szCs w:val="32"/>
    </w:rPr>
  </w:style>
  <w:style w:type="character" w:customStyle="1" w:styleId="44">
    <w:name w:val="标题 4 字符"/>
    <w:link w:val="5"/>
    <w:qFormat/>
    <w:uiPriority w:val="0"/>
    <w:rPr>
      <w:rFonts w:ascii="Arial" w:hAnsi="Arial" w:eastAsia="黑体"/>
      <w:b/>
      <w:bCs/>
      <w:kern w:val="2"/>
      <w:sz w:val="28"/>
      <w:szCs w:val="28"/>
    </w:rPr>
  </w:style>
  <w:style w:type="character" w:customStyle="1" w:styleId="45">
    <w:name w:val="标题 5 字符"/>
    <w:link w:val="6"/>
    <w:qFormat/>
    <w:uiPriority w:val="0"/>
    <w:rPr>
      <w:b/>
      <w:bCs/>
      <w:kern w:val="2"/>
      <w:sz w:val="28"/>
      <w:szCs w:val="28"/>
    </w:rPr>
  </w:style>
  <w:style w:type="character" w:customStyle="1" w:styleId="46">
    <w:name w:val="标题 6 字符"/>
    <w:link w:val="7"/>
    <w:qFormat/>
    <w:uiPriority w:val="0"/>
    <w:rPr>
      <w:rFonts w:ascii="Arial" w:hAnsi="Arial" w:eastAsia="黑体"/>
      <w:b/>
      <w:bCs/>
      <w:kern w:val="2"/>
      <w:sz w:val="24"/>
      <w:szCs w:val="24"/>
    </w:rPr>
  </w:style>
  <w:style w:type="character" w:customStyle="1" w:styleId="47">
    <w:name w:val="标题 7 字符"/>
    <w:link w:val="8"/>
    <w:qFormat/>
    <w:uiPriority w:val="0"/>
    <w:rPr>
      <w:b/>
      <w:bCs/>
      <w:kern w:val="2"/>
      <w:sz w:val="24"/>
      <w:szCs w:val="24"/>
    </w:rPr>
  </w:style>
  <w:style w:type="character" w:customStyle="1" w:styleId="48">
    <w:name w:val="标题 8 字符"/>
    <w:link w:val="9"/>
    <w:qFormat/>
    <w:uiPriority w:val="0"/>
    <w:rPr>
      <w:rFonts w:ascii="Arial" w:hAnsi="Arial" w:eastAsia="黑体"/>
      <w:kern w:val="2"/>
      <w:sz w:val="24"/>
      <w:szCs w:val="24"/>
    </w:rPr>
  </w:style>
  <w:style w:type="character" w:customStyle="1" w:styleId="49">
    <w:name w:val="标题 9 字符"/>
    <w:link w:val="10"/>
    <w:qFormat/>
    <w:uiPriority w:val="0"/>
    <w:rPr>
      <w:rFonts w:ascii="Arial" w:hAnsi="Arial" w:eastAsia="黑体"/>
      <w:kern w:val="2"/>
      <w:sz w:val="21"/>
      <w:szCs w:val="21"/>
    </w:rPr>
  </w:style>
  <w:style w:type="character" w:customStyle="1" w:styleId="50">
    <w:name w:val="页眉 字符"/>
    <w:link w:val="19"/>
    <w:qFormat/>
    <w:uiPriority w:val="99"/>
    <w:rPr>
      <w:kern w:val="2"/>
      <w:sz w:val="18"/>
      <w:szCs w:val="18"/>
    </w:rPr>
  </w:style>
  <w:style w:type="character" w:customStyle="1" w:styleId="51">
    <w:name w:val="页脚 字符"/>
    <w:link w:val="18"/>
    <w:qFormat/>
    <w:uiPriority w:val="99"/>
    <w:rPr>
      <w:rFonts w:ascii="宋体"/>
      <w:kern w:val="2"/>
      <w:sz w:val="18"/>
      <w:szCs w:val="18"/>
    </w:rPr>
  </w:style>
  <w:style w:type="character" w:customStyle="1" w:styleId="52">
    <w:name w:val="批注框文本 字符"/>
    <w:link w:val="17"/>
    <w:semiHidden/>
    <w:qFormat/>
    <w:uiPriority w:val="99"/>
    <w:rPr>
      <w:kern w:val="2"/>
      <w:sz w:val="18"/>
      <w:szCs w:val="18"/>
    </w:rPr>
  </w:style>
  <w:style w:type="paragraph" w:styleId="53">
    <w:name w:val="Quote"/>
    <w:basedOn w:val="1"/>
    <w:next w:val="1"/>
    <w:link w:val="54"/>
    <w:qFormat/>
    <w:uiPriority w:val="29"/>
    <w:rPr>
      <w:i/>
      <w:iCs/>
      <w:color w:val="000000"/>
    </w:rPr>
  </w:style>
  <w:style w:type="character" w:customStyle="1" w:styleId="54">
    <w:name w:val="引用 字符"/>
    <w:link w:val="53"/>
    <w:qFormat/>
    <w:uiPriority w:val="29"/>
    <w:rPr>
      <w:i/>
      <w:iCs/>
      <w:color w:val="000000"/>
      <w:kern w:val="2"/>
      <w:sz w:val="21"/>
      <w:szCs w:val="21"/>
    </w:rPr>
  </w:style>
  <w:style w:type="character" w:customStyle="1" w:styleId="55">
    <w:name w:val="标题 字符"/>
    <w:link w:val="26"/>
    <w:qFormat/>
    <w:uiPriority w:val="0"/>
    <w:rPr>
      <w:rFonts w:ascii="Arial" w:hAnsi="Arial" w:cs="Arial"/>
      <w:b/>
      <w:bCs/>
      <w:kern w:val="2"/>
      <w:sz w:val="32"/>
      <w:szCs w:val="32"/>
    </w:rPr>
  </w:style>
  <w:style w:type="paragraph" w:customStyle="1" w:styleId="56">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7">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8">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9">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0">
    <w:name w:val="标准书眉一"/>
    <w:qFormat/>
    <w:uiPriority w:val="0"/>
    <w:pPr>
      <w:jc w:val="both"/>
    </w:pPr>
    <w:rPr>
      <w:rFonts w:ascii="Times New Roman" w:hAnsi="Times New Roman" w:eastAsia="宋体" w:cs="Times New Roman"/>
      <w:lang w:val="en-US" w:eastAsia="zh-CN" w:bidi="ar-SA"/>
    </w:rPr>
  </w:style>
  <w:style w:type="paragraph" w:customStyle="1" w:styleId="61">
    <w:name w:val="标准文件_ICS"/>
    <w:basedOn w:val="1"/>
    <w:qFormat/>
    <w:uiPriority w:val="0"/>
    <w:pPr>
      <w:spacing w:line="0" w:lineRule="atLeast"/>
    </w:pPr>
    <w:rPr>
      <w:rFonts w:ascii="黑体" w:hAnsi="宋体" w:eastAsia="黑体"/>
    </w:rPr>
  </w:style>
  <w:style w:type="paragraph" w:customStyle="1" w:styleId="62">
    <w:name w:val="标准文件_标准正文"/>
    <w:basedOn w:val="1"/>
    <w:next w:val="38"/>
    <w:qFormat/>
    <w:uiPriority w:val="0"/>
    <w:pPr>
      <w:snapToGrid w:val="0"/>
      <w:ind w:firstLine="200" w:firstLineChars="200"/>
    </w:pPr>
    <w:rPr>
      <w:kern w:val="0"/>
    </w:rPr>
  </w:style>
  <w:style w:type="paragraph" w:customStyle="1" w:styleId="63">
    <w:name w:val="标准文件_版本"/>
    <w:basedOn w:val="62"/>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2"/>
      </w:numPr>
    </w:pPr>
    <w:rPr>
      <w:rFonts w:ascii="宋体" w:hAnsi="Times New Roman" w:eastAsia="宋体" w:cs="Times New Roman"/>
      <w:lang w:val="en-US" w:eastAsia="zh-CN" w:bidi="ar-SA"/>
    </w:rPr>
  </w:style>
  <w:style w:type="character" w:customStyle="1" w:styleId="71">
    <w:name w:val="标准文件_发布"/>
    <w:qFormat/>
    <w:uiPriority w:val="0"/>
    <w:rPr>
      <w:rFonts w:ascii="黑体" w:eastAsia="黑体"/>
      <w:spacing w:val="0"/>
      <w:w w:val="100"/>
      <w:position w:val="3"/>
      <w:sz w:val="28"/>
    </w:rPr>
  </w:style>
  <w:style w:type="paragraph" w:customStyle="1" w:styleId="72">
    <w:name w:val="标准文件_方框数字列项"/>
    <w:basedOn w:val="38"/>
    <w:qFormat/>
    <w:uiPriority w:val="0"/>
    <w:pPr>
      <w:numPr>
        <w:ilvl w:val="0"/>
        <w:numId w:val="3"/>
      </w:numPr>
      <w:ind w:firstLine="0" w:firstLineChars="0"/>
    </w:pPr>
  </w:style>
  <w:style w:type="paragraph" w:customStyle="1" w:styleId="73">
    <w:name w:val="标准文件_封面标准编号"/>
    <w:basedOn w:val="1"/>
    <w:next w:val="65"/>
    <w:qFormat/>
    <w:uiPriority w:val="0"/>
    <w:pPr>
      <w:spacing w:line="310" w:lineRule="exact"/>
      <w:jc w:val="right"/>
    </w:pPr>
    <w:rPr>
      <w:rFonts w:ascii="黑体" w:eastAsia="黑体"/>
      <w:kern w:val="0"/>
      <w:sz w:val="28"/>
    </w:rPr>
  </w:style>
  <w:style w:type="paragraph" w:customStyle="1" w:styleId="74">
    <w:name w:val="标准文件_封面标准分类号"/>
    <w:basedOn w:val="1"/>
    <w:qFormat/>
    <w:uiPriority w:val="0"/>
    <w:rPr>
      <w:rFonts w:ascii="黑体" w:eastAsia="黑体"/>
      <w:b/>
      <w:kern w:val="0"/>
      <w:sz w:val="28"/>
    </w:rPr>
  </w:style>
  <w:style w:type="paragraph" w:customStyle="1" w:styleId="75">
    <w:name w:val="标准文件_封面标准名称"/>
    <w:basedOn w:val="1"/>
    <w:qFormat/>
    <w:uiPriority w:val="0"/>
    <w:pPr>
      <w:spacing w:line="240" w:lineRule="auto"/>
      <w:jc w:val="center"/>
    </w:pPr>
    <w:rPr>
      <w:rFonts w:ascii="黑体" w:eastAsia="黑体"/>
      <w:kern w:val="0"/>
      <w:sz w:val="52"/>
    </w:rPr>
  </w:style>
  <w:style w:type="paragraph" w:customStyle="1" w:styleId="76">
    <w:name w:val="标准文件_封面标准英文名称"/>
    <w:basedOn w:val="1"/>
    <w:qFormat/>
    <w:uiPriority w:val="0"/>
    <w:pPr>
      <w:spacing w:line="240" w:lineRule="auto"/>
      <w:jc w:val="center"/>
    </w:pPr>
    <w:rPr>
      <w:rFonts w:ascii="黑体" w:eastAsia="黑体"/>
      <w:b/>
      <w:sz w:val="28"/>
    </w:rPr>
  </w:style>
  <w:style w:type="paragraph" w:customStyle="1" w:styleId="77">
    <w:name w:val="标准文件_封面发布日期"/>
    <w:basedOn w:val="1"/>
    <w:qFormat/>
    <w:uiPriority w:val="0"/>
    <w:pPr>
      <w:spacing w:line="310" w:lineRule="exact"/>
    </w:pPr>
    <w:rPr>
      <w:rFonts w:ascii="黑体" w:eastAsia="黑体"/>
      <w:kern w:val="0"/>
      <w:sz w:val="28"/>
    </w:rPr>
  </w:style>
  <w:style w:type="paragraph" w:customStyle="1" w:styleId="78">
    <w:name w:val="标准文件_封面密级"/>
    <w:basedOn w:val="1"/>
    <w:qFormat/>
    <w:uiPriority w:val="0"/>
    <w:rPr>
      <w:rFonts w:eastAsia="黑体"/>
      <w:sz w:val="32"/>
    </w:rPr>
  </w:style>
  <w:style w:type="paragraph" w:customStyle="1" w:styleId="79">
    <w:name w:val="标准文件_封面实施日期"/>
    <w:basedOn w:val="1"/>
    <w:qFormat/>
    <w:uiPriority w:val="0"/>
    <w:pPr>
      <w:spacing w:line="310" w:lineRule="exact"/>
      <w:jc w:val="right"/>
    </w:pPr>
    <w:rPr>
      <w:rFonts w:ascii="黑体" w:eastAsia="黑体"/>
      <w:sz w:val="28"/>
    </w:rPr>
  </w:style>
  <w:style w:type="paragraph" w:customStyle="1" w:styleId="80">
    <w:name w:val="标准文件_封面抬头"/>
    <w:basedOn w:val="38"/>
    <w:qFormat/>
    <w:uiPriority w:val="0"/>
    <w:pPr>
      <w:adjustRightInd w:val="0"/>
      <w:spacing w:line="800" w:lineRule="exact"/>
      <w:ind w:firstLine="0" w:firstLineChars="0"/>
      <w:jc w:val="distribute"/>
    </w:pPr>
    <w:rPr>
      <w:rFonts w:ascii="黑体" w:eastAsia="黑体"/>
      <w:b/>
      <w:sz w:val="64"/>
    </w:rPr>
  </w:style>
  <w:style w:type="paragraph" w:customStyle="1" w:styleId="81">
    <w:name w:val="标准文件_附录标识"/>
    <w:next w:val="38"/>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2">
    <w:name w:val="标准文件_附录表标题"/>
    <w:next w:val="38"/>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3">
    <w:name w:val="标准文件_附录一级条标题"/>
    <w:next w:val="38"/>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4">
    <w:name w:val="标准文件_附录二级条标题"/>
    <w:basedOn w:val="83"/>
    <w:next w:val="38"/>
    <w:qFormat/>
    <w:uiPriority w:val="0"/>
    <w:pPr>
      <w:widowControl/>
      <w:numPr>
        <w:ilvl w:val="2"/>
      </w:numPr>
      <w:wordWrap w:val="0"/>
      <w:overflowPunct w:val="0"/>
      <w:autoSpaceDE w:val="0"/>
      <w:autoSpaceDN w:val="0"/>
      <w:textAlignment w:val="baseline"/>
      <w:outlineLvl w:val="3"/>
    </w:pPr>
  </w:style>
  <w:style w:type="paragraph" w:customStyle="1" w:styleId="85">
    <w:name w:val="标准文件_附录公式"/>
    <w:basedOn w:val="62"/>
    <w:next w:val="62"/>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6">
    <w:name w:val="标准文件_附录三级条标题"/>
    <w:next w:val="38"/>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7">
    <w:name w:val="标准文件_附录四级条标题"/>
    <w:next w:val="38"/>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8">
    <w:name w:val="标准文件_附录图标题"/>
    <w:next w:val="38"/>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9">
    <w:name w:val="标准文件_附录五级条标题"/>
    <w:next w:val="38"/>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0">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1">
    <w:name w:val="正文文本 字符"/>
    <w:link w:val="14"/>
    <w:qFormat/>
    <w:uiPriority w:val="0"/>
    <w:rPr>
      <w:kern w:val="2"/>
      <w:sz w:val="21"/>
      <w:szCs w:val="21"/>
    </w:rPr>
  </w:style>
  <w:style w:type="paragraph" w:customStyle="1" w:styleId="92">
    <w:name w:val="标准文件_附录章标题"/>
    <w:next w:val="3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3">
    <w:name w:val="标准文件_公式后的破折号"/>
    <w:basedOn w:val="38"/>
    <w:next w:val="38"/>
    <w:qFormat/>
    <w:uiPriority w:val="0"/>
    <w:pPr>
      <w:ind w:left="488" w:leftChars="200" w:hanging="289" w:hangingChars="290"/>
    </w:pPr>
  </w:style>
  <w:style w:type="paragraph" w:customStyle="1" w:styleId="94">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5">
    <w:name w:val="标准文件_目次、标准名称标题"/>
    <w:basedOn w:val="94"/>
    <w:next w:val="38"/>
    <w:qFormat/>
    <w:uiPriority w:val="0"/>
    <w:pPr>
      <w:spacing w:line="460" w:lineRule="exact"/>
      <w:ind w:left="0" w:firstLine="0"/>
    </w:pPr>
  </w:style>
  <w:style w:type="paragraph" w:customStyle="1" w:styleId="96">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7">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8">
    <w:name w:val="标准文件_破折号列项（二级）"/>
    <w:basedOn w:val="97"/>
    <w:qFormat/>
    <w:uiPriority w:val="0"/>
    <w:pPr>
      <w:numPr>
        <w:numId w:val="10"/>
      </w:numPr>
    </w:pPr>
  </w:style>
  <w:style w:type="character" w:customStyle="1" w:styleId="99">
    <w:name w:val="Subtle Reference"/>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character" w:customStyle="1" w:styleId="102">
    <w:name w:val="脚注文本 字符"/>
    <w:link w:val="22"/>
    <w:semiHidden/>
    <w:qFormat/>
    <w:uiPriority w:val="0"/>
    <w:rPr>
      <w:rFonts w:ascii="宋体"/>
      <w:kern w:val="2"/>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38"/>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章标题"/>
    <w:next w:val="38"/>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38"/>
    <w:qFormat/>
    <w:uiPriority w:val="0"/>
    <w:pPr>
      <w:numPr>
        <w:ilvl w:val="2"/>
      </w:numPr>
      <w:spacing w:before="50" w:beforeLines="50" w:after="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62"/>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2">
    <w:name w:val="标准文件_英文注："/>
    <w:basedOn w:val="1"/>
    <w:next w:val="3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38"/>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62"/>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38"/>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3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3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3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3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38"/>
    <w:qFormat/>
    <w:uiPriority w:val="0"/>
    <w:pPr>
      <w:outlineLvl w:val="4"/>
    </w:pPr>
  </w:style>
  <w:style w:type="paragraph" w:customStyle="1" w:styleId="132">
    <w:name w:val="附录四级无标题条"/>
    <w:basedOn w:val="131"/>
    <w:next w:val="38"/>
    <w:qFormat/>
    <w:uiPriority w:val="0"/>
    <w:pPr>
      <w:outlineLvl w:val="5"/>
    </w:pPr>
  </w:style>
  <w:style w:type="paragraph" w:customStyle="1" w:styleId="133">
    <w:name w:val="附录图"/>
    <w:next w:val="3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3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92"/>
    <w:next w:val="3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3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autoRedefine/>
    <w:semiHidden/>
    <w:qFormat/>
    <w:uiPriority w:val="0"/>
    <w:pPr>
      <w:adjustRightInd/>
      <w:spacing w:line="240" w:lineRule="auto"/>
      <w:jc w:val="left"/>
    </w:pPr>
    <w:rPr>
      <w:bCs/>
      <w:iCs/>
    </w:rPr>
  </w:style>
  <w:style w:type="paragraph" w:customStyle="1" w:styleId="145">
    <w:name w:val="目录 31"/>
    <w:basedOn w:val="1"/>
    <w:next w:val="1"/>
    <w:autoRedefine/>
    <w:semiHidden/>
    <w:qFormat/>
    <w:uiPriority w:val="0"/>
    <w:pPr>
      <w:spacing w:line="240" w:lineRule="auto"/>
    </w:pPr>
    <w:rPr>
      <w:rFonts w:ascii="宋体" w:hAnsi="宋体"/>
      <w:iCs/>
    </w:rPr>
  </w:style>
  <w:style w:type="paragraph" w:customStyle="1" w:styleId="146">
    <w:name w:val="目录 41"/>
    <w:basedOn w:val="1"/>
    <w:next w:val="1"/>
    <w:autoRedefine/>
    <w:semiHidden/>
    <w:qFormat/>
    <w:uiPriority w:val="0"/>
    <w:pPr>
      <w:adjustRightInd/>
      <w:spacing w:line="240" w:lineRule="auto"/>
      <w:jc w:val="left"/>
    </w:pPr>
  </w:style>
  <w:style w:type="paragraph" w:customStyle="1" w:styleId="147">
    <w:name w:val="目录 51"/>
    <w:basedOn w:val="1"/>
    <w:next w:val="1"/>
    <w:autoRedefine/>
    <w:semiHidden/>
    <w:qFormat/>
    <w:uiPriority w:val="0"/>
    <w:pPr>
      <w:spacing w:line="240" w:lineRule="auto"/>
    </w:pPr>
    <w:rPr>
      <w:rFonts w:ascii="宋体" w:hAnsi="宋体"/>
    </w:rPr>
  </w:style>
  <w:style w:type="paragraph" w:customStyle="1" w:styleId="148">
    <w:name w:val="目录 61"/>
    <w:basedOn w:val="1"/>
    <w:next w:val="1"/>
    <w:autoRedefine/>
    <w:semiHidden/>
    <w:qFormat/>
    <w:uiPriority w:val="0"/>
    <w:pPr>
      <w:adjustRightInd/>
      <w:spacing w:line="240" w:lineRule="auto"/>
      <w:jc w:val="left"/>
    </w:pPr>
  </w:style>
  <w:style w:type="paragraph" w:customStyle="1" w:styleId="149">
    <w:name w:val="目录 71"/>
    <w:basedOn w:val="148"/>
    <w:autoRedefine/>
    <w:semiHidden/>
    <w:qFormat/>
    <w:uiPriority w:val="0"/>
    <w:pPr>
      <w:ind w:left="1260"/>
    </w:pPr>
  </w:style>
  <w:style w:type="paragraph" w:customStyle="1" w:styleId="150">
    <w:name w:val="目录 81"/>
    <w:basedOn w:val="149"/>
    <w:autoRedefine/>
    <w:semiHidden/>
    <w:qFormat/>
    <w:uiPriority w:val="0"/>
    <w:pPr>
      <w:ind w:left="1470"/>
    </w:pPr>
  </w:style>
  <w:style w:type="paragraph" w:customStyle="1" w:styleId="151">
    <w:name w:val="目录 91"/>
    <w:basedOn w:val="150"/>
    <w:autoRedefine/>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numPr>
        <w:ilvl w:val="0"/>
        <w:numId w:val="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3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41"/>
    <w:qFormat/>
    <w:uiPriority w:val="0"/>
    <w:pPr>
      <w:spacing w:before="0" w:beforeLines="0" w:after="0" w:afterLines="0"/>
      <w:outlineLvl w:val="9"/>
    </w:pPr>
    <w:rPr>
      <w:rFonts w:ascii="宋体" w:eastAsia="宋体"/>
    </w:rPr>
  </w:style>
  <w:style w:type="paragraph" w:customStyle="1" w:styleId="166">
    <w:name w:val="标准文件_三级无标题"/>
    <w:basedOn w:val="39"/>
    <w:qFormat/>
    <w:uiPriority w:val="0"/>
    <w:pPr>
      <w:spacing w:before="0" w:beforeLines="0" w:after="0" w:afterLines="0"/>
      <w:outlineLvl w:val="9"/>
    </w:pPr>
    <w:rPr>
      <w:rFonts w:ascii="宋体" w:eastAsia="宋体"/>
    </w:rPr>
  </w:style>
  <w:style w:type="paragraph" w:customStyle="1" w:styleId="167">
    <w:name w:val="标准文件_二级无标题"/>
    <w:basedOn w:val="37"/>
    <w:qFormat/>
    <w:uiPriority w:val="0"/>
    <w:pPr>
      <w:spacing w:before="0" w:beforeLines="0" w:after="0" w:afterLines="0"/>
      <w:outlineLvl w:val="9"/>
    </w:pPr>
    <w:rPr>
      <w:rFonts w:ascii="宋体" w:eastAsia="宋体"/>
    </w:rPr>
  </w:style>
  <w:style w:type="paragraph" w:customStyle="1" w:styleId="168">
    <w:name w:val="标准_四级无标题"/>
    <w:basedOn w:val="40"/>
    <w:next w:val="38"/>
    <w:qFormat/>
    <w:uiPriority w:val="0"/>
    <w:rPr>
      <w:rFonts w:eastAsia="宋体"/>
    </w:rPr>
  </w:style>
  <w:style w:type="paragraph" w:customStyle="1" w:styleId="169">
    <w:name w:val="标准文件_四级无标题"/>
    <w:basedOn w:val="4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38"/>
    <w:qFormat/>
    <w:uiPriority w:val="0"/>
    <w:pPr>
      <w:numPr>
        <w:ilvl w:val="0"/>
        <w:numId w:val="23"/>
      </w:numPr>
      <w:ind w:firstLine="0" w:firstLineChars="0"/>
    </w:pPr>
    <w:rPr>
      <w:rFonts w:cs="Arial"/>
      <w:szCs w:val="28"/>
    </w:rPr>
  </w:style>
  <w:style w:type="paragraph" w:customStyle="1" w:styleId="171">
    <w:name w:val="标准文件_小写罗马数字编号列项"/>
    <w:basedOn w:val="38"/>
    <w:qFormat/>
    <w:uiPriority w:val="0"/>
    <w:pPr>
      <w:numPr>
        <w:ilvl w:val="0"/>
        <w:numId w:val="24"/>
      </w:numPr>
      <w:ind w:firstLine="0" w:firstLineChars="0"/>
    </w:pPr>
    <w:rPr>
      <w:rFonts w:cs="Arial"/>
      <w:szCs w:val="28"/>
    </w:rPr>
  </w:style>
  <w:style w:type="paragraph" w:customStyle="1" w:styleId="172">
    <w:name w:val="标准文件_附录标题"/>
    <w:basedOn w:val="81"/>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3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3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3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38"/>
    <w:qFormat/>
    <w:uiPriority w:val="0"/>
    <w:pPr>
      <w:ind w:firstLine="0" w:firstLineChars="0"/>
      <w:jc w:val="center"/>
    </w:pPr>
    <w:rPr>
      <w:sz w:val="18"/>
    </w:rPr>
  </w:style>
  <w:style w:type="paragraph" w:customStyle="1" w:styleId="181">
    <w:name w:val="标准文件_注："/>
    <w:next w:val="3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3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38"/>
    <w:qFormat/>
    <w:uiPriority w:val="0"/>
    <w:rPr>
      <w:rFonts w:ascii="Times New Roman" w:hAnsi="Times New Roman"/>
      <w:sz w:val="21"/>
    </w:rPr>
  </w:style>
  <w:style w:type="paragraph" w:customStyle="1" w:styleId="187">
    <w:name w:val="标准文件_表格续"/>
    <w:basedOn w:val="38"/>
    <w:next w:val="38"/>
    <w:qFormat/>
    <w:uiPriority w:val="0"/>
    <w:pPr>
      <w:jc w:val="center"/>
    </w:pPr>
    <w:rPr>
      <w:rFonts w:ascii="黑体" w:hAnsi="黑体" w:eastAsia="黑体"/>
    </w:rPr>
  </w:style>
  <w:style w:type="character" w:styleId="188">
    <w:name w:val="Placeholder Text"/>
    <w:basedOn w:val="29"/>
    <w:semiHidden/>
    <w:qFormat/>
    <w:uiPriority w:val="99"/>
    <w:rPr>
      <w:color w:val="808080"/>
    </w:rPr>
  </w:style>
  <w:style w:type="paragraph" w:customStyle="1" w:styleId="189">
    <w:name w:val="标准文件_二级项2"/>
    <w:basedOn w:val="38"/>
    <w:qFormat/>
    <w:uiPriority w:val="0"/>
    <w:pPr>
      <w:numPr>
        <w:ilvl w:val="1"/>
        <w:numId w:val="21"/>
      </w:numPr>
      <w:ind w:firstLine="0" w:firstLineChars="0"/>
    </w:pPr>
  </w:style>
  <w:style w:type="paragraph" w:customStyle="1" w:styleId="190">
    <w:name w:val="标准文件_三级项2"/>
    <w:basedOn w:val="38"/>
    <w:qFormat/>
    <w:uiPriority w:val="0"/>
    <w:pPr>
      <w:numPr>
        <w:ilvl w:val="0"/>
        <w:numId w:val="30"/>
      </w:numPr>
      <w:spacing w:line="300" w:lineRule="exact"/>
      <w:ind w:firstLineChars="0"/>
    </w:pPr>
  </w:style>
  <w:style w:type="paragraph" w:customStyle="1" w:styleId="191">
    <w:name w:val="标准文件_一级项2"/>
    <w:basedOn w:val="38"/>
    <w:qFormat/>
    <w:uiPriority w:val="0"/>
    <w:pPr>
      <w:numPr>
        <w:ilvl w:val="0"/>
        <w:numId w:val="31"/>
      </w:numPr>
      <w:spacing w:line="300" w:lineRule="exact"/>
      <w:ind w:firstLineChars="0"/>
    </w:pPr>
  </w:style>
  <w:style w:type="paragraph" w:customStyle="1" w:styleId="192">
    <w:name w:val="标准文件_提示"/>
    <w:basedOn w:val="38"/>
    <w:next w:val="38"/>
    <w:qFormat/>
    <w:uiPriority w:val="0"/>
    <w:pPr>
      <w:ind w:firstLine="420"/>
    </w:pPr>
    <w:rPr>
      <w:rFonts w:ascii="黑体" w:eastAsia="黑体"/>
    </w:rPr>
  </w:style>
  <w:style w:type="character" w:customStyle="1" w:styleId="193">
    <w:name w:val="标准文件_来源"/>
    <w:basedOn w:val="29"/>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wrap="around" w:vAnchor="page" w:hAnchor="page" w:x="1419" w:y="14097"/>
    </w:pPr>
  </w:style>
  <w:style w:type="paragraph" w:customStyle="1" w:styleId="196">
    <w:name w:val="其他实施日期"/>
    <w:basedOn w:val="156"/>
    <w:qFormat/>
    <w:uiPriority w:val="0"/>
    <w:pPr>
      <w:framePr w:w="3997" w:h="471" w:hRule="exact" w:vSpace="181" w:wrap="around" w:vAnchor="page" w:hAnchor="page" w:x="7089" w:y="14097"/>
    </w:pPr>
  </w:style>
  <w:style w:type="paragraph" w:customStyle="1" w:styleId="197">
    <w:name w:val="标准文件_文件编号"/>
    <w:basedOn w:val="3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spacing w:before="57"/>
    </w:pPr>
    <w:rPr>
      <w:sz w:val="21"/>
    </w:rPr>
  </w:style>
  <w:style w:type="paragraph" w:customStyle="1" w:styleId="199">
    <w:name w:val="标准文件_文件名称"/>
    <w:basedOn w:val="38"/>
    <w:next w:val="3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38"/>
    <w:next w:val="3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38"/>
    <w:next w:val="3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38"/>
    <w:next w:val="38"/>
    <w:qFormat/>
    <w:uiPriority w:val="0"/>
    <w:pPr>
      <w:numPr>
        <w:ilvl w:val="1"/>
        <w:numId w:val="8"/>
      </w:numPr>
      <w:spacing w:before="50" w:beforeLines="50" w:after="50" w:afterLines="50"/>
      <w:ind w:firstLineChars="0"/>
    </w:pPr>
    <w:rPr>
      <w:rFonts w:ascii="黑体" w:eastAsia="黑体"/>
    </w:rPr>
  </w:style>
  <w:style w:type="paragraph" w:customStyle="1" w:styleId="203">
    <w:name w:val="标准文件_引言二级条标题"/>
    <w:basedOn w:val="38"/>
    <w:next w:val="38"/>
    <w:qFormat/>
    <w:uiPriority w:val="0"/>
    <w:pPr>
      <w:numPr>
        <w:ilvl w:val="2"/>
        <w:numId w:val="8"/>
      </w:numPr>
      <w:spacing w:before="50" w:beforeLines="50" w:after="50" w:afterLines="50"/>
      <w:ind w:firstLineChars="0"/>
    </w:pPr>
    <w:rPr>
      <w:rFonts w:ascii="黑体" w:eastAsia="黑体"/>
    </w:rPr>
  </w:style>
  <w:style w:type="paragraph" w:customStyle="1" w:styleId="204">
    <w:name w:val="标准文件_引言三级条标题"/>
    <w:basedOn w:val="38"/>
    <w:next w:val="38"/>
    <w:qFormat/>
    <w:uiPriority w:val="0"/>
    <w:pPr>
      <w:numPr>
        <w:ilvl w:val="3"/>
        <w:numId w:val="8"/>
      </w:numPr>
      <w:spacing w:before="50" w:beforeLines="50" w:after="50" w:afterLines="50"/>
      <w:ind w:firstLineChars="0"/>
    </w:pPr>
    <w:rPr>
      <w:rFonts w:ascii="黑体" w:eastAsia="黑体"/>
    </w:rPr>
  </w:style>
  <w:style w:type="paragraph" w:customStyle="1" w:styleId="205">
    <w:name w:val="标准文件_引言四级条标题"/>
    <w:basedOn w:val="38"/>
    <w:next w:val="38"/>
    <w:qFormat/>
    <w:uiPriority w:val="0"/>
    <w:pPr>
      <w:numPr>
        <w:ilvl w:val="4"/>
        <w:numId w:val="8"/>
      </w:numPr>
      <w:spacing w:before="50" w:beforeLines="50" w:after="50" w:afterLines="50"/>
      <w:ind w:firstLineChars="0"/>
    </w:pPr>
    <w:rPr>
      <w:rFonts w:ascii="黑体" w:eastAsia="黑体"/>
    </w:rPr>
  </w:style>
  <w:style w:type="paragraph" w:customStyle="1" w:styleId="206">
    <w:name w:val="标准文件_引言五级条标题"/>
    <w:basedOn w:val="38"/>
    <w:next w:val="38"/>
    <w:qFormat/>
    <w:uiPriority w:val="0"/>
    <w:pPr>
      <w:numPr>
        <w:ilvl w:val="5"/>
        <w:numId w:val="8"/>
      </w:numPr>
      <w:spacing w:before="50" w:beforeLines="50" w:after="50" w:afterLines="50"/>
      <w:ind w:firstLineChars="0"/>
    </w:pPr>
    <w:rPr>
      <w:rFonts w:ascii="黑体" w:eastAsia="黑体"/>
    </w:rPr>
  </w:style>
  <w:style w:type="paragraph" w:customStyle="1" w:styleId="207">
    <w:name w:val="标准文件_注后"/>
    <w:basedOn w:val="38"/>
    <w:qFormat/>
    <w:uiPriority w:val="0"/>
    <w:pPr>
      <w:ind w:left="811" w:firstLine="0" w:firstLineChars="0"/>
    </w:pPr>
    <w:rPr>
      <w:sz w:val="18"/>
    </w:rPr>
  </w:style>
  <w:style w:type="paragraph" w:customStyle="1" w:styleId="208">
    <w:name w:val="标准文件_注X后"/>
    <w:basedOn w:val="38"/>
    <w:qFormat/>
    <w:uiPriority w:val="0"/>
    <w:pPr>
      <w:ind w:left="811" w:firstLine="0" w:firstLineChars="0"/>
    </w:pPr>
    <w:rPr>
      <w:sz w:val="18"/>
    </w:rPr>
  </w:style>
  <w:style w:type="paragraph" w:customStyle="1" w:styleId="209">
    <w:name w:val="标准文件_示例后"/>
    <w:basedOn w:val="38"/>
    <w:qFormat/>
    <w:uiPriority w:val="0"/>
    <w:pPr>
      <w:ind w:left="964" w:firstLine="0" w:firstLineChars="0"/>
    </w:pPr>
    <w:rPr>
      <w:sz w:val="18"/>
    </w:rPr>
  </w:style>
  <w:style w:type="paragraph" w:customStyle="1" w:styleId="210">
    <w:name w:val="标准文件_示例X后"/>
    <w:basedOn w:val="3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38"/>
    <w:next w:val="38"/>
    <w:qFormat/>
    <w:uiPriority w:val="0"/>
    <w:pPr>
      <w:tabs>
        <w:tab w:val="right" w:leader="dot" w:pos="9356"/>
      </w:tabs>
      <w:ind w:left="210" w:hanging="210" w:firstLineChars="0"/>
      <w:jc w:val="left"/>
    </w:pPr>
  </w:style>
  <w:style w:type="paragraph" w:customStyle="1" w:styleId="213">
    <w:name w:val="标准文件_附录一级无标题"/>
    <w:basedOn w:val="83"/>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4"/>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6"/>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7"/>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9"/>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3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3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3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38"/>
    <w:qFormat/>
    <w:uiPriority w:val="0"/>
    <w:pPr>
      <w:spacing w:before="0" w:beforeLines="0" w:after="0" w:afterLines="0" w:line="276" w:lineRule="auto"/>
    </w:pPr>
    <w:rPr>
      <w:rFonts w:ascii="宋体" w:eastAsia="宋体"/>
    </w:rPr>
  </w:style>
  <w:style w:type="paragraph" w:customStyle="1" w:styleId="223">
    <w:name w:val="标准文件_索引标题"/>
    <w:basedOn w:val="69"/>
    <w:next w:val="38"/>
    <w:qFormat/>
    <w:uiPriority w:val="0"/>
    <w:rPr>
      <w:rFonts w:hAnsi="黑体"/>
    </w:rPr>
  </w:style>
  <w:style w:type="paragraph" w:customStyle="1" w:styleId="224">
    <w:name w:val="标准文件_脚注内容"/>
    <w:basedOn w:val="38"/>
    <w:qFormat/>
    <w:uiPriority w:val="0"/>
    <w:pPr>
      <w:ind w:left="400" w:leftChars="200" w:hanging="200" w:hangingChars="200"/>
    </w:pPr>
    <w:rPr>
      <w:sz w:val="15"/>
    </w:rPr>
  </w:style>
  <w:style w:type="paragraph" w:customStyle="1" w:styleId="225">
    <w:name w:val="标准文件_术语条一"/>
    <w:basedOn w:val="164"/>
    <w:next w:val="38"/>
    <w:qFormat/>
    <w:uiPriority w:val="0"/>
  </w:style>
  <w:style w:type="paragraph" w:customStyle="1" w:styleId="226">
    <w:name w:val="标准文件_术语条二"/>
    <w:basedOn w:val="167"/>
    <w:next w:val="38"/>
    <w:qFormat/>
    <w:uiPriority w:val="0"/>
  </w:style>
  <w:style w:type="paragraph" w:customStyle="1" w:styleId="227">
    <w:name w:val="标准文件_术语条三"/>
    <w:basedOn w:val="166"/>
    <w:next w:val="38"/>
    <w:qFormat/>
    <w:uiPriority w:val="0"/>
  </w:style>
  <w:style w:type="paragraph" w:customStyle="1" w:styleId="228">
    <w:name w:val="标准文件_术语条四"/>
    <w:basedOn w:val="169"/>
    <w:next w:val="38"/>
    <w:qFormat/>
    <w:uiPriority w:val="0"/>
  </w:style>
  <w:style w:type="paragraph" w:customStyle="1" w:styleId="229">
    <w:name w:val="标准文件_术语条五"/>
    <w:basedOn w:val="165"/>
    <w:next w:val="3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29"/>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set\install\StandardEditor\template\&#22242;&#20307;&#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B3BEDB4F2724F9D81F4444A5CCE266D"/>
        <w:style w:val=""/>
        <w:category>
          <w:name w:val="常规"/>
          <w:gallery w:val="placeholder"/>
        </w:category>
        <w:types>
          <w:type w:val="bbPlcHdr"/>
        </w:types>
        <w:behaviors>
          <w:behavior w:val="content"/>
        </w:behaviors>
        <w:description w:val=""/>
        <w:guid w:val="{9A791DFB-56F6-4B85-997E-8EF3CEE1C2DA}"/>
      </w:docPartPr>
      <w:docPartBody>
        <w:p w14:paraId="468F63E6">
          <w:pPr>
            <w:pStyle w:val="5"/>
          </w:pPr>
          <w:r>
            <w:rPr>
              <w:rStyle w:val="4"/>
              <w:rFonts w:hint="eastAsia"/>
            </w:rPr>
            <w:t>单击或点击此处输入文字。</w:t>
          </w:r>
        </w:p>
      </w:docPartBody>
    </w:docPart>
    <w:docPart>
      <w:docPartPr>
        <w:name w:val="78956B8278AF41489B4C226600D2E8C4"/>
        <w:style w:val=""/>
        <w:category>
          <w:name w:val="常规"/>
          <w:gallery w:val="placeholder"/>
        </w:category>
        <w:types>
          <w:type w:val="bbPlcHdr"/>
        </w:types>
        <w:behaviors>
          <w:behavior w:val="content"/>
        </w:behaviors>
        <w:description w:val=""/>
        <w:guid w:val="{35D7B9DB-82B3-43EC-9478-2F4253E62990}"/>
      </w:docPartPr>
      <w:docPartBody>
        <w:p w14:paraId="39A5D5DE">
          <w:pPr>
            <w:pStyle w:val="6"/>
          </w:pPr>
          <w:r>
            <w:rPr>
              <w:rStyle w:val="4"/>
              <w:rFonts w:hint="eastAsia"/>
            </w:rPr>
            <w:t>选择一项。</w:t>
          </w:r>
        </w:p>
      </w:docPartBody>
    </w:docPart>
    <w:docPart>
      <w:docPartPr>
        <w:name w:val="DD487E154D8B46B1811108614A11313A"/>
        <w:style w:val=""/>
        <w:category>
          <w:name w:val="常规"/>
          <w:gallery w:val="placeholder"/>
        </w:category>
        <w:types>
          <w:type w:val="bbPlcHdr"/>
        </w:types>
        <w:behaviors>
          <w:behavior w:val="content"/>
        </w:behaviors>
        <w:description w:val=""/>
        <w:guid w:val="{BDA84726-025B-4CC9-AFA0-B8C5A34685AA}"/>
      </w:docPartPr>
      <w:docPartBody>
        <w:p w14:paraId="7377E4EE">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EA"/>
    <w:rsid w:val="005D70EA"/>
    <w:rsid w:val="006E2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9B3BEDB4F2724F9D81F4444A5CCE266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8956B8278AF41489B4C226600D2E8C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D487E154D8B46B1811108614A11313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Pages>23</Pages>
  <Words>7255</Words>
  <Characters>9461</Characters>
  <Lines>4</Lines>
  <Paragraphs>1</Paragraphs>
  <TotalTime>1</TotalTime>
  <ScaleCrop>false</ScaleCrop>
  <LinksUpToDate>false</LinksUpToDate>
  <CharactersWithSpaces>9774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2026-09-16T03:53:00Z</dcterms:created>
  <dc:creator>Jelloun</dc:creator>
  <cp:lastModifiedBy>Jelloun</cp:lastModifiedBy>
  <dcterms:modified xsi:type="dcterms:W3CDTF">2026-10-12T07:58:52Z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820F60D6505845D486907E4B8642F9CA_13</vt:lpwstr>
  </property>
  <property fmtid="{D5CDD505-2E9C-101B-9397-08002B2CF9AE}" pid="15" name="KSOTemplateDocerSaveRecord">
    <vt:lpwstr>eyJoZGlkIjoiODE2MGE1OTkyNzllNWFjMWQ4YWRlYzk2OWZkNTQ2OTEiLCJ1c2VySWQiOiIyNDM2MDA0NTEifQ==</vt:lpwstr>
  </property>
  <property fmtid="{D5CDD505-2E9C-101B-9397-08002B2CF9AE}" pid="16" name="KSOProductBuildVer">
    <vt:lpwstr>2052-12.1.0.28505</vt:lpwstr>
  </property>
</Properties>
</file>