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3A9E3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5E4D54D">
            <w:pPr>
              <w:pStyle w:val="20"/>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26D7A9EA">
            <w:pPr>
              <w:pStyle w:val="20"/>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val="en-US" w:eastAsia="zh-CN"/>
              </w:rPr>
              <w:t>67</w:t>
            </w:r>
            <w:r>
              <w:rPr>
                <w:rFonts w:hint="eastAsia" w:ascii="黑体" w:hAnsi="黑体" w:eastAsia="黑体"/>
                <w:sz w:val="21"/>
                <w:szCs w:val="21"/>
              </w:rPr>
              <w:t>.0</w:t>
            </w:r>
            <w:r>
              <w:rPr>
                <w:rFonts w:hint="eastAsia" w:ascii="黑体" w:hAnsi="黑体" w:eastAsia="黑体"/>
                <w:sz w:val="21"/>
                <w:szCs w:val="21"/>
                <w:lang w:val="en-US" w:eastAsia="zh-CN"/>
              </w:rPr>
              <w:t>80</w:t>
            </w:r>
            <w:r>
              <w:rPr>
                <w:rFonts w:hint="eastAsia" w:ascii="黑体" w:hAnsi="黑体" w:eastAsia="黑体"/>
                <w:sz w:val="21"/>
                <w:szCs w:val="21"/>
              </w:rPr>
              <w:t>.</w:t>
            </w:r>
            <w:r>
              <w:rPr>
                <w:rFonts w:hint="eastAsia" w:ascii="黑体" w:hAnsi="黑体" w:eastAsia="黑体"/>
                <w:sz w:val="21"/>
                <w:szCs w:val="21"/>
                <w:lang w:val="en-US" w:eastAsia="zh-CN"/>
              </w:rPr>
              <w:t>10</w:t>
            </w:r>
            <w:r>
              <w:rPr>
                <w:rFonts w:ascii="黑体" w:hAnsi="黑体" w:eastAsia="黑体"/>
                <w:sz w:val="21"/>
                <w:szCs w:val="21"/>
              </w:rPr>
              <w:fldChar w:fldCharType="end"/>
            </w:r>
            <w:bookmarkEnd w:id="0"/>
          </w:p>
        </w:tc>
      </w:tr>
      <w:tr w14:paraId="2CC4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3FD2570">
            <w:pPr>
              <w:pStyle w:val="20"/>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30"/>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5D1DA7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01921AE0">
                  <w:pPr>
                    <w:pStyle w:val="57"/>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rPr>
                    <w:t>ZSESS</w:t>
                  </w:r>
                  <w:r>
                    <w:fldChar w:fldCharType="end"/>
                  </w:r>
                  <w:bookmarkEnd w:id="1"/>
                </w:p>
              </w:tc>
            </w:tr>
          </w:tbl>
          <w:p w14:paraId="559E1628">
            <w:pPr>
              <w:pStyle w:val="20"/>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eastAsia="zh-CN"/>
              </w:rPr>
              <w:t>B</w:t>
            </w:r>
            <w:r>
              <w:rPr>
                <w:rFonts w:hint="eastAsia" w:ascii="黑体" w:hAnsi="黑体" w:eastAsia="黑体"/>
                <w:sz w:val="21"/>
                <w:szCs w:val="21"/>
                <w:lang w:val="en-US" w:eastAsia="zh-CN"/>
              </w:rPr>
              <w:t>31</w:t>
            </w:r>
            <w:r>
              <w:rPr>
                <w:rFonts w:ascii="黑体" w:hAnsi="黑体" w:eastAsia="黑体"/>
                <w:sz w:val="21"/>
                <w:szCs w:val="21"/>
              </w:rPr>
              <w:fldChar w:fldCharType="end"/>
            </w:r>
            <w:bookmarkEnd w:id="2"/>
          </w:p>
        </w:tc>
      </w:tr>
    </w:tbl>
    <w:p w14:paraId="161BCF4A">
      <w:pPr>
        <w:pStyle w:val="58"/>
        <w:framePr w:w="9639" w:h="624" w:hRule="exact" w:hSpace="181" w:vSpace="181" w:wrap="around" w:hAnchor="page" w:x="1305" w:y="2269"/>
        <w:rPr>
          <w:rFonts w:hint="eastAsia"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ascii="黑体" w:eastAsia="黑体"/>
          <w:b w:val="0"/>
          <w:w w:val="100"/>
          <w:sz w:val="48"/>
        </w:rPr>
        <w:t>     </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43EC1316">
      <w:pPr>
        <w:pStyle w:val="198"/>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lang w:eastAsia="zh-CN"/>
        </w:rPr>
        <w:t>Z</w:t>
      </w:r>
      <w:r>
        <w:rPr>
          <w:rFonts w:hint="eastAsia"/>
          <w:lang w:val="en-US" w:eastAsia="zh-CN"/>
        </w:rPr>
        <w:t>SESS</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rPr>
          <w:rFonts w:hint="eastAsia"/>
          <w:lang w:eastAsia="zh-CN"/>
        </w:rPr>
        <w:t>2</w:t>
      </w:r>
      <w:r>
        <w:rPr>
          <w:rFonts w:hint="eastAsia"/>
          <w:lang w:val="en-US" w:eastAsia="zh-CN"/>
        </w:rPr>
        <w:t>026</w:t>
      </w:r>
      <w:r>
        <w:fldChar w:fldCharType="end"/>
      </w:r>
      <w:bookmarkEnd w:id="7"/>
    </w:p>
    <w:p w14:paraId="52A51E97">
      <w:pPr>
        <w:pStyle w:val="199"/>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23935A67">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6FFE932">
      <w:pPr>
        <w:pStyle w:val="58"/>
        <w:framePr w:w="9639" w:h="6976" w:hRule="exact" w:hSpace="0" w:vSpace="0" w:wrap="around" w:hAnchor="page" w:y="6408"/>
        <w:jc w:val="center"/>
        <w:rPr>
          <w:rFonts w:hint="eastAsia" w:ascii="黑体" w:hAnsi="黑体" w:eastAsia="黑体"/>
          <w:b w:val="0"/>
          <w:bCs w:val="0"/>
          <w:w w:val="100"/>
        </w:rPr>
      </w:pPr>
    </w:p>
    <w:p w14:paraId="02A223D2">
      <w:pPr>
        <w:pStyle w:val="200"/>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lang w:eastAsia="zh-CN"/>
        </w:rPr>
        <w:t>温室气体 产品碳足迹量化方法与要求 神湾菠萝</w:t>
      </w:r>
      <w:r>
        <w:fldChar w:fldCharType="end"/>
      </w:r>
      <w:bookmarkEnd w:id="9"/>
    </w:p>
    <w:p w14:paraId="2144DE0C">
      <w:pPr>
        <w:framePr w:w="9639" w:h="6974" w:hRule="exact" w:wrap="around" w:vAnchor="page" w:hAnchor="page" w:x="1419" w:y="6408" w:anchorLock="1"/>
        <w:ind w:left="-1418"/>
      </w:pPr>
    </w:p>
    <w:p w14:paraId="5167DE01">
      <w:pPr>
        <w:pStyle w:val="128"/>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ottom"/>
        <w:rPr>
          <w:rFonts w:hint="eastAsia"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Greenhouse gases — Quantification methodologies and requirements for</w:t>
      </w:r>
    </w:p>
    <w:p w14:paraId="6A073306">
      <w:pPr>
        <w:pStyle w:val="128"/>
        <w:framePr w:w="9639" w:h="6974" w:hRule="exact" w:wrap="around" w:vAnchor="page" w:hAnchor="page" w:x="1419" w:y="6408" w:anchorLock="1"/>
        <w:textAlignment w:val="bottom"/>
        <w:rPr>
          <w:rFonts w:eastAsia="黑体"/>
          <w:szCs w:val="28"/>
        </w:rPr>
      </w:pPr>
      <w:r>
        <w:rPr>
          <w:rFonts w:hint="eastAsia" w:eastAsia="黑体"/>
          <w:szCs w:val="28"/>
        </w:rPr>
        <w:t>carbon footprint of products — Shenwan pineapple</w:t>
      </w:r>
      <w:r>
        <w:rPr>
          <w:rFonts w:eastAsia="黑体"/>
          <w:szCs w:val="28"/>
        </w:rPr>
        <w:fldChar w:fldCharType="end"/>
      </w:r>
      <w:bookmarkEnd w:id="10"/>
    </w:p>
    <w:p w14:paraId="313D54A8">
      <w:pPr>
        <w:framePr w:w="9639" w:h="6974" w:hRule="exact" w:wrap="around" w:vAnchor="page" w:hAnchor="page" w:x="1419" w:y="6408" w:anchorLock="1"/>
        <w:spacing w:line="760" w:lineRule="exact"/>
        <w:ind w:left="-1418"/>
      </w:pPr>
    </w:p>
    <w:p w14:paraId="18E584F4">
      <w:pPr>
        <w:pStyle w:val="128"/>
        <w:framePr w:w="9639" w:h="6974" w:hRule="exact" w:wrap="around" w:vAnchor="page" w:hAnchor="page" w:x="1419" w:y="6408" w:anchorLock="1"/>
        <w:textAlignment w:val="bottom"/>
        <w:rPr>
          <w:rFonts w:eastAsia="黑体"/>
          <w:szCs w:val="28"/>
        </w:rPr>
      </w:pPr>
    </w:p>
    <w:p w14:paraId="382A48E7">
      <w:pPr>
        <w:pStyle w:val="12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493B8B9A">
      <w:pPr>
        <w:pStyle w:val="12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0C6769F1">
      <w:pPr>
        <w:pStyle w:val="128"/>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7657F19A">
      <w:pPr>
        <w:pStyle w:val="196"/>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026</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26DCA3D9">
      <w:pPr>
        <w:pStyle w:val="197"/>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026</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79867BE4">
      <w:pPr>
        <w:pStyle w:val="154"/>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lang w:eastAsia="zh-CN"/>
        </w:rPr>
        <w:t>中山市环境科学学会</w:t>
      </w:r>
      <w:r>
        <w:rPr>
          <w:rFonts w:hAnsi="黑体"/>
          <w:w w:val="100"/>
          <w:sz w:val="28"/>
        </w:rPr>
        <w:fldChar w:fldCharType="end"/>
      </w:r>
      <w:bookmarkEnd w:id="20"/>
      <w:r>
        <w:rPr>
          <w:rFonts w:ascii="Times New Roman"/>
          <w:w w:val="100"/>
          <w:sz w:val="28"/>
        </w:rPr>
        <w:t>  </w:t>
      </w:r>
      <w:r>
        <w:rPr>
          <w:rStyle w:val="232"/>
          <w:rFonts w:hint="eastAsia" w:hAnsi="黑体"/>
          <w:position w:val="0"/>
        </w:rPr>
        <w:t>发</w:t>
      </w:r>
      <w:r>
        <w:rPr>
          <w:rStyle w:val="232"/>
          <w:rFonts w:hint="eastAsia" w:hAnsi="黑体"/>
          <w:spacing w:val="0"/>
          <w:position w:val="0"/>
        </w:rPr>
        <w:t>布</w:t>
      </w:r>
    </w:p>
    <w:p w14:paraId="374BE5A5">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B345735">
      <w:pPr>
        <w:pStyle w:val="97"/>
        <w:bidi w:val="0"/>
        <w:rPr>
          <w:rFonts w:hint="eastAsia"/>
          <w:lang w:eastAsia="zh-CN"/>
        </w:rPr>
      </w:pPr>
      <w:bookmarkStart w:id="21" w:name="BookMark1"/>
      <w:bookmarkStart w:id="22" w:name="_Toc19788"/>
      <w:bookmarkStart w:id="23" w:name="_Toc28175"/>
      <w:r>
        <w:rPr>
          <w:rFonts w:hint="eastAsia"/>
          <w:spacing w:val="320"/>
          <w:lang w:eastAsia="zh-CN"/>
        </w:rPr>
        <w:t>目</w:t>
      </w:r>
      <w:r>
        <w:rPr>
          <w:rFonts w:hint="eastAsia"/>
          <w:lang w:eastAsia="zh-CN"/>
        </w:rPr>
        <w:t>次</w:t>
      </w:r>
    </w:p>
    <w:p w14:paraId="7733503C">
      <w:pPr>
        <w:pStyle w:val="21"/>
        <w:tabs>
          <w:tab w:val="right" w:leader="dot" w:pos="9354"/>
        </w:tabs>
      </w:pPr>
      <w:r>
        <w:rPr>
          <w:rFonts w:hint="eastAsia"/>
          <w:spacing w:val="0"/>
          <w:lang w:eastAsia="zh-CN"/>
        </w:rPr>
        <w:fldChar w:fldCharType="begin"/>
      </w:r>
      <w:r>
        <w:rPr>
          <w:rFonts w:hint="eastAsia"/>
          <w:spacing w:val="0"/>
          <w:lang w:eastAsia="zh-CN"/>
        </w:rPr>
        <w:instrText xml:space="preserve">TOC \o "1-1" \h</w:instrText>
      </w:r>
      <w:r>
        <w:rPr>
          <w:rFonts w:hint="eastAsia"/>
          <w:spacing w:val="0"/>
          <w:lang w:eastAsia="zh-CN"/>
        </w:rPr>
        <w:fldChar w:fldCharType="separate"/>
      </w:r>
      <w:r>
        <w:rPr>
          <w:rFonts w:hint="eastAsia"/>
          <w:spacing w:val="0"/>
          <w:lang w:eastAsia="zh-CN"/>
        </w:rPr>
        <w:fldChar w:fldCharType="begin"/>
      </w:r>
      <w:r>
        <w:rPr>
          <w:rFonts w:hint="eastAsia"/>
          <w:spacing w:val="0"/>
          <w:lang w:eastAsia="zh-CN"/>
        </w:rPr>
        <w:instrText xml:space="preserve"> HYPERLINK \l _Toc2835 </w:instrText>
      </w:r>
      <w:r>
        <w:rPr>
          <w:rFonts w:hint="eastAsia"/>
          <w:spacing w:val="0"/>
          <w:lang w:eastAsia="zh-CN"/>
        </w:rPr>
        <w:fldChar w:fldCharType="separate"/>
      </w:r>
      <w:r>
        <w:rPr>
          <w:rFonts w:hint="eastAsia"/>
          <w:spacing w:val="320"/>
          <w:lang w:eastAsia="zh-CN"/>
        </w:rPr>
        <w:t>前</w:t>
      </w:r>
      <w:r>
        <w:rPr>
          <w:rFonts w:hint="eastAsia"/>
          <w:lang w:eastAsia="zh-CN"/>
        </w:rPr>
        <w:t>言</w:t>
      </w:r>
      <w:r>
        <w:tab/>
      </w:r>
      <w:r>
        <w:fldChar w:fldCharType="begin"/>
      </w:r>
      <w:r>
        <w:instrText xml:space="preserve"> PAGEREF _Toc2835 \h </w:instrText>
      </w:r>
      <w:r>
        <w:fldChar w:fldCharType="separate"/>
      </w:r>
      <w:r>
        <w:t>II</w:t>
      </w:r>
      <w:r>
        <w:fldChar w:fldCharType="end"/>
      </w:r>
      <w:r>
        <w:rPr>
          <w:rFonts w:hint="eastAsia"/>
          <w:spacing w:val="0"/>
          <w:lang w:eastAsia="zh-CN"/>
        </w:rPr>
        <w:fldChar w:fldCharType="end"/>
      </w:r>
    </w:p>
    <w:p w14:paraId="6F087B3C">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_Toc14337 </w:instrText>
      </w:r>
      <w:r>
        <w:rPr>
          <w:rFonts w:hint="eastAsia"/>
          <w:spacing w:val="0"/>
          <w:lang w:eastAsia="zh-CN"/>
        </w:rPr>
        <w:fldChar w:fldCharType="separate"/>
      </w:r>
      <w:r>
        <w:rPr>
          <w:rFonts w:hint="eastAsia" w:ascii="黑体" w:eastAsia="黑体"/>
          <w:i w:val="0"/>
        </w:rPr>
        <w:t xml:space="preserve">1 </w:t>
      </w:r>
      <w:r>
        <w:rPr>
          <w:rFonts w:hint="eastAsia"/>
        </w:rPr>
        <w:t>范围</w:t>
      </w:r>
      <w:r>
        <w:tab/>
      </w:r>
      <w:r>
        <w:fldChar w:fldCharType="begin"/>
      </w:r>
      <w:r>
        <w:instrText xml:space="preserve"> PAGEREF _Toc14337 \h </w:instrText>
      </w:r>
      <w:r>
        <w:fldChar w:fldCharType="separate"/>
      </w:r>
      <w:r>
        <w:t>1</w:t>
      </w:r>
      <w:r>
        <w:fldChar w:fldCharType="end"/>
      </w:r>
      <w:r>
        <w:rPr>
          <w:rFonts w:hint="eastAsia"/>
          <w:spacing w:val="0"/>
          <w:lang w:eastAsia="zh-CN"/>
        </w:rPr>
        <w:fldChar w:fldCharType="end"/>
      </w:r>
    </w:p>
    <w:p w14:paraId="0E5603DD">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_Toc8521 </w:instrText>
      </w:r>
      <w:r>
        <w:rPr>
          <w:rFonts w:hint="eastAsia"/>
          <w:spacing w:val="0"/>
          <w:lang w:eastAsia="zh-CN"/>
        </w:rP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_Toc8521 \h </w:instrText>
      </w:r>
      <w:r>
        <w:fldChar w:fldCharType="separate"/>
      </w:r>
      <w:r>
        <w:t>1</w:t>
      </w:r>
      <w:r>
        <w:fldChar w:fldCharType="end"/>
      </w:r>
      <w:r>
        <w:rPr>
          <w:rFonts w:hint="eastAsia"/>
          <w:spacing w:val="0"/>
          <w:lang w:eastAsia="zh-CN"/>
        </w:rPr>
        <w:fldChar w:fldCharType="end"/>
      </w:r>
    </w:p>
    <w:p w14:paraId="3C90CA8D">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_Toc26538 </w:instrText>
      </w:r>
      <w:r>
        <w:rPr>
          <w:rFonts w:hint="eastAsia"/>
          <w:spacing w:val="0"/>
          <w:lang w:eastAsia="zh-CN"/>
        </w:rPr>
        <w:fldChar w:fldCharType="separate"/>
      </w:r>
      <w:r>
        <w:rPr>
          <w:rFonts w:hint="eastAsia" w:ascii="黑体" w:eastAsia="黑体"/>
          <w:i w:val="0"/>
        </w:rPr>
        <w:t xml:space="preserve">3 </w:t>
      </w:r>
      <w:r>
        <w:rPr>
          <w:rFonts w:hint="eastAsia"/>
          <w:szCs w:val="21"/>
        </w:rPr>
        <w:t>术语和定义</w:t>
      </w:r>
      <w:r>
        <w:tab/>
      </w:r>
      <w:r>
        <w:fldChar w:fldCharType="begin"/>
      </w:r>
      <w:r>
        <w:instrText xml:space="preserve"> PAGEREF _Toc26538 \h </w:instrText>
      </w:r>
      <w:r>
        <w:fldChar w:fldCharType="separate"/>
      </w:r>
      <w:r>
        <w:t>1</w:t>
      </w:r>
      <w:r>
        <w:fldChar w:fldCharType="end"/>
      </w:r>
      <w:r>
        <w:rPr>
          <w:rFonts w:hint="eastAsia"/>
          <w:spacing w:val="0"/>
          <w:lang w:eastAsia="zh-CN"/>
        </w:rPr>
        <w:fldChar w:fldCharType="end"/>
      </w:r>
    </w:p>
    <w:p w14:paraId="04492489">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_Toc22153 </w:instrText>
      </w:r>
      <w:r>
        <w:rPr>
          <w:rFonts w:hint="eastAsia"/>
          <w:spacing w:val="0"/>
          <w:lang w:eastAsia="zh-CN"/>
        </w:rPr>
        <w:fldChar w:fldCharType="separate"/>
      </w:r>
      <w:r>
        <w:rPr>
          <w:rFonts w:hint="eastAsia" w:ascii="黑体" w:eastAsia="黑体"/>
          <w:i w:val="0"/>
        </w:rPr>
        <w:t xml:space="preserve">4 </w:t>
      </w:r>
      <w:r>
        <w:rPr>
          <w:rFonts w:hint="eastAsia"/>
          <w:highlight w:val="none"/>
          <w:lang w:val="en-US" w:eastAsia="zh-CN"/>
        </w:rPr>
        <w:t>量化</w:t>
      </w:r>
      <w:r>
        <w:rPr>
          <w:highlight w:val="none"/>
        </w:rPr>
        <w:t>目的</w:t>
      </w:r>
      <w:r>
        <w:tab/>
      </w:r>
      <w:r>
        <w:fldChar w:fldCharType="begin"/>
      </w:r>
      <w:r>
        <w:instrText xml:space="preserve"> PAGEREF _Toc22153 \h </w:instrText>
      </w:r>
      <w:r>
        <w:fldChar w:fldCharType="separate"/>
      </w:r>
      <w:r>
        <w:t>2</w:t>
      </w:r>
      <w:r>
        <w:fldChar w:fldCharType="end"/>
      </w:r>
      <w:r>
        <w:rPr>
          <w:rFonts w:hint="eastAsia"/>
          <w:spacing w:val="0"/>
          <w:lang w:eastAsia="zh-CN"/>
        </w:rPr>
        <w:fldChar w:fldCharType="end"/>
      </w:r>
    </w:p>
    <w:p w14:paraId="7469C301">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_Toc10714 </w:instrText>
      </w:r>
      <w:r>
        <w:rPr>
          <w:rFonts w:hint="eastAsia"/>
          <w:spacing w:val="0"/>
          <w:lang w:eastAsia="zh-CN"/>
        </w:rPr>
        <w:fldChar w:fldCharType="separate"/>
      </w:r>
      <w:r>
        <w:rPr>
          <w:rFonts w:hint="eastAsia" w:ascii="黑体" w:eastAsia="黑体"/>
          <w:i w:val="0"/>
        </w:rPr>
        <w:t xml:space="preserve">5 </w:t>
      </w:r>
      <w:r>
        <w:rPr>
          <w:rFonts w:hint="eastAsia"/>
          <w:highlight w:val="none"/>
          <w:lang w:val="en-US" w:eastAsia="zh-CN"/>
        </w:rPr>
        <w:t>量化范围</w:t>
      </w:r>
      <w:r>
        <w:tab/>
      </w:r>
      <w:r>
        <w:fldChar w:fldCharType="begin"/>
      </w:r>
      <w:r>
        <w:instrText xml:space="preserve"> PAGEREF _Toc10714 \h </w:instrText>
      </w:r>
      <w:r>
        <w:fldChar w:fldCharType="separate"/>
      </w:r>
      <w:r>
        <w:t>2</w:t>
      </w:r>
      <w:r>
        <w:fldChar w:fldCharType="end"/>
      </w:r>
      <w:r>
        <w:rPr>
          <w:rFonts w:hint="eastAsia"/>
          <w:spacing w:val="0"/>
          <w:lang w:eastAsia="zh-CN"/>
        </w:rPr>
        <w:fldChar w:fldCharType="end"/>
      </w:r>
    </w:p>
    <w:p w14:paraId="0569DF51">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_Toc24140 </w:instrText>
      </w:r>
      <w:r>
        <w:rPr>
          <w:rFonts w:hint="eastAsia"/>
          <w:spacing w:val="0"/>
          <w:lang w:eastAsia="zh-CN"/>
        </w:rPr>
        <w:fldChar w:fldCharType="separate"/>
      </w:r>
      <w:r>
        <w:rPr>
          <w:rFonts w:hint="eastAsia" w:ascii="黑体" w:eastAsia="黑体"/>
          <w:i w:val="0"/>
        </w:rPr>
        <w:t xml:space="preserve">6 </w:t>
      </w:r>
      <w:r>
        <w:rPr>
          <w:rFonts w:hint="eastAsia"/>
          <w:lang w:val="en-US" w:eastAsia="zh-CN"/>
        </w:rPr>
        <w:t>量化</w:t>
      </w:r>
      <w:r>
        <w:t>步骤</w:t>
      </w:r>
      <w:r>
        <w:tab/>
      </w:r>
      <w:r>
        <w:fldChar w:fldCharType="begin"/>
      </w:r>
      <w:r>
        <w:instrText xml:space="preserve"> PAGEREF _Toc24140 \h </w:instrText>
      </w:r>
      <w:r>
        <w:fldChar w:fldCharType="separate"/>
      </w:r>
      <w:r>
        <w:t>4</w:t>
      </w:r>
      <w:r>
        <w:fldChar w:fldCharType="end"/>
      </w:r>
      <w:r>
        <w:rPr>
          <w:rFonts w:hint="eastAsia"/>
          <w:spacing w:val="0"/>
          <w:lang w:eastAsia="zh-CN"/>
        </w:rPr>
        <w:fldChar w:fldCharType="end"/>
      </w:r>
    </w:p>
    <w:p w14:paraId="732E02DE">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_Toc19252 </w:instrText>
      </w:r>
      <w:r>
        <w:rPr>
          <w:rFonts w:hint="eastAsia"/>
          <w:spacing w:val="0"/>
          <w:lang w:eastAsia="zh-CN"/>
        </w:rPr>
        <w:fldChar w:fldCharType="separate"/>
      </w:r>
      <w:r>
        <w:rPr>
          <w:rFonts w:hint="eastAsia" w:ascii="黑体" w:eastAsia="黑体"/>
          <w:i w:val="0"/>
        </w:rPr>
        <w:t xml:space="preserve">7 </w:t>
      </w:r>
      <w:r>
        <w:t>数据</w:t>
      </w:r>
      <w:r>
        <w:rPr>
          <w:rFonts w:hint="eastAsia"/>
          <w:lang w:val="en-US" w:eastAsia="zh-CN"/>
        </w:rPr>
        <w:t>要求</w:t>
      </w:r>
      <w:r>
        <w:tab/>
      </w:r>
      <w:r>
        <w:fldChar w:fldCharType="begin"/>
      </w:r>
      <w:r>
        <w:instrText xml:space="preserve"> PAGEREF _Toc19252 \h </w:instrText>
      </w:r>
      <w:r>
        <w:fldChar w:fldCharType="separate"/>
      </w:r>
      <w:r>
        <w:t>4</w:t>
      </w:r>
      <w:r>
        <w:fldChar w:fldCharType="end"/>
      </w:r>
      <w:r>
        <w:rPr>
          <w:rFonts w:hint="eastAsia"/>
          <w:spacing w:val="0"/>
          <w:lang w:eastAsia="zh-CN"/>
        </w:rPr>
        <w:fldChar w:fldCharType="end"/>
      </w:r>
    </w:p>
    <w:p w14:paraId="7151F4A9">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_Toc25974 </w:instrText>
      </w:r>
      <w:r>
        <w:rPr>
          <w:rFonts w:hint="eastAsia"/>
          <w:spacing w:val="0"/>
          <w:lang w:eastAsia="zh-CN"/>
        </w:rPr>
        <w:fldChar w:fldCharType="separate"/>
      </w:r>
      <w:r>
        <w:rPr>
          <w:rFonts w:hint="eastAsia" w:ascii="黑体" w:eastAsia="黑体"/>
          <w:i w:val="0"/>
        </w:rPr>
        <w:t xml:space="preserve">8 </w:t>
      </w:r>
      <w:r>
        <w:rPr>
          <w:rFonts w:hint="eastAsia"/>
          <w:lang w:val="en-US" w:eastAsia="zh-CN"/>
        </w:rPr>
        <w:t>量化</w:t>
      </w:r>
      <w:r>
        <w:t>方法</w:t>
      </w:r>
      <w:r>
        <w:tab/>
      </w:r>
      <w:r>
        <w:fldChar w:fldCharType="begin"/>
      </w:r>
      <w:r>
        <w:instrText xml:space="preserve"> PAGEREF _Toc25974 \h </w:instrText>
      </w:r>
      <w:r>
        <w:fldChar w:fldCharType="separate"/>
      </w:r>
      <w:r>
        <w:t>5</w:t>
      </w:r>
      <w:r>
        <w:fldChar w:fldCharType="end"/>
      </w:r>
      <w:r>
        <w:rPr>
          <w:rFonts w:hint="eastAsia"/>
          <w:spacing w:val="0"/>
          <w:lang w:eastAsia="zh-CN"/>
        </w:rPr>
        <w:fldChar w:fldCharType="end"/>
      </w:r>
    </w:p>
    <w:p w14:paraId="14670FD2">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_Toc13487 </w:instrText>
      </w:r>
      <w:r>
        <w:rPr>
          <w:rFonts w:hint="eastAsia"/>
          <w:spacing w:val="0"/>
          <w:lang w:eastAsia="zh-CN"/>
        </w:rPr>
        <w:fldChar w:fldCharType="separate"/>
      </w:r>
      <w:r>
        <w:rPr>
          <w:rFonts w:hint="eastAsia" w:ascii="黑体" w:eastAsia="黑体"/>
          <w:i w:val="0"/>
          <w:lang w:val="en-US" w:eastAsia="zh-CN"/>
        </w:rPr>
        <w:t xml:space="preserve">9 </w:t>
      </w:r>
      <w:r>
        <w:rPr>
          <w:lang w:val="en-US" w:eastAsia="zh-CN"/>
        </w:rPr>
        <w:t>核算报告</w:t>
      </w:r>
      <w:r>
        <w:tab/>
      </w:r>
      <w:r>
        <w:fldChar w:fldCharType="begin"/>
      </w:r>
      <w:r>
        <w:instrText xml:space="preserve"> PAGEREF _Toc13487 \h </w:instrText>
      </w:r>
      <w:r>
        <w:fldChar w:fldCharType="separate"/>
      </w:r>
      <w:r>
        <w:t>11</w:t>
      </w:r>
      <w:r>
        <w:fldChar w:fldCharType="end"/>
      </w:r>
      <w:r>
        <w:rPr>
          <w:rFonts w:hint="eastAsia"/>
          <w:spacing w:val="0"/>
          <w:lang w:eastAsia="zh-CN"/>
        </w:rPr>
        <w:fldChar w:fldCharType="end"/>
      </w:r>
    </w:p>
    <w:p w14:paraId="2B9A1EB8">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_Toc27194 </w:instrText>
      </w:r>
      <w:r>
        <w:rPr>
          <w:rFonts w:hint="eastAsia"/>
          <w:spacing w:val="0"/>
          <w:lang w:eastAsia="zh-CN"/>
        </w:rPr>
        <w:fldChar w:fldCharType="separate"/>
      </w:r>
      <w:r>
        <w:rPr>
          <w:rFonts w:hint="eastAsia" w:ascii="黑体" w:eastAsia="黑体"/>
          <w:i w:val="0"/>
          <w:lang w:val="en-US" w:eastAsia="zh-CN"/>
        </w:rPr>
        <w:t xml:space="preserve">10 </w:t>
      </w:r>
      <w:r>
        <w:rPr>
          <w:rFonts w:hint="eastAsia"/>
          <w:lang w:val="en-US" w:eastAsia="zh-CN"/>
        </w:rPr>
        <w:t>声明标识</w:t>
      </w:r>
      <w:r>
        <w:tab/>
      </w:r>
      <w:r>
        <w:fldChar w:fldCharType="begin"/>
      </w:r>
      <w:r>
        <w:instrText xml:space="preserve"> PAGEREF _Toc27194 \h </w:instrText>
      </w:r>
      <w:r>
        <w:fldChar w:fldCharType="separate"/>
      </w:r>
      <w:r>
        <w:t>11</w:t>
      </w:r>
      <w:r>
        <w:fldChar w:fldCharType="end"/>
      </w:r>
      <w:r>
        <w:rPr>
          <w:rFonts w:hint="eastAsia"/>
          <w:spacing w:val="0"/>
          <w:lang w:eastAsia="zh-CN"/>
        </w:rPr>
        <w:fldChar w:fldCharType="end"/>
      </w:r>
    </w:p>
    <w:p w14:paraId="30A4CAE5">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_Toc10338 </w:instrText>
      </w:r>
      <w:r>
        <w:rPr>
          <w:rFonts w:hint="eastAsia"/>
          <w:spacing w:val="0"/>
          <w:lang w:eastAsia="zh-CN"/>
        </w:rPr>
        <w:fldChar w:fldCharType="separate"/>
      </w:r>
      <w:r>
        <w:rPr>
          <w:rFonts w:hint="eastAsia"/>
          <w:spacing w:val="100"/>
        </w:rPr>
        <w:t xml:space="preserve">附录A </w:t>
      </w:r>
      <w:r>
        <w:t xml:space="preserve"> </w:t>
      </w:r>
      <w:r>
        <w:rPr>
          <w:rFonts w:hint="eastAsia"/>
          <w:lang w:eastAsia="zh-CN"/>
        </w:rPr>
        <w:t>（资料性）</w:t>
      </w:r>
      <w:r>
        <w:rPr>
          <w:rFonts w:hint="eastAsia"/>
          <w:lang w:eastAsia="zh-CN"/>
        </w:rPr>
        <w:t xml:space="preserve"> </w:t>
      </w:r>
      <w:r>
        <w:rPr>
          <w:rFonts w:hint="eastAsia"/>
          <w:lang w:eastAsia="zh-CN"/>
        </w:rPr>
        <w:t>神湾菠萝</w:t>
      </w:r>
      <w:r>
        <w:rPr>
          <w:rFonts w:hint="eastAsia"/>
          <w:lang w:val="en-US" w:eastAsia="zh-CN"/>
        </w:rPr>
        <w:t>产品碳足迹需监测和获取的活动数据及相关要求</w:t>
      </w:r>
      <w:r>
        <w:tab/>
      </w:r>
      <w:r>
        <w:fldChar w:fldCharType="begin"/>
      </w:r>
      <w:r>
        <w:instrText xml:space="preserve"> PAGEREF _Toc10338 \h </w:instrText>
      </w:r>
      <w:r>
        <w:fldChar w:fldCharType="separate"/>
      </w:r>
      <w:r>
        <w:t>12</w:t>
      </w:r>
      <w:r>
        <w:fldChar w:fldCharType="end"/>
      </w:r>
      <w:r>
        <w:rPr>
          <w:rFonts w:hint="eastAsia"/>
          <w:spacing w:val="0"/>
          <w:lang w:eastAsia="zh-CN"/>
        </w:rPr>
        <w:fldChar w:fldCharType="end"/>
      </w:r>
    </w:p>
    <w:p w14:paraId="68B9A10A">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_Toc14397 </w:instrText>
      </w:r>
      <w:r>
        <w:rPr>
          <w:rFonts w:hint="eastAsia"/>
          <w:spacing w:val="0"/>
          <w:lang w:eastAsia="zh-CN"/>
        </w:rPr>
        <w:fldChar w:fldCharType="separate"/>
      </w:r>
      <w:r>
        <w:rPr>
          <w:rFonts w:hint="eastAsia"/>
          <w:spacing w:val="100"/>
        </w:rPr>
        <w:t xml:space="preserve">附录B </w:t>
      </w:r>
      <w:r>
        <w:t xml:space="preserve"> </w:t>
      </w:r>
      <w:r>
        <w:rPr>
          <w:rFonts w:hint="eastAsia"/>
          <w:lang w:eastAsia="zh-CN"/>
        </w:rPr>
        <w:t>（资料性）</w:t>
      </w:r>
      <w:r>
        <w:rPr>
          <w:rFonts w:hint="eastAsia"/>
          <w:lang w:eastAsia="zh-CN"/>
        </w:rPr>
        <w:t xml:space="preserve"> </w:t>
      </w:r>
      <w:r>
        <w:rPr>
          <w:rFonts w:hint="eastAsia"/>
          <w:lang w:eastAsia="zh-CN"/>
        </w:rPr>
        <w:t>排放因子推荐值（广东适用）</w:t>
      </w:r>
      <w:r>
        <w:tab/>
      </w:r>
      <w:r>
        <w:fldChar w:fldCharType="begin"/>
      </w:r>
      <w:r>
        <w:instrText xml:space="preserve"> PAGEREF _Toc14397 \h </w:instrText>
      </w:r>
      <w:r>
        <w:fldChar w:fldCharType="separate"/>
      </w:r>
      <w:r>
        <w:t>13</w:t>
      </w:r>
      <w:r>
        <w:fldChar w:fldCharType="end"/>
      </w:r>
      <w:r>
        <w:rPr>
          <w:rFonts w:hint="eastAsia"/>
          <w:spacing w:val="0"/>
          <w:lang w:eastAsia="zh-CN"/>
        </w:rPr>
        <w:fldChar w:fldCharType="end"/>
      </w:r>
    </w:p>
    <w:p w14:paraId="1102BD3D">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_Toc13732 </w:instrText>
      </w:r>
      <w:r>
        <w:rPr>
          <w:rFonts w:hint="eastAsia"/>
          <w:spacing w:val="0"/>
          <w:lang w:eastAsia="zh-CN"/>
        </w:rPr>
        <w:fldChar w:fldCharType="separate"/>
      </w:r>
      <w:r>
        <w:rPr>
          <w:rFonts w:hint="eastAsia"/>
          <w:spacing w:val="100"/>
        </w:rPr>
        <w:t xml:space="preserve">附录C </w:t>
      </w:r>
      <w:r>
        <w:t xml:space="preserve"> </w:t>
      </w:r>
      <w:r>
        <w:rPr>
          <w:rFonts w:hint="eastAsia"/>
          <w:lang w:eastAsia="zh-CN"/>
        </w:rPr>
        <w:t>（资料性）</w:t>
      </w:r>
      <w:r>
        <w:rPr>
          <w:rFonts w:hint="eastAsia"/>
          <w:lang w:eastAsia="zh-CN"/>
        </w:rPr>
        <w:t xml:space="preserve"> </w:t>
      </w:r>
      <w:r>
        <w:rPr>
          <w:rFonts w:hint="eastAsia"/>
          <w:lang w:eastAsia="zh-CN"/>
        </w:rPr>
        <w:t>神湾菠萝碳足迹核算报告（模板）</w:t>
      </w:r>
      <w:r>
        <w:tab/>
      </w:r>
      <w:r>
        <w:fldChar w:fldCharType="begin"/>
      </w:r>
      <w:r>
        <w:instrText xml:space="preserve"> PAGEREF _Toc13732 \h </w:instrText>
      </w:r>
      <w:r>
        <w:fldChar w:fldCharType="separate"/>
      </w:r>
      <w:r>
        <w:t>16</w:t>
      </w:r>
      <w:r>
        <w:fldChar w:fldCharType="end"/>
      </w:r>
      <w:r>
        <w:rPr>
          <w:rFonts w:hint="eastAsia"/>
          <w:spacing w:val="0"/>
          <w:lang w:eastAsia="zh-CN"/>
        </w:rPr>
        <w:fldChar w:fldCharType="end"/>
      </w:r>
    </w:p>
    <w:p w14:paraId="7239DD86">
      <w:pPr>
        <w:pStyle w:val="21"/>
        <w:tabs>
          <w:tab w:val="right" w:leader="dot" w:pos="9354"/>
        </w:tabs>
      </w:pPr>
      <w:r>
        <w:rPr>
          <w:rFonts w:hint="eastAsia"/>
          <w:spacing w:val="0"/>
          <w:lang w:eastAsia="zh-CN"/>
        </w:rPr>
        <w:fldChar w:fldCharType="begin"/>
      </w:r>
      <w:r>
        <w:rPr>
          <w:rFonts w:hint="eastAsia"/>
          <w:spacing w:val="0"/>
          <w:lang w:eastAsia="zh-CN"/>
        </w:rPr>
        <w:instrText xml:space="preserve"> HYPERLINK \l _Toc21172 </w:instrText>
      </w:r>
      <w:r>
        <w:rPr>
          <w:rFonts w:hint="eastAsia"/>
          <w:spacing w:val="0"/>
          <w:lang w:eastAsia="zh-CN"/>
        </w:rPr>
        <w:fldChar w:fldCharType="separate"/>
      </w:r>
      <w:r>
        <w:rPr>
          <w:rFonts w:hint="eastAsia"/>
          <w:spacing w:val="105"/>
          <w:lang w:eastAsia="zh-CN"/>
        </w:rPr>
        <w:t>参考文</w:t>
      </w:r>
      <w:r>
        <w:rPr>
          <w:rFonts w:hint="eastAsia"/>
          <w:lang w:eastAsia="zh-CN"/>
        </w:rPr>
        <w:t>献</w:t>
      </w:r>
      <w:r>
        <w:tab/>
      </w:r>
      <w:r>
        <w:fldChar w:fldCharType="begin"/>
      </w:r>
      <w:r>
        <w:instrText xml:space="preserve"> PAGEREF _Toc21172 \h </w:instrText>
      </w:r>
      <w:r>
        <w:fldChar w:fldCharType="separate"/>
      </w:r>
      <w:r>
        <w:t>20</w:t>
      </w:r>
      <w:r>
        <w:fldChar w:fldCharType="end"/>
      </w:r>
      <w:r>
        <w:rPr>
          <w:rFonts w:hint="eastAsia"/>
          <w:spacing w:val="0"/>
          <w:lang w:eastAsia="zh-CN"/>
        </w:rPr>
        <w:fldChar w:fldCharType="end"/>
      </w:r>
    </w:p>
    <w:p w14:paraId="44ACDF1F">
      <w:pPr>
        <w:pStyle w:val="97"/>
        <w:bidi w:val="0"/>
        <w:rPr>
          <w:rFonts w:hint="eastAsia"/>
          <w:spacing w:val="0"/>
          <w:lang w:eastAsia="zh-CN"/>
        </w:rPr>
        <w:sectPr>
          <w:headerReference r:id="rId9" w:type="default"/>
          <w:footerReference r:id="rId10" w:type="default"/>
          <w:pgSz w:w="11906" w:h="16838"/>
          <w:pgMar w:top="1928" w:right="1134" w:bottom="1134" w:left="1134" w:header="1418" w:footer="1134" w:gutter="284"/>
          <w:pgNumType w:fmt="upperRoman" w:start="1"/>
          <w:cols w:space="425" w:num="1"/>
          <w:formProt w:val="0"/>
          <w:docGrid w:linePitch="312" w:charSpace="0"/>
        </w:sectPr>
      </w:pPr>
      <w:r>
        <w:rPr>
          <w:rFonts w:hint="eastAsia"/>
          <w:spacing w:val="0"/>
          <w:lang w:eastAsia="zh-CN"/>
        </w:rPr>
        <w:fldChar w:fldCharType="end"/>
      </w:r>
    </w:p>
    <w:bookmarkEnd w:id="21"/>
    <w:p w14:paraId="75B5C2AE">
      <w:pPr>
        <w:pStyle w:val="95"/>
        <w:bidi w:val="0"/>
        <w:spacing w:before="560"/>
        <w:rPr>
          <w:rFonts w:hint="eastAsia"/>
          <w:lang w:eastAsia="zh-CN"/>
        </w:rPr>
      </w:pPr>
      <w:bookmarkStart w:id="24" w:name="_Toc2835"/>
      <w:bookmarkStart w:id="25" w:name="BookMark2"/>
      <w:r>
        <w:rPr>
          <w:rFonts w:hint="eastAsia"/>
          <w:spacing w:val="320"/>
          <w:lang w:eastAsia="zh-CN"/>
        </w:rPr>
        <w:t>前</w:t>
      </w:r>
      <w:r>
        <w:rPr>
          <w:rFonts w:hint="eastAsia"/>
          <w:lang w:eastAsia="zh-CN"/>
        </w:rPr>
        <w:t>言</w:t>
      </w:r>
      <w:bookmarkEnd w:id="22"/>
      <w:bookmarkEnd w:id="23"/>
      <w:bookmarkEnd w:id="24"/>
    </w:p>
    <w:p w14:paraId="19D67DA5">
      <w:pPr>
        <w:pStyle w:val="39"/>
        <w:bidi w:val="0"/>
        <w:rPr>
          <w:rFonts w:hint="eastAsia"/>
          <w:lang w:eastAsia="zh-CN"/>
        </w:rPr>
      </w:pPr>
      <w:r>
        <w:rPr>
          <w:rFonts w:hint="eastAsia"/>
          <w:lang w:eastAsia="zh-CN"/>
        </w:rPr>
        <w:t>本文件按照GB/T 1.1—2020《标准化工作导则 第1部分：标准化文件的结构和起草规则》的规定起草。</w:t>
      </w:r>
    </w:p>
    <w:p w14:paraId="13F138BA">
      <w:pPr>
        <w:pStyle w:val="39"/>
        <w:bidi w:val="0"/>
        <w:rPr>
          <w:rFonts w:hint="eastAsia"/>
          <w:lang w:eastAsia="zh-CN"/>
        </w:rPr>
      </w:pPr>
      <w:r>
        <w:rPr>
          <w:rFonts w:hint="eastAsia"/>
          <w:lang w:eastAsia="zh-CN"/>
        </w:rPr>
        <w:t>请注意本文件的某些内容可能涉及专利。本文件的发布机构不承担识别专利的责任。</w:t>
      </w:r>
    </w:p>
    <w:p w14:paraId="4CE48E12">
      <w:pPr>
        <w:pStyle w:val="39"/>
        <w:bidi w:val="0"/>
        <w:rPr>
          <w:rFonts w:hint="eastAsia"/>
          <w:lang w:eastAsia="zh-CN"/>
        </w:rPr>
      </w:pPr>
      <w:r>
        <w:rPr>
          <w:rFonts w:hint="eastAsia"/>
          <w:lang w:eastAsia="zh-CN"/>
        </w:rPr>
        <w:t>本文件</w:t>
      </w:r>
      <w:r>
        <w:rPr>
          <w:rFonts w:hint="eastAsia"/>
          <w:highlight w:val="none"/>
          <w:lang w:eastAsia="zh-CN"/>
        </w:rPr>
        <w:t>由</w:t>
      </w:r>
      <w:r>
        <w:rPr>
          <w:rFonts w:hint="eastAsia"/>
          <w:highlight w:val="none"/>
          <w:lang w:val="en-US" w:eastAsia="zh-CN"/>
        </w:rPr>
        <w:t xml:space="preserve">    </w:t>
      </w:r>
      <w:r>
        <w:rPr>
          <w:rFonts w:hint="eastAsia"/>
          <w:highlight w:val="none"/>
          <w:lang w:eastAsia="zh-CN"/>
        </w:rPr>
        <w:t>提出。</w:t>
      </w:r>
    </w:p>
    <w:p w14:paraId="2427D980">
      <w:pPr>
        <w:pStyle w:val="39"/>
        <w:bidi w:val="0"/>
        <w:rPr>
          <w:rFonts w:hint="eastAsia"/>
          <w:lang w:eastAsia="zh-CN"/>
        </w:rPr>
      </w:pPr>
      <w:r>
        <w:rPr>
          <w:rFonts w:hint="eastAsia"/>
          <w:lang w:eastAsia="zh-CN"/>
        </w:rPr>
        <w:t>本文件由</w:t>
      </w:r>
      <w:r>
        <w:rPr>
          <w:rFonts w:hint="eastAsia"/>
          <w:lang w:val="en-US" w:eastAsia="zh-CN"/>
        </w:rPr>
        <w:t xml:space="preserve">    </w:t>
      </w:r>
      <w:r>
        <w:rPr>
          <w:rFonts w:hint="eastAsia"/>
          <w:lang w:eastAsia="zh-CN"/>
        </w:rPr>
        <w:t>归口。</w:t>
      </w:r>
    </w:p>
    <w:p w14:paraId="3DA68561">
      <w:pPr>
        <w:pStyle w:val="39"/>
        <w:bidi w:val="0"/>
        <w:rPr>
          <w:rFonts w:hint="eastAsia"/>
          <w:lang w:eastAsia="zh-CN"/>
        </w:rPr>
      </w:pPr>
      <w:r>
        <w:rPr>
          <w:rFonts w:hint="eastAsia"/>
          <w:lang w:eastAsia="zh-CN"/>
        </w:rPr>
        <w:t>本文件起草单位：</w:t>
      </w:r>
    </w:p>
    <w:p w14:paraId="5335BD66">
      <w:pPr>
        <w:pStyle w:val="39"/>
        <w:bidi w:val="0"/>
        <w:rPr>
          <w:rFonts w:hint="eastAsia"/>
          <w:lang w:eastAsia="zh-CN"/>
        </w:rPr>
      </w:pPr>
      <w:r>
        <w:rPr>
          <w:rFonts w:hint="eastAsia"/>
          <w:lang w:eastAsia="zh-CN"/>
        </w:rPr>
        <w:t>本文件主要起草人：</w:t>
      </w:r>
    </w:p>
    <w:p w14:paraId="016B504F">
      <w:pPr>
        <w:pStyle w:val="39"/>
        <w:bidi w:val="0"/>
        <w:rPr>
          <w:rFonts w:hint="eastAsia"/>
          <w:lang w:eastAsia="zh-CN"/>
        </w:rPr>
      </w:pPr>
    </w:p>
    <w:p w14:paraId="6F555E8B">
      <w:pPr>
        <w:pStyle w:val="39"/>
        <w:bidi w:val="0"/>
        <w:rPr>
          <w:rFonts w:hint="eastAsia"/>
          <w:lang w:eastAsia="zh-CN"/>
        </w:rPr>
      </w:pPr>
    </w:p>
    <w:p w14:paraId="353B1254">
      <w:pPr>
        <w:pStyle w:val="39"/>
        <w:bidi w:val="0"/>
        <w:rPr>
          <w:rFonts w:hint="eastAsia"/>
          <w:lang w:eastAsia="zh-CN"/>
        </w:rPr>
      </w:pPr>
    </w:p>
    <w:p w14:paraId="2A024B95">
      <w:pPr>
        <w:pStyle w:val="39"/>
        <w:bidi w:val="0"/>
        <w:rPr>
          <w:rFonts w:hint="eastAsia"/>
          <w:lang w:eastAsia="zh-CN"/>
        </w:rPr>
        <w:sectPr>
          <w:pgSz w:w="11906" w:h="16838"/>
          <w:pgMar w:top="1928" w:right="1134" w:bottom="1134" w:left="1134" w:header="1418" w:footer="1134" w:gutter="284"/>
          <w:pgNumType w:fmt="upperRoman"/>
          <w:cols w:space="425" w:num="1"/>
          <w:formProt w:val="0"/>
          <w:docGrid w:linePitch="312" w:charSpace="0"/>
        </w:sectPr>
      </w:pPr>
    </w:p>
    <w:bookmarkEnd w:id="25"/>
    <w:p w14:paraId="2A51A950">
      <w:pPr>
        <w:spacing w:line="20" w:lineRule="exact"/>
        <w:jc w:val="center"/>
        <w:rPr>
          <w:rFonts w:hint="eastAsia" w:ascii="黑体" w:hAnsi="黑体" w:eastAsia="黑体"/>
          <w:sz w:val="32"/>
          <w:szCs w:val="32"/>
        </w:rPr>
      </w:pPr>
      <w:bookmarkStart w:id="26" w:name="BookMark4"/>
    </w:p>
    <w:p w14:paraId="58FA81F3">
      <w:pPr>
        <w:spacing w:line="20" w:lineRule="exact"/>
        <w:jc w:val="center"/>
        <w:rPr>
          <w:rFonts w:hint="eastAsia" w:ascii="黑体" w:hAnsi="黑体" w:eastAsia="黑体"/>
          <w:sz w:val="32"/>
          <w:szCs w:val="32"/>
        </w:rPr>
      </w:pPr>
    </w:p>
    <w:sdt>
      <w:sdtPr>
        <w:tag w:val="NEW_STAND_NAME"/>
        <w:id w:val="595910757"/>
        <w:lock w:val="sdtLocked"/>
        <w:placeholder>
          <w:docPart w:val="9B3BEDB4F2724F9D81F4444A5CCE266D"/>
        </w:placeholder>
      </w:sdtPr>
      <w:sdtContent>
        <w:p w14:paraId="1D58211E">
          <w:pPr>
            <w:pStyle w:val="180"/>
            <w:bidi w:val="0"/>
            <w:spacing w:before="313" w:beforeLines="100" w:after="687" w:afterLines="220"/>
            <w:rPr>
              <w:rFonts w:hint="eastAsia"/>
            </w:rPr>
          </w:pPr>
          <w:bookmarkStart w:id="27" w:name="NEW_STAND_NAME"/>
          <w:r>
            <w:rPr>
              <w:rFonts w:hint="eastAsia"/>
              <w:lang w:eastAsia="zh-CN"/>
            </w:rPr>
            <w:t>温室气体 产品碳足迹量化方法与要求 神湾菠萝</w:t>
          </w:r>
        </w:p>
      </w:sdtContent>
    </w:sdt>
    <w:bookmarkEnd w:id="27"/>
    <w:p w14:paraId="58FB4D92">
      <w:pPr>
        <w:pStyle w:val="107"/>
        <w:spacing w:before="240" w:after="240"/>
      </w:pPr>
      <w:bookmarkStart w:id="28" w:name="_Toc25686"/>
      <w:bookmarkStart w:id="29" w:name="_Toc26718930"/>
      <w:bookmarkStart w:id="30" w:name="_Toc13369"/>
      <w:bookmarkStart w:id="31" w:name="_Toc97192964"/>
      <w:bookmarkStart w:id="32" w:name="_Toc24884218"/>
      <w:bookmarkStart w:id="33" w:name="_Toc26986771"/>
      <w:bookmarkStart w:id="34" w:name="_Toc26648465"/>
      <w:bookmarkStart w:id="35" w:name="_Toc17233333"/>
      <w:bookmarkStart w:id="36" w:name="_Toc26986530"/>
      <w:bookmarkStart w:id="37" w:name="_Toc17233325"/>
      <w:bookmarkStart w:id="38" w:name="_Toc24884211"/>
      <w:bookmarkStart w:id="39" w:name="_Toc14337"/>
      <w:r>
        <w:rPr>
          <w:rFonts w:hint="eastAsia"/>
        </w:rPr>
        <w:t>范围</w:t>
      </w:r>
      <w:bookmarkEnd w:id="28"/>
      <w:bookmarkEnd w:id="29"/>
      <w:bookmarkEnd w:id="30"/>
      <w:bookmarkEnd w:id="31"/>
      <w:bookmarkEnd w:id="32"/>
      <w:bookmarkEnd w:id="33"/>
      <w:bookmarkEnd w:id="34"/>
      <w:bookmarkEnd w:id="35"/>
      <w:bookmarkEnd w:id="36"/>
      <w:bookmarkEnd w:id="37"/>
      <w:bookmarkEnd w:id="38"/>
      <w:bookmarkEnd w:id="39"/>
    </w:p>
    <w:p w14:paraId="300AA246">
      <w:pPr>
        <w:pStyle w:val="39"/>
        <w:ind w:firstLine="420"/>
        <w:rPr>
          <w:rFonts w:hint="eastAsia" w:eastAsia="宋体"/>
          <w:highlight w:val="none"/>
          <w:lang w:eastAsia="zh-CN"/>
        </w:rPr>
      </w:pPr>
      <w:bookmarkStart w:id="40" w:name="_Toc24884212"/>
      <w:bookmarkStart w:id="41" w:name="_Toc17233326"/>
      <w:bookmarkStart w:id="42" w:name="_Toc17233334"/>
      <w:bookmarkStart w:id="43" w:name="_Toc26648466"/>
      <w:bookmarkStart w:id="44" w:name="_Toc24884219"/>
      <w:r>
        <w:rPr>
          <w:rFonts w:hint="eastAsia" w:eastAsia="宋体"/>
          <w:highlight w:val="none"/>
          <w:lang w:eastAsia="zh-CN"/>
        </w:rPr>
        <w:t>本文件确立了神湾菠萝产品碳足迹的</w:t>
      </w:r>
      <w:r>
        <w:rPr>
          <w:rFonts w:hint="eastAsia"/>
          <w:highlight w:val="none"/>
          <w:lang w:val="en-US" w:eastAsia="zh-CN"/>
        </w:rPr>
        <w:t>量化</w:t>
      </w:r>
      <w:r>
        <w:rPr>
          <w:rFonts w:hint="eastAsia" w:eastAsia="宋体"/>
          <w:highlight w:val="none"/>
          <w:lang w:eastAsia="zh-CN"/>
        </w:rPr>
        <w:t>目</w:t>
      </w:r>
      <w:r>
        <w:rPr>
          <w:rFonts w:hint="eastAsia"/>
          <w:highlight w:val="none"/>
          <w:lang w:eastAsia="zh-CN"/>
        </w:rPr>
        <w:t>、量化</w:t>
      </w:r>
      <w:r>
        <w:rPr>
          <w:rFonts w:hint="eastAsia" w:eastAsia="宋体"/>
          <w:highlight w:val="none"/>
          <w:lang w:eastAsia="zh-CN"/>
        </w:rPr>
        <w:t>范围、</w:t>
      </w:r>
      <w:r>
        <w:rPr>
          <w:rFonts w:hint="eastAsia"/>
          <w:highlight w:val="none"/>
          <w:lang w:eastAsia="zh-CN"/>
        </w:rPr>
        <w:t>量化</w:t>
      </w:r>
      <w:r>
        <w:rPr>
          <w:rFonts w:hint="eastAsia"/>
          <w:highlight w:val="none"/>
          <w:lang w:val="en-US" w:eastAsia="zh-CN"/>
        </w:rPr>
        <w:t>步骤</w:t>
      </w:r>
      <w:r>
        <w:rPr>
          <w:rFonts w:hint="eastAsia" w:eastAsia="宋体"/>
          <w:highlight w:val="none"/>
          <w:lang w:eastAsia="zh-CN"/>
        </w:rPr>
        <w:t>、数据</w:t>
      </w:r>
      <w:r>
        <w:rPr>
          <w:rFonts w:hint="eastAsia"/>
          <w:highlight w:val="none"/>
          <w:lang w:eastAsia="zh-CN"/>
        </w:rPr>
        <w:t>要求、</w:t>
      </w:r>
      <w:r>
        <w:rPr>
          <w:rFonts w:hint="eastAsia"/>
          <w:highlight w:val="none"/>
          <w:lang w:val="en-US" w:eastAsia="zh-CN"/>
        </w:rPr>
        <w:t>量化方法、报告编制及声明标识</w:t>
      </w:r>
      <w:r>
        <w:rPr>
          <w:rFonts w:hint="eastAsia" w:eastAsia="宋体"/>
          <w:highlight w:val="none"/>
          <w:lang w:eastAsia="zh-CN"/>
        </w:rPr>
        <w:t>，界定了相关术语，明确了核算边界、内容、流程、核算方法与数据质量控制要求。</w:t>
      </w:r>
    </w:p>
    <w:p w14:paraId="72FF6605">
      <w:pPr>
        <w:pStyle w:val="39"/>
        <w:ind w:firstLine="420"/>
        <w:rPr>
          <w:rFonts w:hint="eastAsia" w:eastAsia="宋体"/>
          <w:highlight w:val="none"/>
          <w:lang w:eastAsia="zh-CN"/>
        </w:rPr>
      </w:pPr>
      <w:r>
        <w:rPr>
          <w:rFonts w:hint="eastAsia" w:eastAsia="宋体"/>
          <w:highlight w:val="none"/>
          <w:lang w:eastAsia="zh-CN"/>
        </w:rPr>
        <w:t>本文件适用于</w:t>
      </w:r>
      <w:r>
        <w:rPr>
          <w:rFonts w:hint="eastAsia"/>
          <w:highlight w:val="none"/>
          <w:lang w:val="en-US" w:eastAsia="zh-CN"/>
        </w:rPr>
        <w:t>神湾菠萝</w:t>
      </w:r>
      <w:r>
        <w:rPr>
          <w:rFonts w:hint="eastAsia" w:eastAsia="宋体"/>
          <w:highlight w:val="none"/>
          <w:lang w:eastAsia="zh-CN"/>
        </w:rPr>
        <w:t>产品的碳足迹量化与</w:t>
      </w:r>
      <w:r>
        <w:rPr>
          <w:rFonts w:hint="eastAsia"/>
          <w:highlight w:val="none"/>
          <w:lang w:val="en-US" w:eastAsia="zh-CN"/>
        </w:rPr>
        <w:t>评价</w:t>
      </w:r>
      <w:r>
        <w:rPr>
          <w:rFonts w:hint="eastAsia" w:eastAsia="宋体"/>
          <w:highlight w:val="none"/>
          <w:lang w:eastAsia="zh-CN"/>
        </w:rPr>
        <w:t>。</w:t>
      </w:r>
    </w:p>
    <w:p w14:paraId="767F512F">
      <w:pPr>
        <w:pStyle w:val="107"/>
        <w:spacing w:before="240" w:after="240"/>
      </w:pPr>
      <w:bookmarkStart w:id="45" w:name="_Toc9622"/>
      <w:bookmarkStart w:id="46" w:name="_Toc26986531"/>
      <w:bookmarkStart w:id="47" w:name="_Toc26986772"/>
      <w:bookmarkStart w:id="48" w:name="_Toc97192965"/>
      <w:bookmarkStart w:id="49" w:name="_Toc27121"/>
      <w:bookmarkStart w:id="50" w:name="_Toc26718931"/>
      <w:bookmarkStart w:id="51" w:name="_Toc8521"/>
      <w:r>
        <w:rPr>
          <w:rFonts w:hint="eastAsia"/>
        </w:rPr>
        <w:t>规范性引用文件</w:t>
      </w:r>
      <w:bookmarkEnd w:id="40"/>
      <w:bookmarkEnd w:id="41"/>
      <w:bookmarkEnd w:id="42"/>
      <w:bookmarkEnd w:id="43"/>
      <w:bookmarkEnd w:id="44"/>
      <w:bookmarkEnd w:id="45"/>
      <w:bookmarkEnd w:id="46"/>
      <w:bookmarkEnd w:id="47"/>
      <w:bookmarkEnd w:id="48"/>
      <w:bookmarkEnd w:id="49"/>
      <w:bookmarkEnd w:id="50"/>
      <w:bookmarkEnd w:id="51"/>
    </w:p>
    <w:p w14:paraId="6CC247A4">
      <w:pPr>
        <w:pStyle w:val="39"/>
        <w:ind w:firstLine="420"/>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98FF641">
      <w:pPr>
        <w:pStyle w:val="39"/>
        <w:ind w:firstLine="420"/>
        <w:rPr>
          <w:rFonts w:hint="eastAsia"/>
        </w:rPr>
      </w:pPr>
      <w:r>
        <w:rPr>
          <w:rFonts w:hint="eastAsia"/>
        </w:rPr>
        <w:t>GB/T 24067</w:t>
      </w:r>
      <w:r>
        <w:rPr>
          <w:rFonts w:hint="eastAsia"/>
          <w:lang w:eastAsia="zh-CN"/>
        </w:rPr>
        <w:t>—</w:t>
      </w:r>
      <w:r>
        <w:rPr>
          <w:rFonts w:hint="eastAsia"/>
          <w:lang w:val="en-US" w:eastAsia="zh-CN"/>
        </w:rPr>
        <w:t>2024</w:t>
      </w:r>
      <w:r>
        <w:rPr>
          <w:rFonts w:hint="eastAsia"/>
        </w:rPr>
        <w:t xml:space="preserve"> 温室气体 产品碳足迹 量化要求和指南</w:t>
      </w:r>
    </w:p>
    <w:p w14:paraId="0AF7357D">
      <w:pPr>
        <w:pStyle w:val="39"/>
        <w:ind w:firstLine="420"/>
        <w:rPr>
          <w:rFonts w:hint="eastAsia"/>
        </w:rPr>
      </w:pPr>
      <w:r>
        <w:rPr>
          <w:rFonts w:hint="eastAsia"/>
        </w:rPr>
        <w:t>GB/T 24040</w:t>
      </w:r>
      <w:r>
        <w:rPr>
          <w:rFonts w:hint="eastAsia"/>
          <w:lang w:eastAsia="zh-CN"/>
        </w:rPr>
        <w:t>—</w:t>
      </w:r>
      <w:r>
        <w:rPr>
          <w:rFonts w:hint="eastAsia"/>
          <w:lang w:val="en-US" w:eastAsia="zh-CN"/>
        </w:rPr>
        <w:t>2008</w:t>
      </w:r>
      <w:r>
        <w:rPr>
          <w:rFonts w:hint="eastAsia"/>
        </w:rPr>
        <w:t xml:space="preserve"> 环境管理 生命周期评价 原则与框架</w:t>
      </w:r>
    </w:p>
    <w:p w14:paraId="583FE284">
      <w:pPr>
        <w:pStyle w:val="39"/>
        <w:ind w:firstLine="420"/>
        <w:rPr>
          <w:rFonts w:hint="eastAsia"/>
        </w:rPr>
      </w:pPr>
      <w:r>
        <w:rPr>
          <w:rFonts w:hint="eastAsia"/>
        </w:rPr>
        <w:t>GB/T 24044</w:t>
      </w:r>
      <w:r>
        <w:rPr>
          <w:rFonts w:hint="eastAsia"/>
          <w:lang w:eastAsia="zh-CN"/>
        </w:rPr>
        <w:t>—</w:t>
      </w:r>
      <w:r>
        <w:rPr>
          <w:rFonts w:hint="eastAsia"/>
          <w:lang w:val="en-US" w:eastAsia="zh-CN"/>
        </w:rPr>
        <w:t>2008</w:t>
      </w:r>
      <w:r>
        <w:rPr>
          <w:rFonts w:hint="eastAsia"/>
        </w:rPr>
        <w:t xml:space="preserve"> 环境管理 生命周期评价 要求与指南</w:t>
      </w:r>
    </w:p>
    <w:p w14:paraId="40EF840C">
      <w:pPr>
        <w:pStyle w:val="107"/>
        <w:spacing w:before="240" w:after="240"/>
      </w:pPr>
      <w:bookmarkStart w:id="52" w:name="_Toc32274"/>
      <w:bookmarkStart w:id="53" w:name="_Toc11015"/>
      <w:bookmarkStart w:id="54" w:name="_Toc97192966"/>
      <w:bookmarkStart w:id="55" w:name="_Toc26538"/>
      <w:r>
        <w:rPr>
          <w:rFonts w:hint="eastAsia"/>
          <w:szCs w:val="21"/>
        </w:rPr>
        <w:t>术语和定义</w:t>
      </w:r>
      <w:bookmarkEnd w:id="52"/>
      <w:bookmarkEnd w:id="53"/>
      <w:bookmarkEnd w:id="54"/>
      <w:bookmarkEnd w:id="55"/>
    </w:p>
    <w:sdt>
      <w:sdtPr>
        <w:id w:val="-1909835108"/>
        <w:placeholder>
          <w:docPart w:val="DD487E154D8B46B1811108614A11313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FA990C2">
          <w:pPr>
            <w:pStyle w:val="39"/>
            <w:ind w:firstLine="420"/>
          </w:pPr>
          <w:bookmarkStart w:id="56" w:name="_Toc26986532"/>
          <w:bookmarkEnd w:id="56"/>
          <w:r>
            <w:rPr>
              <w:rFonts w:ascii="Times New Roman" w:hAnsi="Times New Roman" w:eastAsia="宋体" w:cs="Times New Roman"/>
              <w:sz w:val="21"/>
              <w:lang w:val="en-US" w:eastAsia="zh-CN" w:bidi="ar-SA"/>
            </w:rPr>
            <w:t>下列术语和定义适用于本文件。</w:t>
          </w:r>
        </w:p>
      </w:sdtContent>
    </w:sdt>
    <w:p w14:paraId="44E5E674">
      <w:pPr>
        <w:pStyle w:val="226"/>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神湾菠萝 Shenwan pineapple</w:t>
      </w:r>
    </w:p>
    <w:p w14:paraId="489FD09F">
      <w:pPr>
        <w:keepNext w:val="0"/>
        <w:keepLines w:val="0"/>
        <w:pageBreakBefore w:val="0"/>
        <w:widowControl w:val="0"/>
        <w:kinsoku/>
        <w:wordWrap/>
        <w:overflowPunct/>
        <w:topLinePunct w:val="0"/>
        <w:autoSpaceDE/>
        <w:autoSpaceDN/>
        <w:bidi w:val="0"/>
        <w:adjustRightInd w:val="0"/>
        <w:snapToGrid/>
        <w:spacing w:after="60"/>
        <w:ind w:firstLine="420" w:firstLineChars="200"/>
        <w:textAlignment w:val="auto"/>
        <w:rPr>
          <w:rFonts w:ascii="宋体" w:hAnsi="宋体" w:eastAsia="宋体"/>
          <w:b w:val="0"/>
          <w:sz w:val="21"/>
        </w:rPr>
      </w:pPr>
      <w:r>
        <w:rPr>
          <w:rFonts w:ascii="宋体" w:hAnsi="宋体" w:eastAsia="宋体"/>
          <w:b w:val="0"/>
          <w:sz w:val="21"/>
        </w:rPr>
        <w:t>广东省中山市神湾镇地理标志保护范围内，采用地方传统品种（金山种/金山簕仔）及特定生态种植方式生产的凤梨属菠萝</w:t>
      </w:r>
      <w:r>
        <w:rPr>
          <w:rFonts w:hint="eastAsia" w:ascii="宋体" w:hAnsi="宋体"/>
          <w:b w:val="0"/>
          <w:sz w:val="21"/>
          <w:lang w:val="en-US" w:eastAsia="zh-CN"/>
        </w:rPr>
        <w:t>鲜果</w:t>
      </w:r>
      <w:r>
        <w:rPr>
          <w:rFonts w:ascii="宋体" w:hAnsi="宋体" w:eastAsia="宋体"/>
          <w:b w:val="0"/>
          <w:sz w:val="21"/>
        </w:rPr>
        <w:t>。</w:t>
      </w:r>
    </w:p>
    <w:p w14:paraId="20A0A973">
      <w:pPr>
        <w:pStyle w:val="39"/>
        <w:bidi w:val="0"/>
        <w:rPr>
          <w:rFonts w:hint="eastAsia" w:ascii="宋体" w:hAnsi="宋体" w:eastAsia="宋体"/>
          <w:b w:val="0"/>
          <w:lang w:eastAsia="zh-CN"/>
        </w:rPr>
      </w:pPr>
      <w:r>
        <w:rPr>
          <w:rFonts w:hint="eastAsia"/>
          <w:lang w:eastAsia="zh-CN"/>
        </w:rPr>
        <w:t>[来源：</w:t>
      </w:r>
      <w:r>
        <w:rPr>
          <w:rFonts w:hint="eastAsia"/>
        </w:rPr>
        <w:t>DB4420/T 2—2022，3.1，有修改</w:t>
      </w:r>
      <w:r>
        <w:rPr>
          <w:rFonts w:hint="eastAsia"/>
          <w:lang w:eastAsia="zh-CN"/>
        </w:rPr>
        <w:t>]</w:t>
      </w:r>
    </w:p>
    <w:p w14:paraId="4EF6FE63">
      <w:pPr>
        <w:pStyle w:val="226"/>
        <w:bidi w:val="0"/>
        <w:spacing w:after="0" w:afterLines="0"/>
        <w:ind w:left="420" w:hanging="420" w:hangingChars="200"/>
      </w:pPr>
      <w:r>
        <w:br w:type="textWrapping"/>
      </w:r>
      <w:r>
        <w:rPr>
          <w:rFonts w:hint="eastAsia" w:ascii="黑体" w:hAnsi="黑体" w:eastAsia="黑体" w:cs="黑体"/>
          <w:lang w:val="en-US" w:eastAsia="zh-CN"/>
        </w:rPr>
        <w:t>芽苗 bud seedling</w:t>
      </w:r>
    </w:p>
    <w:p w14:paraId="592BFAA6">
      <w:pPr>
        <w:keepNext w:val="0"/>
        <w:keepLines w:val="0"/>
        <w:pageBreakBefore w:val="0"/>
        <w:widowControl w:val="0"/>
        <w:kinsoku/>
        <w:wordWrap/>
        <w:overflowPunct/>
        <w:topLinePunct w:val="0"/>
        <w:autoSpaceDE/>
        <w:autoSpaceDN/>
        <w:bidi w:val="0"/>
        <w:adjustRightInd w:val="0"/>
        <w:snapToGrid/>
        <w:spacing w:after="60"/>
        <w:ind w:firstLine="420" w:firstLineChars="200"/>
        <w:textAlignment w:val="auto"/>
        <w:rPr>
          <w:rFonts w:ascii="宋体" w:hAnsi="宋体" w:eastAsia="宋体"/>
          <w:b w:val="0"/>
          <w:sz w:val="21"/>
        </w:rPr>
      </w:pPr>
      <w:r>
        <w:rPr>
          <w:rFonts w:hint="eastAsia" w:ascii="宋体" w:hAnsi="宋体" w:eastAsia="宋体"/>
          <w:b w:val="0"/>
          <w:sz w:val="21"/>
        </w:rPr>
        <w:t>神湾菠萝采后留株培育阶段产生的无性繁殖材料，主要包括着生于果柄苞片叶腋的裔芽、着生于母株地上茎叶腋的吸芽，以及附着在果实顶端的冠芽，均可作为下一轮菠萝种植的定植种苗。</w:t>
      </w:r>
    </w:p>
    <w:p w14:paraId="1D7198AF">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产品碳足迹 carbon footprint of a product</w:t>
      </w:r>
    </w:p>
    <w:p w14:paraId="403B85E8">
      <w:pPr>
        <w:spacing w:after="60"/>
        <w:ind w:firstLine="420" w:firstLineChars="200"/>
        <w:rPr>
          <w:rFonts w:ascii="宋体" w:hAnsi="宋体" w:eastAsia="宋体"/>
          <w:b w:val="0"/>
          <w:sz w:val="21"/>
        </w:rPr>
      </w:pPr>
      <w:r>
        <w:rPr>
          <w:rFonts w:ascii="宋体" w:hAnsi="宋体" w:eastAsia="宋体"/>
          <w:b w:val="0"/>
          <w:sz w:val="21"/>
        </w:rPr>
        <w:t>产品系统中温室气体排放量与清除量之和，以二氧化碳当量表示，并基于气候变化这一单一环境影响类型进行生命周期评价。</w:t>
      </w:r>
    </w:p>
    <w:p w14:paraId="669D7415">
      <w:pPr>
        <w:pStyle w:val="39"/>
        <w:bidi w:val="0"/>
        <w:rPr>
          <w:rFonts w:ascii="宋体" w:hAnsi="宋体" w:eastAsia="宋体"/>
          <w:b w:val="0"/>
          <w:sz w:val="21"/>
        </w:rPr>
      </w:pPr>
      <w:r>
        <w:rPr>
          <w:rFonts w:hint="eastAsia"/>
          <w:lang w:eastAsia="zh-CN"/>
        </w:rPr>
        <w:t>[来源：GB/T 24067</w:t>
      </w:r>
      <w:r>
        <w:rPr>
          <w:rFonts w:hint="eastAsia"/>
          <w:lang w:val="en-US" w:eastAsia="zh-CN"/>
        </w:rPr>
        <w:t>—2024，3.1.1</w:t>
      </w:r>
      <w:r>
        <w:rPr>
          <w:rFonts w:hint="eastAsia"/>
          <w:lang w:eastAsia="zh-CN"/>
        </w:rPr>
        <w:t>]</w:t>
      </w:r>
    </w:p>
    <w:p w14:paraId="59C17C83">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系统边界 system boundary</w:t>
      </w:r>
    </w:p>
    <w:p w14:paraId="54E91E1B">
      <w:pPr>
        <w:spacing w:after="60"/>
        <w:ind w:firstLine="420" w:firstLineChars="200"/>
        <w:rPr>
          <w:rFonts w:ascii="宋体" w:hAnsi="宋体" w:eastAsia="宋体"/>
          <w:b w:val="0"/>
          <w:sz w:val="21"/>
        </w:rPr>
      </w:pPr>
      <w:r>
        <w:rPr>
          <w:rFonts w:ascii="宋体" w:hAnsi="宋体" w:eastAsia="宋体"/>
          <w:b w:val="0"/>
          <w:sz w:val="21"/>
        </w:rPr>
        <w:t>通过一组准则确定哪些单元过程属于神湾菠萝产品系统的一部分。</w:t>
      </w:r>
    </w:p>
    <w:p w14:paraId="1C1579FE">
      <w:pPr>
        <w:pStyle w:val="39"/>
        <w:bidi w:val="0"/>
        <w:rPr>
          <w:rFonts w:hint="eastAsia" w:ascii="宋体" w:hAnsi="宋体" w:eastAsia="宋体"/>
          <w:b w:val="0"/>
          <w:lang w:eastAsia="zh-CN"/>
        </w:rPr>
      </w:pPr>
      <w:r>
        <w:rPr>
          <w:rFonts w:hint="eastAsia"/>
          <w:lang w:eastAsia="zh-CN"/>
        </w:rPr>
        <w:t>[来源：GB/T 24067</w:t>
      </w:r>
      <w:r>
        <w:rPr>
          <w:rFonts w:hint="eastAsia"/>
          <w:lang w:val="en-US" w:eastAsia="zh-CN"/>
        </w:rPr>
        <w:t>—2024，3.3.4，有修改</w:t>
      </w:r>
      <w:r>
        <w:rPr>
          <w:rFonts w:hint="eastAsia"/>
          <w:lang w:eastAsia="zh-CN"/>
        </w:rPr>
        <w:t>]</w:t>
      </w:r>
    </w:p>
    <w:p w14:paraId="398A8071">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声明单位 functional unit</w:t>
      </w:r>
    </w:p>
    <w:p w14:paraId="31468F9A">
      <w:pPr>
        <w:spacing w:after="60"/>
        <w:ind w:firstLine="420" w:firstLineChars="200"/>
        <w:rPr>
          <w:rFonts w:ascii="宋体" w:hAnsi="宋体" w:eastAsia="宋体"/>
          <w:b w:val="0"/>
          <w:sz w:val="21"/>
        </w:rPr>
      </w:pPr>
      <w:r>
        <w:rPr>
          <w:rFonts w:ascii="宋体" w:hAnsi="宋体" w:eastAsia="宋体"/>
          <w:b w:val="0"/>
          <w:sz w:val="21"/>
        </w:rPr>
        <w:t>用来量化产品系统功能的基准单位。</w:t>
      </w:r>
    </w:p>
    <w:p w14:paraId="4D8ABD70">
      <w:pPr>
        <w:pStyle w:val="39"/>
        <w:bidi w:val="0"/>
        <w:rPr>
          <w:rFonts w:hint="eastAsia"/>
          <w:lang w:val="en-US" w:eastAsia="zh-CN"/>
        </w:rPr>
      </w:pPr>
      <w:r>
        <w:rPr>
          <w:rFonts w:hint="eastAsia"/>
          <w:lang w:eastAsia="zh-CN"/>
        </w:rPr>
        <w:t>[来源：GB/T 240</w:t>
      </w:r>
      <w:r>
        <w:rPr>
          <w:rFonts w:hint="eastAsia"/>
          <w:lang w:val="en-US" w:eastAsia="zh-CN"/>
        </w:rPr>
        <w:t>67—2024，3.3.7，有修改</w:t>
      </w:r>
      <w:r>
        <w:rPr>
          <w:rFonts w:hint="eastAsia"/>
          <w:lang w:eastAsia="zh-CN"/>
        </w:rPr>
        <w:t>]</w:t>
      </w:r>
    </w:p>
    <w:p w14:paraId="517A55AE">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活动数据 activity data</w:t>
      </w:r>
    </w:p>
    <w:p w14:paraId="2E513BE2">
      <w:pPr>
        <w:spacing w:after="60"/>
        <w:ind w:firstLine="420" w:firstLineChars="200"/>
        <w:rPr>
          <w:rFonts w:ascii="宋体" w:hAnsi="宋体" w:eastAsia="宋体"/>
          <w:b w:val="0"/>
          <w:sz w:val="21"/>
        </w:rPr>
      </w:pPr>
      <w:r>
        <w:rPr>
          <w:rFonts w:ascii="宋体" w:hAnsi="宋体" w:eastAsia="宋体"/>
          <w:b w:val="0"/>
          <w:sz w:val="21"/>
        </w:rPr>
        <w:t>神湾菠萝</w:t>
      </w:r>
      <w:r>
        <w:rPr>
          <w:rFonts w:hint="eastAsia" w:ascii="宋体" w:hAnsi="宋体" w:eastAsia="宋体"/>
          <w:b w:val="0"/>
          <w:sz w:val="21"/>
        </w:rPr>
        <w:t>原材料获取与投入、种植及包装</w:t>
      </w:r>
      <w:r>
        <w:rPr>
          <w:rFonts w:ascii="宋体" w:hAnsi="宋体" w:eastAsia="宋体"/>
          <w:b w:val="0"/>
          <w:sz w:val="21"/>
        </w:rPr>
        <w:t>过程中温室气体排放，以及植株碳汇量、土壤固碳量变化的生产经营活动量的表征值（如肥料施用量、</w:t>
      </w:r>
      <w:r>
        <w:rPr>
          <w:rFonts w:hint="eastAsia" w:ascii="宋体" w:hAnsi="宋体"/>
          <w:b w:val="0"/>
          <w:sz w:val="21"/>
          <w:lang w:val="en-US" w:eastAsia="zh-CN"/>
        </w:rPr>
        <w:t>农机耗能</w:t>
      </w:r>
      <w:r>
        <w:rPr>
          <w:rFonts w:ascii="宋体" w:hAnsi="宋体" w:eastAsia="宋体"/>
          <w:b w:val="0"/>
          <w:sz w:val="21"/>
        </w:rPr>
        <w:t>量等）。</w:t>
      </w:r>
    </w:p>
    <w:p w14:paraId="2F414810">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净温室气体排放量 net GHG emission</w:t>
      </w:r>
    </w:p>
    <w:p w14:paraId="1B9B4930">
      <w:pPr>
        <w:spacing w:after="60"/>
        <w:ind w:firstLine="420" w:firstLineChars="200"/>
        <w:rPr>
          <w:rFonts w:ascii="宋体" w:hAnsi="宋体" w:eastAsia="宋体"/>
          <w:b w:val="0"/>
          <w:sz w:val="21"/>
        </w:rPr>
      </w:pPr>
      <w:r>
        <w:rPr>
          <w:rFonts w:ascii="宋体" w:hAnsi="宋体" w:eastAsia="宋体"/>
          <w:b w:val="0"/>
          <w:sz w:val="21"/>
        </w:rPr>
        <w:t>在单位时间、单位核算边界内，神湾菠萝生产的总温室气体排放量减去</w:t>
      </w:r>
      <w:r>
        <w:rPr>
          <w:rFonts w:hint="eastAsia" w:ascii="宋体" w:hAnsi="宋体" w:eastAsia="宋体"/>
          <w:b w:val="0"/>
          <w:sz w:val="21"/>
        </w:rPr>
        <w:t>经确认的清除量后</w:t>
      </w:r>
      <w:r>
        <w:rPr>
          <w:rFonts w:ascii="宋体" w:hAnsi="宋体" w:eastAsia="宋体"/>
          <w:b w:val="0"/>
          <w:sz w:val="21"/>
        </w:rPr>
        <w:t>的余额。</w:t>
      </w:r>
    </w:p>
    <w:p w14:paraId="46CF5266">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植株碳汇量 Plant carbon sequestration</w:t>
      </w:r>
    </w:p>
    <w:p w14:paraId="69F4C913">
      <w:pPr>
        <w:spacing w:after="60"/>
        <w:ind w:firstLine="420" w:firstLineChars="200"/>
        <w:rPr>
          <w:rFonts w:hint="eastAsia" w:ascii="宋体" w:hAnsi="宋体" w:eastAsia="宋体"/>
          <w:b w:val="0"/>
          <w:sz w:val="21"/>
          <w:lang w:eastAsia="zh-CN"/>
        </w:rPr>
      </w:pPr>
      <w:r>
        <w:rPr>
          <w:rFonts w:hint="eastAsia" w:ascii="宋体" w:hAnsi="宋体"/>
          <w:b w:val="0"/>
          <w:sz w:val="21"/>
          <w:lang w:val="en-US" w:eastAsia="zh-CN"/>
        </w:rPr>
        <w:t>神湾菠萝植株</w:t>
      </w:r>
      <w:r>
        <w:rPr>
          <w:rFonts w:hint="eastAsia" w:ascii="宋体" w:hAnsi="宋体"/>
          <w:b w:val="0"/>
          <w:sz w:val="21"/>
          <w:lang w:eastAsia="zh-CN"/>
        </w:rPr>
        <w:t>光合作用固定的碳汇量。</w:t>
      </w:r>
    </w:p>
    <w:p w14:paraId="72A7A536">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土壤碳汇量 soil carbon sink capacity</w:t>
      </w:r>
    </w:p>
    <w:p w14:paraId="2C083310">
      <w:pPr>
        <w:spacing w:after="60"/>
        <w:ind w:firstLine="420" w:firstLineChars="200"/>
        <w:rPr>
          <w:rFonts w:hint="default" w:ascii="Times New Roman" w:hAnsi="Times New Roman" w:eastAsia="宋体" w:cs="Times New Roman"/>
          <w:b w:val="0"/>
          <w:sz w:val="21"/>
        </w:rPr>
      </w:pPr>
      <w:r>
        <w:rPr>
          <w:rFonts w:hint="default" w:ascii="Times New Roman" w:hAnsi="Times New Roman" w:eastAsia="宋体" w:cs="Times New Roman"/>
          <w:b w:val="0"/>
          <w:sz w:val="21"/>
        </w:rPr>
        <w:t>农田耕层（0 cm～20 cm 或 0 cm～30 cm）土壤有机碳的增加量。</w:t>
      </w:r>
    </w:p>
    <w:p w14:paraId="27C10E41">
      <w:pPr>
        <w:pStyle w:val="226"/>
        <w:bidi w:val="0"/>
        <w:spacing w:after="0" w:afterLines="0"/>
        <w:ind w:left="420" w:hanging="420" w:hangingChars="200"/>
        <w:rPr>
          <w:rFonts w:ascii="黑体" w:hAnsi="黑体" w:eastAsia="黑体"/>
          <w:b/>
          <w:sz w:val="21"/>
          <w:highlight w:val="none"/>
        </w:rPr>
      </w:pPr>
      <w:r>
        <w:rPr>
          <w:rFonts w:hint="eastAsia" w:ascii="黑体" w:hAnsi="黑体" w:eastAsia="黑体" w:cs="黑体"/>
          <w:highlight w:val="none"/>
          <w:lang w:eastAsia="zh-CN"/>
        </w:rPr>
        <w:br w:type="textWrapping"/>
      </w:r>
      <w:r>
        <w:rPr>
          <w:rFonts w:hint="eastAsia" w:ascii="黑体" w:hAnsi="黑体" w:eastAsia="黑体" w:cs="黑体"/>
          <w:lang w:val="en-US" w:eastAsia="zh-CN"/>
        </w:rPr>
        <w:t>量化周期 accounting period</w:t>
      </w:r>
    </w:p>
    <w:p w14:paraId="6269A9E6">
      <w:pPr>
        <w:spacing w:after="60"/>
        <w:ind w:firstLine="420" w:firstLineChars="200"/>
        <w:rPr>
          <w:rFonts w:hint="eastAsia" w:eastAsia="宋体"/>
          <w:highlight w:val="none"/>
          <w:lang w:eastAsia="zh-CN"/>
        </w:rPr>
      </w:pPr>
      <w:r>
        <w:rPr>
          <w:rFonts w:hint="eastAsia" w:eastAsia="宋体"/>
          <w:highlight w:val="none"/>
          <w:lang w:eastAsia="zh-CN"/>
        </w:rPr>
        <w:t>单位成品神湾菠萝温室气体排放核算对应的完整生产时间跨度，覆盖一个完整的生产轮作周期，涵盖芽苗</w:t>
      </w:r>
      <w:r>
        <w:rPr>
          <w:rFonts w:hint="eastAsia"/>
          <w:highlight w:val="none"/>
          <w:lang w:val="en-US" w:eastAsia="zh-CN"/>
        </w:rPr>
        <w:t>定植</w:t>
      </w:r>
      <w:r>
        <w:rPr>
          <w:rFonts w:hint="eastAsia" w:eastAsia="宋体"/>
          <w:highlight w:val="none"/>
          <w:lang w:eastAsia="zh-CN"/>
        </w:rPr>
        <w:t>与芽苗生长、栽培管护、果实采收、鲜果包装出厂，以及与鲜果包装销售并行开展的采收后母株芽苗</w:t>
      </w:r>
      <w:r>
        <w:rPr>
          <w:rFonts w:hint="eastAsia"/>
          <w:highlight w:val="none"/>
          <w:lang w:val="en-US" w:eastAsia="zh-CN"/>
        </w:rPr>
        <w:t>繁育</w:t>
      </w:r>
      <w:r>
        <w:rPr>
          <w:rFonts w:hint="eastAsia" w:eastAsia="宋体"/>
          <w:highlight w:val="none"/>
          <w:lang w:eastAsia="zh-CN"/>
        </w:rPr>
        <w:t>等全部生产过程。</w:t>
      </w:r>
    </w:p>
    <w:p w14:paraId="7E9C09C4">
      <w:pPr>
        <w:pStyle w:val="107"/>
        <w:bidi w:val="0"/>
        <w:rPr>
          <w:highlight w:val="none"/>
        </w:rPr>
      </w:pPr>
      <w:bookmarkStart w:id="57" w:name="_Toc28431"/>
      <w:bookmarkStart w:id="58" w:name="_Toc27208"/>
      <w:bookmarkStart w:id="59" w:name="_Toc22153"/>
      <w:r>
        <w:rPr>
          <w:rFonts w:hint="eastAsia"/>
          <w:highlight w:val="none"/>
          <w:lang w:val="en-US" w:eastAsia="zh-CN"/>
        </w:rPr>
        <w:t>量化</w:t>
      </w:r>
      <w:r>
        <w:rPr>
          <w:highlight w:val="none"/>
        </w:rPr>
        <w:t>目的</w:t>
      </w:r>
      <w:bookmarkEnd w:id="57"/>
      <w:bookmarkEnd w:id="58"/>
      <w:bookmarkEnd w:id="59"/>
    </w:p>
    <w:p w14:paraId="518B99AB">
      <w:pPr>
        <w:pStyle w:val="39"/>
        <w:rPr>
          <w:rFonts w:hint="default"/>
          <w:highlight w:val="none"/>
          <w:lang w:val="en-US" w:eastAsia="zh-CN"/>
        </w:rPr>
      </w:pPr>
      <w:r>
        <w:rPr>
          <w:rFonts w:hint="eastAsia"/>
          <w:highlight w:val="none"/>
          <w:lang w:val="en-US" w:eastAsia="zh-CN"/>
        </w:rPr>
        <w:t>开展神湾菠萝产品碳足迹研究的总体目标是结合取舍准则，基于生命周期评价理论，通过量化神湾菠萝产品系统边界内所有显著的温室气体排放量和消除量，评价神湾菠萝产品对全球变暖的潜在贡献。</w:t>
      </w:r>
    </w:p>
    <w:p w14:paraId="36607052">
      <w:pPr>
        <w:pStyle w:val="107"/>
        <w:bidi w:val="0"/>
        <w:rPr>
          <w:highlight w:val="none"/>
        </w:rPr>
      </w:pPr>
      <w:bookmarkStart w:id="60" w:name="_Toc26938"/>
      <w:bookmarkStart w:id="61" w:name="_Toc10714"/>
      <w:r>
        <w:rPr>
          <w:rFonts w:hint="eastAsia"/>
          <w:highlight w:val="none"/>
          <w:lang w:val="en-US" w:eastAsia="zh-CN"/>
        </w:rPr>
        <w:t>量化范围</w:t>
      </w:r>
      <w:bookmarkEnd w:id="60"/>
      <w:bookmarkEnd w:id="61"/>
    </w:p>
    <w:p w14:paraId="51044A8D">
      <w:pPr>
        <w:pStyle w:val="108"/>
        <w:bidi w:val="0"/>
        <w:rPr>
          <w:rFonts w:hint="eastAsia"/>
          <w:highlight w:val="none"/>
          <w:lang w:val="en-US" w:eastAsia="zh-CN"/>
        </w:rPr>
      </w:pPr>
      <w:r>
        <w:rPr>
          <w:rFonts w:hint="eastAsia"/>
          <w:highlight w:val="none"/>
          <w:lang w:val="en-US" w:eastAsia="zh-CN"/>
        </w:rPr>
        <w:t>产品描述</w:t>
      </w:r>
    </w:p>
    <w:p w14:paraId="0B12486B">
      <w:pPr>
        <w:pStyle w:val="39"/>
        <w:rPr>
          <w:rFonts w:hint="eastAsia"/>
          <w:highlight w:val="none"/>
          <w:lang w:val="en-US" w:eastAsia="zh-CN"/>
        </w:rPr>
      </w:pPr>
      <w:r>
        <w:rPr>
          <w:rFonts w:hint="eastAsia"/>
          <w:highlight w:val="none"/>
          <w:lang w:val="en-US" w:eastAsia="zh-CN"/>
        </w:rPr>
        <w:t>神湾菠萝采用多年生草本果树一造一种栽培模式，种苗一次性定植后仅采收一造商品鲜果，生产周期内同时产出鲜果与芽苗，芽苗可外销、移交其他主体或留作下一轮定植种苗；果实采收后保留母株根系繁育芽苗，不采用宿根续茬结果，待芽苗采摘完毕，将母株全部铲除清园，完成一个完整生产轮作周期。</w:t>
      </w:r>
    </w:p>
    <w:p w14:paraId="35049304">
      <w:pPr>
        <w:pStyle w:val="108"/>
        <w:bidi w:val="0"/>
        <w:rPr>
          <w:highlight w:val="none"/>
        </w:rPr>
      </w:pPr>
      <w:bookmarkStart w:id="62" w:name="_Toc27615"/>
      <w:r>
        <w:rPr>
          <w:rFonts w:hint="eastAsia"/>
          <w:highlight w:val="none"/>
          <w:lang w:val="en-US" w:eastAsia="zh-CN"/>
        </w:rPr>
        <w:t>声明</w:t>
      </w:r>
      <w:r>
        <w:rPr>
          <w:highlight w:val="none"/>
        </w:rPr>
        <w:t>单位</w:t>
      </w:r>
      <w:bookmarkEnd w:id="62"/>
    </w:p>
    <w:p w14:paraId="146FB25A">
      <w:pPr>
        <w:pStyle w:val="14"/>
        <w:numPr>
          <w:ilvl w:val="0"/>
          <w:numId w:val="0"/>
        </w:numPr>
        <w:ind w:leftChars="0" w:firstLine="420" w:firstLineChars="200"/>
        <w:rPr>
          <w:rFonts w:hint="default" w:ascii="Times New Roman" w:hAnsi="Times New Roman" w:eastAsia="宋体" w:cs="Times New Roman"/>
          <w:b w:val="0"/>
          <w:i w:val="0"/>
          <w:sz w:val="21"/>
          <w:highlight w:val="none"/>
          <w:lang w:eastAsia="zh-CN"/>
        </w:rPr>
      </w:pPr>
      <w:r>
        <w:rPr>
          <w:rFonts w:hint="default" w:ascii="Times New Roman" w:hAnsi="Times New Roman" w:eastAsia="宋体" w:cs="Times New Roman"/>
          <w:b w:val="0"/>
          <w:i w:val="0"/>
          <w:sz w:val="21"/>
          <w:highlight w:val="none"/>
        </w:rPr>
        <w:t>本文件规定功能单位为：</w:t>
      </w:r>
      <w:r>
        <w:rPr>
          <w:rFonts w:hint="default" w:ascii="Times New Roman" w:hAnsi="Times New Roman" w:cs="Times New Roman"/>
          <w:b w:val="0"/>
          <w:i w:val="0"/>
          <w:sz w:val="21"/>
          <w:highlight w:val="none"/>
          <w:lang w:val="en-US" w:eastAsia="zh-CN"/>
        </w:rPr>
        <w:t>1kg</w:t>
      </w:r>
      <w:r>
        <w:rPr>
          <w:rFonts w:hint="default" w:ascii="Times New Roman" w:hAnsi="Times New Roman" w:eastAsia="宋体" w:cs="Times New Roman"/>
          <w:b w:val="0"/>
          <w:i w:val="0"/>
          <w:sz w:val="21"/>
          <w:highlight w:val="none"/>
        </w:rPr>
        <w:t>神湾菠萝（以完成包装、可供销售的</w:t>
      </w:r>
      <w:r>
        <w:rPr>
          <w:rFonts w:hint="eastAsia" w:ascii="Times New Roman" w:hAnsi="Times New Roman" w:cs="Times New Roman"/>
          <w:b w:val="0"/>
          <w:i w:val="0"/>
          <w:sz w:val="21"/>
          <w:highlight w:val="none"/>
          <w:lang w:val="en-US" w:eastAsia="zh-CN"/>
        </w:rPr>
        <w:t>产品</w:t>
      </w:r>
      <w:r>
        <w:rPr>
          <w:rFonts w:hint="default" w:ascii="Times New Roman" w:hAnsi="Times New Roman" w:eastAsia="宋体" w:cs="Times New Roman"/>
          <w:b w:val="0"/>
          <w:i w:val="0"/>
          <w:sz w:val="21"/>
          <w:highlight w:val="none"/>
        </w:rPr>
        <w:t>计）。</w:t>
      </w:r>
    </w:p>
    <w:p w14:paraId="6044AE09">
      <w:pPr>
        <w:pStyle w:val="108"/>
        <w:bidi w:val="0"/>
        <w:rPr>
          <w:highlight w:val="none"/>
        </w:rPr>
      </w:pPr>
      <w:bookmarkStart w:id="63" w:name="_Toc22869"/>
      <w:r>
        <w:rPr>
          <w:highlight w:val="none"/>
        </w:rPr>
        <w:t>系统边界</w:t>
      </w:r>
      <w:bookmarkEnd w:id="63"/>
    </w:p>
    <w:p w14:paraId="2622D504">
      <w:pPr>
        <w:pStyle w:val="38"/>
        <w:bidi w:val="0"/>
        <w:rPr>
          <w:highlight w:val="none"/>
        </w:rPr>
      </w:pPr>
      <w:r>
        <w:rPr>
          <w:highlight w:val="none"/>
        </w:rPr>
        <w:t>系统边界设置</w:t>
      </w:r>
    </w:p>
    <w:p w14:paraId="424E1D01">
      <w:pPr>
        <w:pStyle w:val="14"/>
        <w:numPr>
          <w:ilvl w:val="0"/>
          <w:numId w:val="0"/>
        </w:numPr>
        <w:ind w:leftChars="0" w:firstLine="420" w:firstLineChars="200"/>
        <w:rPr>
          <w:rFonts w:hint="eastAsia"/>
          <w:highlight w:val="none"/>
          <w:lang w:val="en-US" w:eastAsia="zh-CN"/>
        </w:rPr>
      </w:pPr>
      <w:r>
        <w:rPr>
          <w:rFonts w:hint="default" w:ascii="Times New Roman" w:hAnsi="Times New Roman" w:cs="Times New Roman"/>
          <w:b w:val="0"/>
          <w:i w:val="0"/>
          <w:sz w:val="21"/>
          <w:highlight w:val="none"/>
          <w:lang w:val="en-US" w:eastAsia="zh-CN"/>
        </w:rPr>
        <w:t>神湾菠萝</w:t>
      </w:r>
      <w:r>
        <w:rPr>
          <w:rFonts w:hint="eastAsia"/>
          <w:highlight w:val="none"/>
          <w:lang w:eastAsia="zh-CN"/>
        </w:rPr>
        <w:t>产品碳足迹设定系统边界为“摇篮到大门”，其生命周期阶段包括</w:t>
      </w:r>
      <w:r>
        <w:rPr>
          <w:rFonts w:hint="eastAsia"/>
          <w:highlight w:val="none"/>
          <w:lang w:val="en-US" w:eastAsia="zh-CN"/>
        </w:rPr>
        <w:t>原材料获取与投入、种植、包装3个阶段。农业生产基础设施（如温室、灌溉设施等）、农业机械、农产品存储设施、农产品生产者的通勤等不纳入</w:t>
      </w:r>
      <w:r>
        <w:rPr>
          <w:rFonts w:hint="default" w:ascii="Times New Roman" w:hAnsi="Times New Roman" w:cs="Times New Roman"/>
          <w:b w:val="0"/>
          <w:i w:val="0"/>
          <w:sz w:val="21"/>
          <w:highlight w:val="none"/>
          <w:lang w:val="en-US" w:eastAsia="zh-CN"/>
        </w:rPr>
        <w:t>神湾菠萝</w:t>
      </w:r>
      <w:r>
        <w:rPr>
          <w:rFonts w:hint="eastAsia"/>
          <w:highlight w:val="none"/>
          <w:lang w:val="en-US" w:eastAsia="zh-CN"/>
        </w:rPr>
        <w:t>产品碳足迹量化范围。</w:t>
      </w:r>
      <w:r>
        <w:rPr>
          <w:rFonts w:hint="default" w:ascii="Times New Roman" w:hAnsi="Times New Roman" w:cs="Times New Roman"/>
          <w:b w:val="0"/>
          <w:i w:val="0"/>
          <w:sz w:val="21"/>
          <w:highlight w:val="none"/>
          <w:lang w:val="en-US" w:eastAsia="zh-CN"/>
        </w:rPr>
        <w:t>神湾菠萝</w:t>
      </w:r>
      <w:r>
        <w:rPr>
          <w:rFonts w:hint="eastAsia"/>
          <w:highlight w:val="none"/>
          <w:lang w:val="en-US" w:eastAsia="zh-CN"/>
        </w:rPr>
        <w:t>碳足迹系统边界见图1所示。</w:t>
      </w:r>
    </w:p>
    <w:p w14:paraId="6852B6C7">
      <w:pPr>
        <w:pStyle w:val="39"/>
        <w:ind w:left="0" w:leftChars="0" w:right="0" w:rightChars="0" w:firstLine="0" w:firstLineChars="0"/>
        <w:jc w:val="center"/>
        <w:rPr>
          <w:rFonts w:hint="eastAsia"/>
          <w:highlight w:val="none"/>
          <w:lang w:eastAsia="zh-CN"/>
        </w:rPr>
      </w:pPr>
      <w:r>
        <w:rPr>
          <w:rFonts w:hint="eastAsia"/>
          <w:highlight w:val="none"/>
          <w:lang w:eastAsia="zh-CN"/>
        </w:rPr>
        <w:drawing>
          <wp:inline distT="0" distB="0" distL="114300" distR="114300">
            <wp:extent cx="5939155" cy="3712210"/>
            <wp:effectExtent l="0" t="0" r="4445" b="2540"/>
            <wp:docPr id="4" name="图片 4" descr="神湾菠萝系统边界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神湾菠萝系统边界流程图"/>
                    <pic:cNvPicPr>
                      <a:picLocks noChangeAspect="1"/>
                    </pic:cNvPicPr>
                  </pic:nvPicPr>
                  <pic:blipFill>
                    <a:blip r:embed="rId14"/>
                    <a:stretch>
                      <a:fillRect/>
                    </a:stretch>
                  </pic:blipFill>
                  <pic:spPr>
                    <a:xfrm>
                      <a:off x="0" y="0"/>
                      <a:ext cx="5939155" cy="3712210"/>
                    </a:xfrm>
                    <a:prstGeom prst="rect">
                      <a:avLst/>
                    </a:prstGeom>
                  </pic:spPr>
                </pic:pic>
              </a:graphicData>
            </a:graphic>
          </wp:inline>
        </w:drawing>
      </w:r>
    </w:p>
    <w:p w14:paraId="42A3520A">
      <w:pPr>
        <w:pStyle w:val="117"/>
        <w:bidi w:val="0"/>
        <w:rPr>
          <w:rFonts w:hint="eastAsia"/>
          <w:highlight w:val="none"/>
          <w:lang w:eastAsia="zh-CN"/>
        </w:rPr>
      </w:pPr>
      <w:r>
        <w:rPr>
          <w:rFonts w:hint="eastAsia"/>
          <w:highlight w:val="none"/>
          <w:lang w:val="en-US" w:eastAsia="zh-CN"/>
        </w:rPr>
        <w:t>神湾菠萝产品系统边界示意图</w:t>
      </w:r>
    </w:p>
    <w:p w14:paraId="04EBBDD1">
      <w:pPr>
        <w:pStyle w:val="38"/>
        <w:bidi w:val="0"/>
        <w:rPr>
          <w:rFonts w:hint="eastAsia"/>
          <w:highlight w:val="none"/>
          <w:lang w:eastAsia="zh-CN"/>
        </w:rPr>
      </w:pPr>
      <w:r>
        <w:rPr>
          <w:rFonts w:hint="eastAsia"/>
          <w:highlight w:val="none"/>
          <w:lang w:val="en-US" w:eastAsia="zh-CN"/>
        </w:rPr>
        <w:t>生命周期阶段说明</w:t>
      </w:r>
    </w:p>
    <w:p w14:paraId="79E51FA7">
      <w:pPr>
        <w:pStyle w:val="40"/>
        <w:bidi w:val="0"/>
        <w:rPr>
          <w:rFonts w:hint="eastAsia"/>
          <w:highlight w:val="none"/>
          <w:lang w:eastAsia="zh-CN"/>
        </w:rPr>
      </w:pPr>
      <w:r>
        <w:rPr>
          <w:rFonts w:hint="eastAsia"/>
          <w:highlight w:val="none"/>
          <w:lang w:val="en-US" w:eastAsia="zh-CN"/>
        </w:rPr>
        <w:t>原材料获取与投入阶段</w:t>
      </w:r>
    </w:p>
    <w:p w14:paraId="0934E415">
      <w:pPr>
        <w:pStyle w:val="39"/>
        <w:rPr>
          <w:rFonts w:hint="eastAsia"/>
          <w:highlight w:val="none"/>
          <w:lang w:eastAsia="zh-CN"/>
        </w:rPr>
      </w:pPr>
      <w:r>
        <w:rPr>
          <w:rFonts w:hint="eastAsia"/>
          <w:highlight w:val="none"/>
          <w:lang w:val="en-US" w:eastAsia="zh-CN"/>
        </w:rPr>
        <w:t>原材料获取与投入阶段，即农业投入品、包装材料等的生产阶段以及从产地到</w:t>
      </w:r>
      <w:r>
        <w:rPr>
          <w:rFonts w:hint="eastAsia" w:ascii="宋体" w:hAnsi="宋体" w:eastAsia="宋体" w:cs="宋体"/>
          <w:b w:val="0"/>
          <w:i w:val="0"/>
          <w:kern w:val="2"/>
          <w:sz w:val="21"/>
          <w:szCs w:val="21"/>
          <w:highlight w:val="none"/>
        </w:rPr>
        <w:t>神湾菠萝</w:t>
      </w:r>
      <w:r>
        <w:rPr>
          <w:rFonts w:hint="eastAsia"/>
          <w:highlight w:val="none"/>
          <w:lang w:val="en-US" w:eastAsia="zh-CN"/>
        </w:rPr>
        <w:t>种植户的运输单元过程，包括种苗、化肥、有机肥、农膜以及塑料袋、包装袋、纸箱、泡沫盒等包装材料的消耗量及运输。</w:t>
      </w:r>
    </w:p>
    <w:p w14:paraId="2E50A652">
      <w:pPr>
        <w:pStyle w:val="40"/>
        <w:bidi w:val="0"/>
        <w:rPr>
          <w:rFonts w:hint="eastAsia"/>
          <w:highlight w:val="none"/>
          <w:lang w:eastAsia="zh-CN"/>
        </w:rPr>
      </w:pPr>
      <w:r>
        <w:rPr>
          <w:rFonts w:hint="eastAsia"/>
          <w:highlight w:val="none"/>
          <w:lang w:val="en-US" w:eastAsia="zh-CN"/>
        </w:rPr>
        <w:t>生产阶段</w:t>
      </w:r>
    </w:p>
    <w:p w14:paraId="60EB63EA">
      <w:pPr>
        <w:pStyle w:val="135"/>
        <w:bidi w:val="0"/>
        <w:ind w:left="851" w:leftChars="0" w:hanging="426" w:firstLineChars="0"/>
        <w:rPr>
          <w:rFonts w:hint="default"/>
          <w:lang w:val="en-US" w:eastAsia="zh-CN"/>
        </w:rPr>
      </w:pPr>
      <w:r>
        <w:rPr>
          <w:rFonts w:hint="eastAsia"/>
          <w:lang w:val="en-US" w:eastAsia="zh-CN"/>
        </w:rPr>
        <w:t>种植阶段，即</w:t>
      </w:r>
      <w:r>
        <w:rPr>
          <w:rFonts w:hint="default"/>
        </w:rPr>
        <w:t>从芽苗定植至母株清园</w:t>
      </w:r>
      <w:r>
        <w:rPr>
          <w:rFonts w:hint="eastAsia"/>
          <w:lang w:val="en-US" w:eastAsia="zh-CN"/>
        </w:rPr>
        <w:t>、</w:t>
      </w:r>
      <w:r>
        <w:rPr>
          <w:rFonts w:hint="default"/>
          <w:lang w:val="en-US" w:eastAsia="zh-CN"/>
        </w:rPr>
        <w:t>植株还田止，</w:t>
      </w:r>
      <w:r>
        <w:rPr>
          <w:rFonts w:hint="eastAsia"/>
          <w:lang w:val="en-US" w:eastAsia="zh-CN"/>
        </w:rPr>
        <w:t>包括</w:t>
      </w:r>
      <w:r>
        <w:rPr>
          <w:rFonts w:hint="default"/>
          <w:lang w:val="en-US" w:eastAsia="zh-CN"/>
        </w:rPr>
        <w:t>：</w:t>
      </w:r>
    </w:p>
    <w:p w14:paraId="79121C07">
      <w:pPr>
        <w:pStyle w:val="190"/>
        <w:bidi w:val="0"/>
        <w:rPr>
          <w:rFonts w:hint="default"/>
          <w:highlight w:val="none"/>
        </w:rPr>
      </w:pPr>
      <w:r>
        <w:rPr>
          <w:rFonts w:hint="default"/>
        </w:rPr>
        <w:t>氮肥田间</w:t>
      </w:r>
      <w:r>
        <w:rPr>
          <w:rFonts w:hint="default"/>
          <w:highlight w:val="none"/>
        </w:rPr>
        <w:t>施用引起的N₂O直接排放与间接排放；</w:t>
      </w:r>
    </w:p>
    <w:p w14:paraId="4541761F">
      <w:pPr>
        <w:pStyle w:val="190"/>
        <w:bidi w:val="0"/>
        <w:rPr>
          <w:rFonts w:hint="default"/>
          <w:highlight w:val="none"/>
        </w:rPr>
      </w:pPr>
      <w:r>
        <w:rPr>
          <w:rFonts w:hint="default"/>
          <w:highlight w:val="none"/>
          <w:lang w:val="en-US" w:eastAsia="zh-CN"/>
        </w:rPr>
        <w:t>菠萝植株还田引起的</w:t>
      </w:r>
      <w:r>
        <w:rPr>
          <w:rFonts w:hint="default"/>
          <w:highlight w:val="none"/>
        </w:rPr>
        <w:t>N₂O</w:t>
      </w:r>
      <w:r>
        <w:rPr>
          <w:rFonts w:hint="default"/>
          <w:highlight w:val="none"/>
          <w:lang w:val="en-US" w:eastAsia="zh-CN"/>
        </w:rPr>
        <w:t>排放；</w:t>
      </w:r>
    </w:p>
    <w:p w14:paraId="128B7488">
      <w:pPr>
        <w:pStyle w:val="190"/>
        <w:bidi w:val="0"/>
        <w:rPr>
          <w:rFonts w:hint="default"/>
          <w:highlight w:val="none"/>
        </w:rPr>
      </w:pPr>
      <w:r>
        <w:rPr>
          <w:rFonts w:hint="default"/>
          <w:highlight w:val="none"/>
        </w:rPr>
        <w:t>耕作机械耗能排放；</w:t>
      </w:r>
    </w:p>
    <w:p w14:paraId="6B8B06F7">
      <w:pPr>
        <w:pStyle w:val="190"/>
        <w:bidi w:val="0"/>
        <w:rPr>
          <w:rFonts w:hint="default"/>
          <w:highlight w:val="none"/>
        </w:rPr>
      </w:pPr>
      <w:r>
        <w:rPr>
          <w:rFonts w:hint="default"/>
          <w:highlight w:val="none"/>
        </w:rPr>
        <w:t>母株清园作业耗能；</w:t>
      </w:r>
    </w:p>
    <w:p w14:paraId="5ABBE0EF">
      <w:pPr>
        <w:pStyle w:val="190"/>
        <w:bidi w:val="0"/>
        <w:rPr>
          <w:rFonts w:hint="default"/>
        </w:rPr>
      </w:pPr>
      <w:r>
        <w:rPr>
          <w:rFonts w:hint="default"/>
          <w:highlight w:val="none"/>
        </w:rPr>
        <w:t>植株碳汇、枯落物碳汇与</w:t>
      </w:r>
      <w:r>
        <w:rPr>
          <w:rFonts w:hint="default"/>
        </w:rPr>
        <w:t>土壤碳汇。</w:t>
      </w:r>
    </w:p>
    <w:p w14:paraId="4C2F85E9">
      <w:pPr>
        <w:pStyle w:val="135"/>
        <w:bidi w:val="0"/>
        <w:ind w:left="851" w:leftChars="0" w:hanging="426" w:firstLineChars="0"/>
      </w:pPr>
      <w:r>
        <w:rPr>
          <w:rFonts w:hint="eastAsia"/>
          <w:lang w:val="en-US" w:eastAsia="zh-CN"/>
        </w:rPr>
        <w:t>包装阶段，即</w:t>
      </w:r>
      <w:r>
        <w:t>包装作业耗能排放。</w:t>
      </w:r>
    </w:p>
    <w:p w14:paraId="3D1C5BC0">
      <w:pPr>
        <w:pStyle w:val="38"/>
        <w:bidi w:val="0"/>
        <w:rPr>
          <w:highlight w:val="none"/>
        </w:rPr>
      </w:pPr>
      <w:r>
        <w:rPr>
          <w:highlight w:val="none"/>
        </w:rPr>
        <w:t>取舍准则</w:t>
      </w:r>
    </w:p>
    <w:p w14:paraId="39E3DE64">
      <w:pPr>
        <w:pStyle w:val="39"/>
        <w:bidi w:val="0"/>
        <w:rPr>
          <w:rFonts w:hint="default"/>
          <w:lang w:val="en-US" w:eastAsia="zh-CN"/>
        </w:rPr>
      </w:pPr>
      <w:r>
        <w:rPr>
          <w:rFonts w:hint="default"/>
          <w:lang w:val="en-US" w:eastAsia="zh-CN"/>
        </w:rPr>
        <w:t>在量化过程中，对影响小于总量 1% 的环节可予以舍弃；但系统边界内所有被舍弃环节的总影响不应超过碳足迹总量的 5%。舍弃的环节及依据应在核算报告中说明。</w:t>
      </w:r>
    </w:p>
    <w:p w14:paraId="6008E91E">
      <w:pPr>
        <w:pStyle w:val="38"/>
        <w:bidi w:val="0"/>
        <w:rPr>
          <w:lang w:val="en-US" w:eastAsia="zh-CN"/>
        </w:rPr>
      </w:pPr>
      <w:r>
        <w:rPr>
          <w:rFonts w:hint="eastAsia"/>
          <w:lang w:val="en-US" w:eastAsia="zh-CN"/>
        </w:rPr>
        <w:t>分配原则</w:t>
      </w:r>
    </w:p>
    <w:p w14:paraId="506B1ADB">
      <w:pPr>
        <w:pStyle w:val="39"/>
        <w:bidi w:val="0"/>
        <w:rPr>
          <w:rFonts w:hint="default"/>
          <w:lang w:val="en-US" w:eastAsia="zh-CN"/>
        </w:rPr>
      </w:pPr>
      <w:r>
        <w:rPr>
          <w:rFonts w:hint="default"/>
          <w:lang w:val="en-US" w:eastAsia="zh-CN"/>
        </w:rPr>
        <w:t>神湾菠萝生产周期内同时产出神湾菠萝鲜果与芽苗。当芽苗对外销售或移交其他主体使用时，芽苗视为副产品，应按经济价值分配：将核算周期内净排放总量按鲜果</w:t>
      </w:r>
      <w:r>
        <w:rPr>
          <w:rFonts w:hint="eastAsia"/>
          <w:lang w:val="en-US" w:eastAsia="zh-CN"/>
        </w:rPr>
        <w:t>产品</w:t>
      </w:r>
      <w:r>
        <w:rPr>
          <w:rFonts w:hint="default"/>
          <w:lang w:val="en-US" w:eastAsia="zh-CN"/>
        </w:rPr>
        <w:t>与芽苗产值之比分配，单位产品碳足迹取神湾菠萝鲜果分摊部分除以神湾菠萝鲜果产量；当芽苗全部留作本核算主体下一轮定植用种苗时，可视为循环回用材料，不另行分配，全部净排放量分配至神湾菠萝鲜果。</w:t>
      </w:r>
    </w:p>
    <w:p w14:paraId="0707362B">
      <w:pPr>
        <w:pStyle w:val="39"/>
        <w:bidi w:val="0"/>
        <w:rPr>
          <w:rFonts w:hint="default"/>
          <w:lang w:val="en-US" w:eastAsia="zh-CN"/>
        </w:rPr>
      </w:pPr>
      <w:r>
        <w:rPr>
          <w:rFonts w:hint="default"/>
          <w:lang w:val="en-US" w:eastAsia="zh-CN"/>
        </w:rPr>
        <w:t>分配方法、产值数据及参数应在核算报告中说明。</w:t>
      </w:r>
    </w:p>
    <w:p w14:paraId="3AB3FAAC">
      <w:pPr>
        <w:pStyle w:val="107"/>
        <w:bidi w:val="0"/>
      </w:pPr>
      <w:bookmarkStart w:id="64" w:name="_Toc5679"/>
      <w:bookmarkStart w:id="65" w:name="_Toc29687"/>
      <w:bookmarkStart w:id="66" w:name="_Toc24140"/>
      <w:r>
        <w:rPr>
          <w:rFonts w:hint="eastAsia"/>
          <w:lang w:val="en-US" w:eastAsia="zh-CN"/>
        </w:rPr>
        <w:t>量化</w:t>
      </w:r>
      <w:r>
        <w:t>步骤</w:t>
      </w:r>
      <w:bookmarkEnd w:id="64"/>
      <w:bookmarkEnd w:id="65"/>
      <w:bookmarkEnd w:id="66"/>
    </w:p>
    <w:p w14:paraId="193AC3CE">
      <w:pPr>
        <w:spacing w:after="80"/>
        <w:ind w:firstLine="420" w:firstLineChars="200"/>
        <w:rPr>
          <w:rFonts w:hint="default" w:ascii="Times New Roman" w:hAnsi="Times New Roman" w:eastAsia="宋体"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开展神湾菠萝碳足迹核算，应遵循以下基本步骤：</w:t>
      </w:r>
    </w:p>
    <w:p w14:paraId="0D26D27E">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lang w:val="en-US" w:eastAsia="zh-CN"/>
        </w:rPr>
        <w:t>界定核算系统边界，确定核算主体在原材料获取与投入、种植及包装过程中的典型活动，识别温室气体排放源与类型；</w:t>
      </w:r>
    </w:p>
    <w:p w14:paraId="13C6F395">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lang w:val="en-US" w:eastAsia="zh-CN"/>
        </w:rPr>
        <w:t>采集</w:t>
      </w:r>
      <w:r>
        <w:rPr>
          <w:rFonts w:hint="default" w:ascii="Times New Roman" w:hAnsi="Times New Roman" w:cs="Times New Roman"/>
        </w:rPr>
        <w:t>系统边界内各单元过程的定性活动信息与定量活动数据；</w:t>
      </w:r>
    </w:p>
    <w:p w14:paraId="0A1BA746">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rPr>
        <w:t>筛选并获取适配本区域、本作物的排放因子；</w:t>
      </w:r>
    </w:p>
    <w:p w14:paraId="2A59EE5C">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rPr>
        <w:t>分别核算各单元过程的温室气体排放量与碳清除量；</w:t>
      </w:r>
    </w:p>
    <w:p w14:paraId="4E868F76">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rPr>
        <w:t>汇总系统边界内全部温室气体通量，核算神湾菠萝鲜果的单位产品碳足迹</w:t>
      </w:r>
      <w:r>
        <w:rPr>
          <w:rFonts w:hint="default" w:ascii="Times New Roman" w:hAnsi="Times New Roman" w:cs="Times New Roman"/>
          <w:lang w:eastAsia="zh-CN"/>
        </w:rPr>
        <w:t>；</w:t>
      </w:r>
    </w:p>
    <w:p w14:paraId="626C6932">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rPr>
        <w:t>开展数据质量评价、不确定性分析与敏感性分析，编制核算报告。</w:t>
      </w:r>
    </w:p>
    <w:p w14:paraId="37D5E23B">
      <w:pPr>
        <w:pStyle w:val="107"/>
        <w:bidi w:val="0"/>
      </w:pPr>
      <w:bookmarkStart w:id="67" w:name="_Toc21025"/>
      <w:bookmarkStart w:id="68" w:name="_Toc17392"/>
      <w:bookmarkStart w:id="69" w:name="_Toc19252"/>
      <w:r>
        <w:t>数据</w:t>
      </w:r>
      <w:bookmarkEnd w:id="67"/>
      <w:r>
        <w:rPr>
          <w:rFonts w:hint="eastAsia"/>
          <w:lang w:val="en-US" w:eastAsia="zh-CN"/>
        </w:rPr>
        <w:t>要求</w:t>
      </w:r>
      <w:bookmarkEnd w:id="68"/>
      <w:bookmarkEnd w:id="69"/>
    </w:p>
    <w:p w14:paraId="68E040A5">
      <w:pPr>
        <w:pStyle w:val="108"/>
        <w:bidi w:val="0"/>
        <w:rPr>
          <w:rFonts w:hint="eastAsia"/>
          <w:lang w:val="en-US" w:eastAsia="zh-CN"/>
        </w:rPr>
      </w:pPr>
      <w:r>
        <w:rPr>
          <w:rFonts w:hint="eastAsia"/>
          <w:lang w:val="en-US" w:eastAsia="zh-CN"/>
        </w:rPr>
        <w:t>质量要求</w:t>
      </w:r>
    </w:p>
    <w:p w14:paraId="465402AE">
      <w:pPr>
        <w:pStyle w:val="39"/>
        <w:bidi w:val="0"/>
        <w:rPr>
          <w:rFonts w:hint="eastAsia"/>
          <w:lang w:val="en-US" w:eastAsia="zh-CN"/>
        </w:rPr>
      </w:pPr>
      <w:r>
        <w:rPr>
          <w:rFonts w:hint="eastAsia"/>
          <w:lang w:val="en-US" w:eastAsia="zh-CN"/>
        </w:rPr>
        <w:t>在收集</w:t>
      </w:r>
      <w:r>
        <w:rPr>
          <w:rFonts w:hint="default" w:ascii="Times New Roman" w:hAnsi="Times New Roman" w:eastAsia="宋体" w:cs="Times New Roman"/>
          <w:b w:val="0"/>
          <w:i w:val="0"/>
          <w:kern w:val="2"/>
          <w:sz w:val="21"/>
          <w:szCs w:val="21"/>
          <w:lang w:val="en-US" w:eastAsia="zh-CN" w:bidi="ar-SA"/>
        </w:rPr>
        <w:t>神湾菠萝</w:t>
      </w:r>
      <w:r>
        <w:rPr>
          <w:rFonts w:hint="eastAsia"/>
          <w:lang w:val="en-US" w:eastAsia="zh-CN"/>
        </w:rPr>
        <w:t>产品碳足迹评价所需的初级数据和次级数据时，数据质量宜考虑以下方面：</w:t>
      </w:r>
    </w:p>
    <w:p w14:paraId="112276E3">
      <w:pPr>
        <w:pStyle w:val="177"/>
        <w:numPr>
          <w:ilvl w:val="0"/>
          <w:numId w:val="35"/>
        </w:numPr>
        <w:bidi w:val="0"/>
        <w:ind w:left="851" w:leftChars="0" w:hanging="426" w:firstLineChars="0"/>
        <w:rPr>
          <w:rFonts w:hint="default"/>
          <w:lang w:val="en-US" w:eastAsia="zh-CN"/>
        </w:rPr>
      </w:pPr>
      <w:r>
        <w:rPr>
          <w:rFonts w:hint="eastAsia"/>
          <w:lang w:val="en-US" w:eastAsia="zh-CN"/>
        </w:rPr>
        <w:t>时间边界范围，</w:t>
      </w:r>
      <w:r>
        <w:rPr>
          <w:rFonts w:ascii="宋体" w:hAnsi="宋体" w:eastAsia="宋体"/>
          <w:b w:val="0"/>
          <w:i w:val="0"/>
          <w:sz w:val="21"/>
          <w:lang w:val="en-US" w:eastAsia="zh-CN"/>
        </w:rPr>
        <w:t>从种苗定植至</w:t>
      </w:r>
      <w:r>
        <w:rPr>
          <w:rFonts w:hint="eastAsia" w:ascii="宋体" w:hAnsi="宋体" w:eastAsia="宋体"/>
          <w:b w:val="0"/>
          <w:i w:val="0"/>
          <w:sz w:val="21"/>
          <w:lang w:val="en-US" w:eastAsia="zh-CN"/>
        </w:rPr>
        <w:t>芽苗采收完毕、母株清园的完整生产周期</w:t>
      </w:r>
      <w:r>
        <w:rPr>
          <w:rFonts w:ascii="宋体" w:hAnsi="宋体" w:eastAsia="宋体"/>
          <w:b w:val="0"/>
          <w:i w:val="0"/>
          <w:sz w:val="21"/>
          <w:lang w:val="en-US" w:eastAsia="zh-CN"/>
        </w:rPr>
        <w:t>；涉及</w:t>
      </w:r>
      <w:r>
        <w:rPr>
          <w:rFonts w:hint="eastAsia" w:ascii="宋体" w:hAnsi="宋体" w:eastAsia="宋体"/>
          <w:b w:val="0"/>
          <w:i w:val="0"/>
          <w:sz w:val="21"/>
          <w:lang w:val="en-US" w:eastAsia="zh-CN"/>
        </w:rPr>
        <w:t>需跨周期分摊的</w:t>
      </w:r>
      <w:r>
        <w:rPr>
          <w:rFonts w:hint="eastAsia" w:ascii="宋体" w:hAnsi="宋体"/>
          <w:b w:val="0"/>
          <w:i w:val="0"/>
          <w:sz w:val="21"/>
          <w:lang w:val="en-US" w:eastAsia="zh-CN"/>
        </w:rPr>
        <w:t>碳排放和碳汇</w:t>
      </w:r>
      <w:r>
        <w:rPr>
          <w:rFonts w:ascii="宋体" w:hAnsi="宋体" w:eastAsia="宋体"/>
          <w:b w:val="0"/>
          <w:i w:val="0"/>
          <w:sz w:val="21"/>
          <w:lang w:val="en-US" w:eastAsia="zh-CN"/>
        </w:rPr>
        <w:t>，应按实际完整生产周期进行分摊核算</w:t>
      </w:r>
      <w:r>
        <w:rPr>
          <w:rFonts w:hint="eastAsia"/>
          <w:highlight w:val="none"/>
          <w:lang w:eastAsia="zh-CN"/>
        </w:rPr>
        <w:t>；</w:t>
      </w:r>
    </w:p>
    <w:p w14:paraId="178C754C">
      <w:pPr>
        <w:pStyle w:val="177"/>
        <w:numPr>
          <w:ilvl w:val="0"/>
          <w:numId w:val="35"/>
        </w:numPr>
        <w:bidi w:val="0"/>
        <w:ind w:left="851" w:leftChars="0" w:hanging="426" w:firstLineChars="0"/>
        <w:rPr>
          <w:rFonts w:hint="default"/>
          <w:lang w:val="en-US" w:eastAsia="zh-CN"/>
        </w:rPr>
      </w:pPr>
      <w:r>
        <w:rPr>
          <w:rFonts w:hint="eastAsia"/>
          <w:highlight w:val="none"/>
          <w:lang w:val="en-US" w:eastAsia="zh-CN"/>
        </w:rPr>
        <w:t>地理覆盖范围，优先考虑收集生产活动所在的地理区域（如国家、区域等）的数据，以及针对具有地理特性的产品的具体数据；</w:t>
      </w:r>
    </w:p>
    <w:p w14:paraId="67B1816B">
      <w:pPr>
        <w:pStyle w:val="177"/>
        <w:numPr>
          <w:ilvl w:val="0"/>
          <w:numId w:val="35"/>
        </w:numPr>
        <w:bidi w:val="0"/>
        <w:ind w:left="851" w:leftChars="0" w:hanging="426" w:firstLineChars="0"/>
        <w:rPr>
          <w:rFonts w:hint="default"/>
          <w:lang w:val="en-US" w:eastAsia="zh-CN"/>
        </w:rPr>
      </w:pPr>
      <w:r>
        <w:rPr>
          <w:rFonts w:hint="eastAsia"/>
          <w:highlight w:val="none"/>
          <w:lang w:val="en-US" w:eastAsia="zh-CN"/>
        </w:rPr>
        <w:t>技术覆盖范围，优先考虑符合产品生产技术水平的具体技术出具；</w:t>
      </w:r>
    </w:p>
    <w:p w14:paraId="1B2FE903">
      <w:pPr>
        <w:pStyle w:val="177"/>
        <w:numPr>
          <w:ilvl w:val="0"/>
          <w:numId w:val="35"/>
        </w:numPr>
        <w:bidi w:val="0"/>
        <w:ind w:left="851" w:leftChars="0" w:hanging="426" w:firstLineChars="0"/>
        <w:rPr>
          <w:rFonts w:hint="eastAsia"/>
          <w:lang w:val="en-US" w:eastAsia="zh-CN"/>
        </w:rPr>
      </w:pPr>
      <w:r>
        <w:rPr>
          <w:rFonts w:hint="eastAsia"/>
          <w:highlight w:val="none"/>
          <w:lang w:val="en-US" w:eastAsia="zh-CN"/>
        </w:rPr>
        <w:t>数据收集范围，</w:t>
      </w:r>
      <w:r>
        <w:rPr>
          <w:rFonts w:hint="eastAsia"/>
          <w:lang w:eastAsia="zh-CN"/>
        </w:rPr>
        <w:t>依据系统边界内各单元过程与功能单位确定；</w:t>
      </w:r>
    </w:p>
    <w:p w14:paraId="78023032">
      <w:pPr>
        <w:pStyle w:val="177"/>
        <w:numPr>
          <w:ilvl w:val="0"/>
          <w:numId w:val="35"/>
        </w:numPr>
        <w:bidi w:val="0"/>
        <w:ind w:left="851" w:leftChars="0" w:hanging="426" w:firstLineChars="0"/>
        <w:rPr>
          <w:rFonts w:hint="eastAsia"/>
          <w:lang w:val="en-US" w:eastAsia="zh-CN"/>
        </w:rPr>
      </w:pPr>
      <w:r>
        <w:rPr>
          <w:rFonts w:hint="eastAsia"/>
          <w:lang w:eastAsia="zh-CN"/>
        </w:rPr>
        <w:t>当同一参数存在多个来源时，宜按“实测值＞台账统计值＞结算单推算值＞文献缺省值”的优先序取值，并记录取舍理由。</w:t>
      </w:r>
    </w:p>
    <w:p w14:paraId="21C66AF5">
      <w:pPr>
        <w:pStyle w:val="108"/>
        <w:bidi w:val="0"/>
      </w:pPr>
      <w:bookmarkStart w:id="70" w:name="_Toc25540"/>
      <w:r>
        <w:rPr>
          <w:rFonts w:hint="eastAsia"/>
          <w:lang w:val="en-US" w:eastAsia="zh-CN"/>
        </w:rPr>
        <w:t>初级数据</w:t>
      </w:r>
    </w:p>
    <w:p w14:paraId="3CDEC65A">
      <w:pPr>
        <w:pStyle w:val="168"/>
        <w:bidi w:val="0"/>
        <w:rPr>
          <w:rFonts w:hint="eastAsia"/>
          <w:lang w:eastAsia="zh-CN"/>
        </w:rPr>
      </w:pPr>
      <w:r>
        <w:rPr>
          <w:rFonts w:hint="default" w:ascii="Times New Roman" w:hAnsi="Times New Roman" w:eastAsia="宋体" w:cs="Times New Roman"/>
          <w:b w:val="0"/>
          <w:i w:val="0"/>
          <w:kern w:val="2"/>
          <w:sz w:val="21"/>
          <w:szCs w:val="21"/>
          <w:lang w:val="en-US" w:eastAsia="zh-CN" w:bidi="ar-SA"/>
        </w:rPr>
        <w:t>神湾菠萝</w:t>
      </w:r>
      <w:r>
        <w:rPr>
          <w:rFonts w:hint="eastAsia"/>
          <w:lang w:val="en-US" w:eastAsia="zh-CN"/>
        </w:rPr>
        <w:t>产品碳足迹量化需要收集初级数据包括：</w:t>
      </w:r>
    </w:p>
    <w:p w14:paraId="4BD26432">
      <w:pPr>
        <w:pStyle w:val="177"/>
        <w:bidi w:val="0"/>
        <w:ind w:left="851" w:leftChars="0" w:hanging="426" w:firstLineChars="0"/>
        <w:rPr>
          <w:rFonts w:hint="eastAsia"/>
          <w:lang w:eastAsia="zh-CN"/>
        </w:rPr>
      </w:pPr>
      <w:r>
        <w:rPr>
          <w:rFonts w:hint="eastAsia"/>
          <w:lang w:val="en-US" w:eastAsia="zh-CN"/>
        </w:rPr>
        <w:t>原材料获取与投入阶段：</w:t>
      </w:r>
    </w:p>
    <w:p w14:paraId="644C2CBF">
      <w:pPr>
        <w:pStyle w:val="190"/>
        <w:bidi w:val="0"/>
        <w:rPr>
          <w:rFonts w:hint="eastAsia"/>
          <w:lang w:eastAsia="zh-CN"/>
        </w:rPr>
      </w:pPr>
      <w:r>
        <w:rPr>
          <w:rFonts w:hint="eastAsia"/>
          <w:lang w:eastAsia="zh-CN"/>
        </w:rPr>
        <w:t>种苗</w:t>
      </w:r>
      <w:r>
        <w:rPr>
          <w:rFonts w:hint="eastAsia"/>
          <w:lang w:val="en-US" w:eastAsia="zh-CN"/>
        </w:rPr>
        <w:t>的消耗量；</w:t>
      </w:r>
    </w:p>
    <w:p w14:paraId="44AFFB76">
      <w:pPr>
        <w:pStyle w:val="190"/>
        <w:bidi w:val="0"/>
        <w:rPr>
          <w:rFonts w:hint="eastAsia"/>
          <w:lang w:eastAsia="zh-CN"/>
        </w:rPr>
      </w:pPr>
      <w:r>
        <w:rPr>
          <w:rFonts w:hint="eastAsia"/>
          <w:lang w:eastAsia="zh-CN"/>
        </w:rPr>
        <w:t>化肥、有机肥、农药</w:t>
      </w:r>
      <w:r>
        <w:rPr>
          <w:rFonts w:hint="eastAsia"/>
          <w:lang w:val="en-US" w:eastAsia="zh-CN"/>
        </w:rPr>
        <w:t>等的消耗量；</w:t>
      </w:r>
    </w:p>
    <w:p w14:paraId="7761C7D2">
      <w:pPr>
        <w:pStyle w:val="190"/>
        <w:bidi w:val="0"/>
        <w:rPr>
          <w:rFonts w:hint="eastAsia"/>
          <w:lang w:eastAsia="zh-CN"/>
        </w:rPr>
      </w:pPr>
      <w:r>
        <w:rPr>
          <w:rFonts w:hint="eastAsia"/>
          <w:lang w:val="en-US" w:eastAsia="zh-CN"/>
        </w:rPr>
        <w:t>农膜的消耗量；</w:t>
      </w:r>
    </w:p>
    <w:p w14:paraId="49676155">
      <w:pPr>
        <w:pStyle w:val="190"/>
        <w:bidi w:val="0"/>
        <w:rPr>
          <w:rFonts w:hint="eastAsia"/>
          <w:lang w:eastAsia="zh-CN"/>
        </w:rPr>
      </w:pPr>
      <w:r>
        <w:rPr>
          <w:rFonts w:hint="eastAsia"/>
          <w:lang w:val="en-US" w:eastAsia="zh-CN"/>
        </w:rPr>
        <w:t>包装材料（如</w:t>
      </w:r>
      <w:r>
        <w:rPr>
          <w:rFonts w:hint="eastAsia"/>
          <w:lang w:eastAsia="zh-CN"/>
        </w:rPr>
        <w:t>塑料袋、包装袋、纸箱、泡沫盒等）的消耗量；</w:t>
      </w:r>
    </w:p>
    <w:p w14:paraId="1F40F6F9">
      <w:pPr>
        <w:pStyle w:val="190"/>
        <w:bidi w:val="0"/>
        <w:rPr>
          <w:rFonts w:hint="eastAsia"/>
          <w:lang w:eastAsia="zh-CN"/>
        </w:rPr>
      </w:pPr>
      <w:r>
        <w:rPr>
          <w:rFonts w:hint="eastAsia"/>
          <w:lang w:val="en-US" w:eastAsia="zh-CN"/>
        </w:rPr>
        <w:t>所有原材料从购买运输到种植户或加工厂的能源消耗量。</w:t>
      </w:r>
    </w:p>
    <w:p w14:paraId="7BBACF30">
      <w:pPr>
        <w:pStyle w:val="177"/>
        <w:bidi w:val="0"/>
        <w:ind w:left="851" w:leftChars="0" w:hanging="426" w:firstLineChars="0"/>
        <w:rPr>
          <w:rFonts w:hint="eastAsia"/>
          <w:lang w:eastAsia="zh-CN"/>
        </w:rPr>
      </w:pPr>
      <w:r>
        <w:rPr>
          <w:rFonts w:hint="eastAsia"/>
          <w:lang w:val="en-US" w:eastAsia="zh-CN"/>
        </w:rPr>
        <w:t>种植阶段：</w:t>
      </w:r>
    </w:p>
    <w:p w14:paraId="6BEE0FB5">
      <w:pPr>
        <w:pStyle w:val="190"/>
        <w:bidi w:val="0"/>
        <w:rPr>
          <w:rFonts w:hint="eastAsia"/>
          <w:lang w:eastAsia="zh-CN"/>
        </w:rPr>
      </w:pPr>
      <w:r>
        <w:rPr>
          <w:rFonts w:hint="eastAsia"/>
          <w:lang w:eastAsia="zh-CN"/>
        </w:rPr>
        <w:t>氮肥田间施用引起的N</w:t>
      </w:r>
      <w:r>
        <w:rPr>
          <w:rFonts w:hint="eastAsia"/>
          <w:vertAlign w:val="subscript"/>
          <w:lang w:val="en-US" w:eastAsia="zh-CN"/>
        </w:rPr>
        <w:t>2</w:t>
      </w:r>
      <w:r>
        <w:rPr>
          <w:rFonts w:hint="eastAsia"/>
          <w:lang w:eastAsia="zh-CN"/>
        </w:rPr>
        <w:t>O排放</w:t>
      </w:r>
      <w:r>
        <w:rPr>
          <w:rFonts w:hint="eastAsia"/>
          <w:lang w:val="en-US" w:eastAsia="zh-CN"/>
        </w:rPr>
        <w:t>量</w:t>
      </w:r>
      <w:r>
        <w:rPr>
          <w:rFonts w:hint="eastAsia"/>
          <w:lang w:eastAsia="zh-CN"/>
        </w:rPr>
        <w:t>；</w:t>
      </w:r>
    </w:p>
    <w:p w14:paraId="277DF062">
      <w:pPr>
        <w:pStyle w:val="190"/>
        <w:bidi w:val="0"/>
        <w:rPr>
          <w:rFonts w:hint="eastAsia"/>
          <w:lang w:eastAsia="zh-CN"/>
        </w:rPr>
      </w:pPr>
      <w:r>
        <w:rPr>
          <w:rFonts w:hint="eastAsia"/>
          <w:lang w:eastAsia="zh-CN"/>
        </w:rPr>
        <w:t>菠萝植株还田引起的N</w:t>
      </w:r>
      <w:r>
        <w:rPr>
          <w:rFonts w:hint="eastAsia"/>
          <w:vertAlign w:val="subscript"/>
          <w:lang w:val="en-US" w:eastAsia="zh-CN"/>
        </w:rPr>
        <w:t>2</w:t>
      </w:r>
      <w:r>
        <w:rPr>
          <w:rFonts w:hint="eastAsia"/>
          <w:lang w:eastAsia="zh-CN"/>
        </w:rPr>
        <w:t>O排放</w:t>
      </w:r>
      <w:r>
        <w:rPr>
          <w:rFonts w:hint="eastAsia"/>
          <w:lang w:val="en-US" w:eastAsia="zh-CN"/>
        </w:rPr>
        <w:t>量</w:t>
      </w:r>
      <w:r>
        <w:rPr>
          <w:rFonts w:hint="eastAsia"/>
          <w:lang w:eastAsia="zh-CN"/>
        </w:rPr>
        <w:t>；</w:t>
      </w:r>
    </w:p>
    <w:p w14:paraId="6CDCD8E4">
      <w:pPr>
        <w:pStyle w:val="190"/>
        <w:bidi w:val="0"/>
        <w:rPr>
          <w:rFonts w:hint="eastAsia"/>
          <w:lang w:eastAsia="zh-CN"/>
        </w:rPr>
      </w:pPr>
      <w:r>
        <w:rPr>
          <w:rFonts w:hint="eastAsia"/>
          <w:lang w:eastAsia="zh-CN"/>
        </w:rPr>
        <w:t>耕作机械</w:t>
      </w:r>
      <w:r>
        <w:rPr>
          <w:rFonts w:hint="eastAsia"/>
          <w:lang w:val="en-US" w:eastAsia="zh-CN"/>
        </w:rPr>
        <w:t>能源消耗量</w:t>
      </w:r>
      <w:r>
        <w:rPr>
          <w:rFonts w:hint="eastAsia"/>
          <w:lang w:eastAsia="zh-CN"/>
        </w:rPr>
        <w:t>；</w:t>
      </w:r>
    </w:p>
    <w:p w14:paraId="02E33315">
      <w:pPr>
        <w:pStyle w:val="190"/>
        <w:bidi w:val="0"/>
        <w:rPr>
          <w:rFonts w:hint="eastAsia"/>
          <w:lang w:eastAsia="zh-CN"/>
        </w:rPr>
      </w:pPr>
      <w:r>
        <w:rPr>
          <w:rFonts w:hint="eastAsia"/>
          <w:lang w:eastAsia="zh-CN"/>
        </w:rPr>
        <w:t>母株清园作业</w:t>
      </w:r>
      <w:r>
        <w:rPr>
          <w:rFonts w:hint="eastAsia"/>
          <w:lang w:val="en-US" w:eastAsia="zh-CN"/>
        </w:rPr>
        <w:t>能源消耗量</w:t>
      </w:r>
      <w:r>
        <w:rPr>
          <w:rFonts w:hint="eastAsia"/>
          <w:lang w:eastAsia="zh-CN"/>
        </w:rPr>
        <w:t>；</w:t>
      </w:r>
    </w:p>
    <w:p w14:paraId="202EF03F">
      <w:pPr>
        <w:pStyle w:val="190"/>
        <w:bidi w:val="0"/>
        <w:rPr>
          <w:rFonts w:hint="eastAsia"/>
          <w:lang w:eastAsia="zh-CN"/>
        </w:rPr>
      </w:pPr>
      <w:r>
        <w:rPr>
          <w:rFonts w:hint="eastAsia"/>
          <w:lang w:eastAsia="zh-CN"/>
        </w:rPr>
        <w:t>植株碳汇、枯落物碳汇与土壤碳汇。</w:t>
      </w:r>
    </w:p>
    <w:p w14:paraId="0252D25F">
      <w:pPr>
        <w:pStyle w:val="190"/>
        <w:bidi w:val="0"/>
        <w:rPr>
          <w:rFonts w:hint="eastAsia"/>
          <w:lang w:eastAsia="zh-CN"/>
        </w:rPr>
      </w:pPr>
      <w:r>
        <w:rPr>
          <w:rFonts w:hint="eastAsia"/>
          <w:lang w:val="en-US" w:eastAsia="zh-CN"/>
        </w:rPr>
        <w:t>包装作业过程的能源消耗量。</w:t>
      </w:r>
    </w:p>
    <w:p w14:paraId="6BB58A86">
      <w:pPr>
        <w:pStyle w:val="168"/>
        <w:bidi w:val="0"/>
        <w:rPr>
          <w:rFonts w:hint="eastAsia"/>
          <w:lang w:eastAsia="zh-CN"/>
        </w:rPr>
      </w:pPr>
      <w:r>
        <w:rPr>
          <w:rFonts w:hint="eastAsia"/>
          <w:lang w:val="en-US" w:eastAsia="zh-CN"/>
        </w:rPr>
        <w:t>初级数据主要从企业拥有、运行或控制的种植和生产过程中收集，并对数据的有效性进行检查，包括建立物料平衡和能量平衡等，以确保数据质量符合要求。</w:t>
      </w:r>
    </w:p>
    <w:p w14:paraId="192C58E6">
      <w:pPr>
        <w:pStyle w:val="108"/>
        <w:bidi w:val="0"/>
      </w:pPr>
      <w:r>
        <w:rPr>
          <w:rFonts w:hint="eastAsia"/>
          <w:lang w:val="en-US" w:eastAsia="zh-CN"/>
        </w:rPr>
        <w:t>次级数据</w:t>
      </w:r>
    </w:p>
    <w:p w14:paraId="68B3F0CA">
      <w:pPr>
        <w:pStyle w:val="168"/>
        <w:bidi w:val="0"/>
        <w:rPr>
          <w:rFonts w:hint="eastAsia"/>
          <w:lang w:eastAsia="zh-CN"/>
        </w:rPr>
      </w:pPr>
      <w:r>
        <w:rPr>
          <w:rFonts w:hint="eastAsia"/>
          <w:lang w:val="en-US" w:eastAsia="zh-CN"/>
        </w:rPr>
        <w:t>神湾菠萝产品碳足迹量化需要收集的次级数据包括：</w:t>
      </w:r>
    </w:p>
    <w:p w14:paraId="0E76B47E">
      <w:pPr>
        <w:pStyle w:val="177"/>
        <w:numPr>
          <w:ilvl w:val="0"/>
          <w:numId w:val="36"/>
        </w:numPr>
        <w:bidi w:val="0"/>
        <w:ind w:left="851" w:leftChars="0" w:hanging="426" w:firstLineChars="0"/>
        <w:rPr>
          <w:rFonts w:hint="eastAsia"/>
          <w:lang w:eastAsia="zh-CN"/>
        </w:rPr>
      </w:pPr>
      <w:r>
        <w:rPr>
          <w:rFonts w:hint="eastAsia"/>
          <w:lang w:val="en-US" w:eastAsia="zh-CN"/>
        </w:rPr>
        <w:t>各类原材料生产的温室气体排放因子；</w:t>
      </w:r>
    </w:p>
    <w:p w14:paraId="064E9E0E">
      <w:pPr>
        <w:pStyle w:val="177"/>
        <w:numPr>
          <w:ilvl w:val="0"/>
          <w:numId w:val="36"/>
        </w:numPr>
        <w:bidi w:val="0"/>
        <w:ind w:left="851" w:leftChars="0" w:hanging="426" w:firstLineChars="0"/>
        <w:rPr>
          <w:rFonts w:hint="eastAsia"/>
          <w:lang w:eastAsia="zh-CN"/>
        </w:rPr>
      </w:pPr>
      <w:r>
        <w:rPr>
          <w:rFonts w:hint="eastAsia"/>
          <w:lang w:val="en-US" w:eastAsia="zh-CN"/>
        </w:rPr>
        <w:t>各类能源生产、运输和使用的温室气体排放因子；</w:t>
      </w:r>
    </w:p>
    <w:p w14:paraId="7FDB4309">
      <w:pPr>
        <w:pStyle w:val="177"/>
        <w:numPr>
          <w:ilvl w:val="0"/>
          <w:numId w:val="36"/>
        </w:numPr>
        <w:bidi w:val="0"/>
        <w:ind w:left="851" w:leftChars="0" w:hanging="426" w:firstLineChars="0"/>
        <w:rPr>
          <w:rFonts w:hint="eastAsia"/>
          <w:lang w:eastAsia="zh-CN"/>
        </w:rPr>
      </w:pPr>
      <w:r>
        <w:rPr>
          <w:rFonts w:hint="eastAsia"/>
          <w:lang w:val="en-US" w:eastAsia="zh-CN"/>
        </w:rPr>
        <w:t>各类运输方式的温室气体排放源因子；</w:t>
      </w:r>
    </w:p>
    <w:p w14:paraId="3C40C41F">
      <w:pPr>
        <w:pStyle w:val="168"/>
        <w:bidi w:val="0"/>
        <w:rPr>
          <w:rFonts w:hint="eastAsia"/>
          <w:lang w:eastAsia="zh-CN"/>
        </w:rPr>
      </w:pPr>
      <w:r>
        <w:rPr>
          <w:rFonts w:hint="eastAsia"/>
          <w:lang w:val="en-US" w:eastAsia="zh-CN"/>
        </w:rPr>
        <w:t>用于碳足迹核算的各类原辅材料、能源排放因子应优先采用基于生命周期评价或产品碳足迹评价得到的“从摇篮到大门”原辅材料和能源资源碳足迹。若不可获取，则宜从官方出版物、行业报告和文献等收集符合本文件7.1数据质量要求的次级数据，并分析次级数据包括的具体过程。</w:t>
      </w:r>
    </w:p>
    <w:bookmarkEnd w:id="70"/>
    <w:p w14:paraId="26763394">
      <w:pPr>
        <w:pStyle w:val="108"/>
        <w:bidi w:val="0"/>
      </w:pPr>
      <w:bookmarkStart w:id="71" w:name="_Toc16730"/>
      <w:r>
        <w:t>数据保存</w:t>
      </w:r>
      <w:bookmarkEnd w:id="71"/>
    </w:p>
    <w:p w14:paraId="580BADC7">
      <w:pPr>
        <w:pStyle w:val="39"/>
        <w:bidi w:val="0"/>
        <w:rPr>
          <w:rFonts w:hint="default"/>
          <w:lang w:val="en-US" w:eastAsia="zh-CN"/>
        </w:rPr>
      </w:pPr>
      <w:r>
        <w:rPr>
          <w:rFonts w:hint="eastAsia"/>
          <w:lang w:val="en-US" w:eastAsia="zh-CN"/>
        </w:rPr>
        <w:t>用于碳足迹评价的所有初级和次级数据，应形成文件记录，并以便于分析和核查的格式进行保存，</w:t>
      </w:r>
      <w:r>
        <w:rPr>
          <w:rFonts w:hint="default"/>
          <w:lang w:val="en-US" w:eastAsia="zh-CN"/>
        </w:rPr>
        <w:t>记录数据来源、获取时间与责任人，保存年限不少于</w:t>
      </w:r>
      <w:r>
        <w:rPr>
          <w:rFonts w:hint="eastAsia"/>
          <w:lang w:val="en-US" w:eastAsia="zh-CN"/>
        </w:rPr>
        <w:t>3</w:t>
      </w:r>
      <w:r>
        <w:rPr>
          <w:rFonts w:hint="default"/>
          <w:lang w:val="en-US" w:eastAsia="zh-CN"/>
        </w:rPr>
        <w:t>年。</w:t>
      </w:r>
    </w:p>
    <w:p w14:paraId="21172B7F">
      <w:pPr>
        <w:pStyle w:val="107"/>
        <w:bidi w:val="0"/>
      </w:pPr>
      <w:bookmarkStart w:id="72" w:name="_Toc2551"/>
      <w:bookmarkStart w:id="73" w:name="_Toc11938"/>
      <w:bookmarkStart w:id="74" w:name="_Toc25974"/>
      <w:r>
        <w:rPr>
          <w:rFonts w:hint="eastAsia"/>
          <w:lang w:val="en-US" w:eastAsia="zh-CN"/>
        </w:rPr>
        <w:t>量化</w:t>
      </w:r>
      <w:r>
        <w:t>方法</w:t>
      </w:r>
      <w:bookmarkEnd w:id="72"/>
      <w:bookmarkEnd w:id="73"/>
      <w:bookmarkEnd w:id="74"/>
    </w:p>
    <w:p w14:paraId="09537113">
      <w:pPr>
        <w:pStyle w:val="108"/>
        <w:bidi w:val="0"/>
      </w:pPr>
      <w:r>
        <w:rPr>
          <w:rFonts w:hint="eastAsia"/>
        </w:rPr>
        <w:t>一般规定</w:t>
      </w:r>
    </w:p>
    <w:p w14:paraId="5E24C17B">
      <w:pPr>
        <w:pStyle w:val="39"/>
        <w:rPr>
          <w:rFonts w:hint="default" w:ascii="Times New Roman" w:hAnsi="Times New Roman" w:cs="Times New Roman"/>
          <w:lang w:val="en-US" w:eastAsia="zh-CN"/>
        </w:rPr>
      </w:pPr>
      <w:r>
        <w:rPr>
          <w:rFonts w:hint="default" w:ascii="Times New Roman" w:hAnsi="Times New Roman" w:cs="Times New Roman"/>
          <w:lang w:val="en-US" w:eastAsia="zh-CN"/>
        </w:rPr>
        <w:t>神湾菠萝碳足迹核算采用 IPCC 温室气体清单方法，以“活动数据（AD）×排放因子（EF）”计算各过程排放量。活动数据优先采用区域特定值，其次国家通用值，最后为 IPCC 推荐值。</w:t>
      </w:r>
    </w:p>
    <w:p w14:paraId="6315934B">
      <w:pPr>
        <w:pStyle w:val="108"/>
        <w:bidi w:val="0"/>
        <w:rPr>
          <w:lang w:val="en-US" w:eastAsia="zh-CN"/>
        </w:rPr>
      </w:pPr>
      <w:r>
        <w:rPr>
          <w:rFonts w:hint="eastAsia"/>
          <w:lang w:val="en-US" w:eastAsia="zh-CN"/>
        </w:rPr>
        <w:t>单位产品碳足迹</w:t>
      </w:r>
    </w:p>
    <w:p w14:paraId="44CF543C">
      <w:pPr>
        <w:pStyle w:val="39"/>
        <w:bidi w:val="0"/>
        <w:rPr>
          <w:rFonts w:ascii="宋体" w:hAnsi="宋体" w:eastAsia="宋体" w:cs="Times New Roman"/>
          <w:b w:val="0"/>
          <w:i w:val="0"/>
          <w:kern w:val="2"/>
          <w:sz w:val="21"/>
          <w:szCs w:val="21"/>
          <w:lang w:val="en-US" w:eastAsia="zh-CN" w:bidi="ar-SA"/>
        </w:rPr>
      </w:pPr>
      <w:r>
        <w:rPr>
          <w:rFonts w:hint="eastAsia" w:ascii="宋体" w:hAnsi="宋体" w:eastAsia="宋体" w:cs="Times New Roman"/>
          <w:b w:val="0"/>
          <w:i w:val="0"/>
          <w:kern w:val="2"/>
          <w:sz w:val="21"/>
          <w:szCs w:val="21"/>
          <w:lang w:val="en-US" w:eastAsia="zh-CN" w:bidi="ar-SA"/>
        </w:rPr>
        <w:t>除另有说明外，各过程排放</w:t>
      </w:r>
      <w:r>
        <w:rPr>
          <w:rFonts w:hint="default" w:ascii="Times New Roman" w:hAnsi="Times New Roman" w:eastAsia="宋体" w:cs="Times New Roman"/>
          <w:b w:val="0"/>
          <w:i w:val="0"/>
          <w:kern w:val="2"/>
          <w:sz w:val="21"/>
          <w:szCs w:val="21"/>
          <w:lang w:val="en-US" w:eastAsia="zh-CN" w:bidi="ar-SA"/>
        </w:rPr>
        <w:t>量的单位均为kg CO</w:t>
      </w:r>
      <w:r>
        <w:rPr>
          <w:rFonts w:hint="default" w:ascii="Times New Roman" w:hAnsi="Times New Roman" w:cs="Times New Roman"/>
          <w:b w:val="0"/>
          <w:i w:val="0"/>
          <w:kern w:val="2"/>
          <w:sz w:val="21"/>
          <w:szCs w:val="21"/>
          <w:vertAlign w:val="subscript"/>
          <w:lang w:val="en-US" w:eastAsia="zh-CN" w:bidi="ar-SA"/>
        </w:rPr>
        <w:t>2</w:t>
      </w:r>
      <w:r>
        <w:rPr>
          <w:rFonts w:hint="default" w:ascii="Times New Roman" w:hAnsi="Times New Roman" w:eastAsia="宋体" w:cs="Times New Roman"/>
          <w:b w:val="0"/>
          <w:i w:val="0"/>
          <w:kern w:val="2"/>
          <w:sz w:val="21"/>
          <w:szCs w:val="21"/>
          <w:lang w:val="en-US" w:eastAsia="zh-CN" w:bidi="ar-SA"/>
        </w:rPr>
        <w:t>e。</w:t>
      </w:r>
    </w:p>
    <w:p w14:paraId="4840008D">
      <w:pPr>
        <w:pStyle w:val="39"/>
        <w:bidi w:val="0"/>
        <w:rPr>
          <w:rFonts w:ascii="宋体" w:hAnsi="宋体" w:eastAsia="宋体" w:cs="Times New Roman"/>
          <w:b w:val="0"/>
          <w:i w:val="0"/>
          <w:kern w:val="2"/>
          <w:sz w:val="21"/>
          <w:szCs w:val="21"/>
          <w:lang w:val="en-US" w:eastAsia="zh-CN" w:bidi="ar-SA"/>
        </w:rPr>
      </w:pPr>
      <w:r>
        <w:rPr>
          <w:rFonts w:ascii="宋体" w:hAnsi="宋体" w:eastAsia="宋体" w:cs="Times New Roman"/>
          <w:b w:val="0"/>
          <w:i w:val="0"/>
          <w:kern w:val="2"/>
          <w:sz w:val="21"/>
          <w:szCs w:val="21"/>
          <w:lang w:val="en-US" w:eastAsia="zh-CN" w:bidi="ar-SA"/>
        </w:rPr>
        <w:t>神湾菠萝全生命周期单位产品碳足迹（CF）按下式汇总：</w:t>
      </w:r>
    </w:p>
    <w:p w14:paraId="065F8401">
      <w:pPr>
        <w:pStyle w:val="116"/>
        <w:bidi w:val="0"/>
        <w:rPr>
          <w:rFonts w:hint="default" w:ascii="Times New Roman" w:hAnsi="Times New Roman" w:cs="Times New Roman"/>
          <w:lang w:val="en-US" w:eastAsia="zh-CN"/>
        </w:rPr>
      </w:pPr>
      <w:r>
        <w:rPr>
          <w:rFonts w:hint="eastAsia"/>
          <w:lang w:val="en-US" w:eastAsia="zh-CN"/>
        </w:rPr>
        <w:tab/>
      </w:r>
      <m:oMath>
        <m:r>
          <m:rPr>
            <m:nor/>
            <m:sty m:val="p"/>
          </m:rPr>
          <w:rPr>
            <w:rFonts w:hint="default" w:ascii="Times New Roman" w:hAnsi="Times New Roman" w:eastAsia="宋体" w:cs="Times New Roman"/>
            <w:b w:val="0"/>
            <w:i w:val="0"/>
            <w:sz w:val="21"/>
          </w:rPr>
          <m:t>CF=</m:t>
        </m:r>
        <m:r>
          <m:rPr>
            <m:nor/>
            <m:sty m:val="p"/>
          </m:rPr>
          <w:rPr>
            <w:rFonts w:hint="default" w:ascii="Times New Roman" w:hAnsi="Times New Roman" w:cs="Times New Roman"/>
            <w:b w:val="0"/>
            <w:i w:val="0"/>
            <w:sz w:val="21"/>
            <w:lang w:val="en-US" w:eastAsia="zh-CN"/>
          </w:rPr>
          <m:t>(</m:t>
        </m:r>
        <m:sSub>
          <m:sSubPr>
            <m:ctrlPr>
              <w:rPr>
                <w:rFonts w:hint="default" w:ascii="Times New Roman" w:hAnsi="Times New Roman" w:eastAsia="宋体" w:cs="Times New Roman"/>
                <w:b w:val="0"/>
                <w:i w:val="0"/>
                <w:sz w:val="21"/>
              </w:rPr>
            </m:ctrlPr>
          </m:sSubPr>
          <m:e>
            <m:r>
              <m:rPr>
                <m:sty m:val="p"/>
              </m:rPr>
              <w:rPr>
                <w:rFonts w:hint="default" w:ascii="Times New Roman" w:hAnsi="Times New Roman" w:cs="Times New Roman"/>
                <w:sz w:val="21"/>
                <w:lang w:val="en-US" w:eastAsia="zh-CN"/>
              </w:rPr>
              <m:t>CE</m:t>
            </m:r>
            <m:ctrlPr>
              <w:rPr>
                <w:rFonts w:hint="default" w:ascii="Times New Roman" w:hAnsi="Times New Roman" w:eastAsia="宋体" w:cs="Times New Roman"/>
                <w:b w:val="0"/>
                <w:i w:val="0"/>
                <w:sz w:val="21"/>
              </w:rPr>
            </m:ctrlPr>
          </m:e>
          <m:sub>
            <m:r>
              <m:rPr>
                <m:sty m:val="p"/>
              </m:rPr>
              <w:rPr>
                <w:rFonts w:hint="default" w:ascii="Times New Roman" w:hAnsi="Times New Roman" w:cs="Times New Roman"/>
                <w:sz w:val="21"/>
                <w:lang w:val="en-US" w:eastAsia="zh-CN"/>
              </w:rPr>
              <m:t>material</m:t>
            </m:r>
            <m:ctrlPr>
              <w:rPr>
                <w:rFonts w:hint="default" w:ascii="Times New Roman" w:hAnsi="Times New Roman" w:eastAsia="宋体" w:cs="Times New Roman"/>
                <w:b w:val="0"/>
                <w:i w:val="0"/>
                <w:sz w:val="21"/>
              </w:rPr>
            </m:ctrlPr>
          </m:sub>
        </m:sSub>
        <m:r>
          <m:rPr>
            <m:nor/>
            <m:sty m:val="p"/>
          </m:rPr>
          <w:rPr>
            <w:rFonts w:hint="default" w:ascii="Times New Roman" w:hAnsi="Times New Roman" w:cs="Times New Roman"/>
            <w:b w:val="0"/>
            <w:i w:val="0"/>
            <w:sz w:val="21"/>
            <w:lang w:val="en-US" w:eastAsia="zh-CN"/>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cs="Times New Roman"/>
                <w:b w:val="0"/>
                <w:i w:val="0"/>
                <w:sz w:val="21"/>
                <w:lang w:val="en-US" w:eastAsia="zh-CN"/>
              </w:rPr>
              <m:t>production</m:t>
            </m:r>
            <m:ctrlPr>
              <w:rPr>
                <w:rFonts w:hint="default" w:ascii="Cambria Math" w:hAnsi="Cambria Math" w:eastAsia="宋体" w:cs="Times New Roman"/>
                <w:b w:val="0"/>
                <w:i w:val="0"/>
                <w:iCs w:val="0"/>
                <w:sz w:val="21"/>
              </w:rPr>
            </m:ctrlPr>
          </m:sub>
        </m:sSub>
        <m:r>
          <m:rPr>
            <m:nor/>
            <m:sty m:val="p"/>
          </m:rPr>
          <w:rPr>
            <w:rFonts w:hint="default" w:ascii="Cambria Math" w:hAnsi="Cambria Math" w:cs="Times New Roman"/>
            <w:b w:val="0"/>
            <w:i w:val="0"/>
            <w:iCs w:val="0"/>
            <w:sz w:val="21"/>
            <w:lang w:val="en-US" w:eastAsia="zh-CN"/>
          </w:rPr>
          <m:t>)</m:t>
        </m:r>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Y</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product</m:t>
            </m:r>
            <m:ctrlPr>
              <w:rPr>
                <w:rFonts w:hint="default" w:ascii="Cambria Math" w:hAnsi="Cambria Math" w:eastAsia="宋体" w:cs="Times New Roman"/>
                <w:b w:val="0"/>
                <w:i w:val="0"/>
                <w:iCs w:val="0"/>
                <w:sz w:val="21"/>
              </w:rPr>
            </m:ctrlPr>
          </m:sub>
        </m:sSub>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199882C5">
      <w:pPr>
        <w:pStyle w:val="63"/>
        <w:rPr>
          <w:rFonts w:hint="eastAsia" w:ascii="宋体" w:hAnsi="宋体" w:eastAsia="宋体" w:cs="Times New Roman"/>
          <w:b w:val="0"/>
          <w:i w:val="0"/>
          <w:kern w:val="2"/>
          <w:sz w:val="21"/>
          <w:szCs w:val="21"/>
          <w:lang w:val="en-US" w:eastAsia="zh-CN" w:bidi="ar-SA"/>
        </w:rPr>
      </w:pPr>
      <w:r>
        <w:rPr>
          <w:rFonts w:hint="eastAsia"/>
          <w:lang w:val="en-US" w:eastAsia="zh-CN"/>
        </w:rPr>
        <w:t>式中：</w:t>
      </w:r>
    </w:p>
    <w:p w14:paraId="1D317C09">
      <w:pPr>
        <w:pStyle w:val="39"/>
        <w:bidi w:val="0"/>
        <w:rPr>
          <w:rFonts w:hint="default" w:ascii="Times New Roman" w:hAnsi="Times New Roman" w:eastAsia="宋体" w:cs="Times New Roman"/>
          <w:b w:val="0"/>
          <w:i w:val="0"/>
          <w:iCs/>
          <w:kern w:val="2"/>
          <w:sz w:val="21"/>
          <w:szCs w:val="21"/>
          <w:highlight w:val="none"/>
          <w:lang w:val="en-US" w:eastAsia="zh-CN" w:bidi="ar-SA"/>
        </w:rPr>
      </w:pPr>
      <m:oMath>
        <m:r>
          <m:rPr>
            <m:nor/>
            <m:sty m:val="p"/>
          </m:rPr>
          <w:rPr>
            <w:rFonts w:hint="default" w:ascii="Times New Roman" w:hAnsi="Times New Roman" w:cs="Times New Roman"/>
            <w:b w:val="0"/>
            <w:i w:val="0"/>
            <w:kern w:val="2"/>
            <w:sz w:val="21"/>
            <w:szCs w:val="21"/>
            <w:highlight w:val="none"/>
            <w:lang w:val="en-US" w:eastAsia="zh-CN" w:bidi="ar-SA"/>
          </w:rPr>
          <m:t>CF</m:t>
        </m:r>
      </m:oMath>
      <w:r>
        <w:rPr>
          <w:rFonts w:hint="default" w:ascii="Times New Roman" w:hAnsi="Times New Roman" w:eastAsia="宋体" w:cs="Times New Roman"/>
          <w:b w:val="0"/>
          <w:i w:val="0"/>
          <w:iCs/>
          <w:kern w:val="2"/>
          <w:sz w:val="21"/>
          <w:szCs w:val="21"/>
          <w:highlight w:val="none"/>
          <w:lang w:val="en-US" w:eastAsia="zh-CN" w:bidi="ar-SA"/>
        </w:rPr>
        <w:t>——功能单位</w:t>
      </w:r>
      <w:r>
        <w:rPr>
          <w:rFonts w:hint="default" w:ascii="Times New Roman" w:hAnsi="Times New Roman" w:cs="Times New Roman"/>
          <w:b w:val="0"/>
          <w:i w:val="0"/>
          <w:iCs/>
          <w:kern w:val="2"/>
          <w:sz w:val="21"/>
          <w:szCs w:val="21"/>
          <w:highlight w:val="none"/>
          <w:lang w:val="en-US" w:eastAsia="zh-CN" w:bidi="ar-SA"/>
        </w:rPr>
        <w:t>产品</w:t>
      </w:r>
      <w:r>
        <w:rPr>
          <w:rFonts w:hint="default" w:ascii="Times New Roman" w:hAnsi="Times New Roman" w:eastAsia="宋体" w:cs="Times New Roman"/>
          <w:b w:val="0"/>
          <w:i w:val="0"/>
          <w:iCs/>
          <w:kern w:val="2"/>
          <w:sz w:val="21"/>
          <w:szCs w:val="21"/>
          <w:highlight w:val="none"/>
          <w:lang w:val="en-US" w:eastAsia="zh-CN" w:bidi="ar-SA"/>
        </w:rPr>
        <w:t>碳足迹（kg CO₂e/kg）；</w:t>
      </w:r>
    </w:p>
    <w:p w14:paraId="4F7954E5">
      <w:pPr>
        <w:pStyle w:val="39"/>
        <w:bidi w:val="0"/>
        <w:rPr>
          <w:rFonts w:hint="default" w:ascii="Times New Roman" w:hAnsi="Times New Roman" w:eastAsia="宋体" w:cs="Times New Roman"/>
          <w:b w:val="0"/>
          <w:i w:val="0"/>
          <w:iCs/>
          <w:kern w:val="2"/>
          <w:sz w:val="21"/>
          <w:szCs w:val="21"/>
          <w:highlight w:val="none"/>
          <w:lang w:val="en-US" w:eastAsia="zh-CN" w:bidi="ar-SA"/>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sty m:val="p"/>
              </m:rPr>
              <w:rPr>
                <w:rFonts w:hint="eastAsia" w:ascii="Cambria Math" w:hAnsi="Cambria Math" w:cs="Times New Roman"/>
                <w:lang w:val="en-US" w:eastAsia="zh-CN"/>
              </w:rPr>
              <m:t>material</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highlight w:val="none"/>
          <w:vertAlign w:val="baseline"/>
          <w:lang w:val="en-US" w:eastAsia="zh-CN" w:bidi="ar-SA"/>
        </w:rPr>
        <w:t>——</w:t>
      </w:r>
      <w:r>
        <w:rPr>
          <w:rFonts w:hint="eastAsia" w:ascii="Times New Roman" w:hAnsi="Times New Roman" w:cs="Times New Roman"/>
          <w:b w:val="0"/>
          <w:i w:val="0"/>
          <w:iCs/>
          <w:kern w:val="2"/>
          <w:sz w:val="21"/>
          <w:szCs w:val="21"/>
          <w:highlight w:val="none"/>
          <w:vertAlign w:val="baseline"/>
          <w:lang w:val="en-US" w:eastAsia="zh-CN" w:bidi="ar-SA"/>
        </w:rPr>
        <w:t>原材料获取与投入</w:t>
      </w:r>
      <w:r>
        <w:rPr>
          <w:rFonts w:hint="default" w:ascii="Times New Roman" w:hAnsi="Times New Roman" w:eastAsia="宋体" w:cs="Times New Roman"/>
          <w:b w:val="0"/>
          <w:i w:val="0"/>
          <w:iCs/>
          <w:sz w:val="21"/>
          <w:szCs w:val="21"/>
          <w:highlight w:val="none"/>
        </w:rPr>
        <w:t>阶段 GHG 排放量（kg CO₂e）；</w:t>
      </w:r>
    </w:p>
    <w:p w14:paraId="794E592D">
      <w:pPr>
        <w:pStyle w:val="39"/>
        <w:bidi w:val="0"/>
        <w:rPr>
          <w:rFonts w:hint="default" w:ascii="Times New Roman" w:hAnsi="Times New Roman" w:eastAsia="宋体" w:cs="Times New Roman"/>
          <w:b w:val="0"/>
          <w:i w:val="0"/>
          <w:iCs/>
          <w:sz w:val="21"/>
          <w:szCs w:val="21"/>
          <w:highlight w:val="none"/>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lang w:val="en-US" w:eastAsia="zh-CN"/>
              </w:rPr>
              <m:t>production</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highlight w:val="none"/>
          <w:vertAlign w:val="baseline"/>
          <w:lang w:val="en-US" w:eastAsia="zh-CN" w:bidi="ar-SA"/>
        </w:rPr>
        <w:t>——</w:t>
      </w:r>
      <w:r>
        <w:rPr>
          <w:rFonts w:hint="eastAsia" w:ascii="Times New Roman" w:hAnsi="Times New Roman" w:cs="Times New Roman"/>
          <w:b w:val="0"/>
          <w:i w:val="0"/>
          <w:iCs/>
          <w:kern w:val="2"/>
          <w:sz w:val="21"/>
          <w:szCs w:val="21"/>
          <w:highlight w:val="none"/>
          <w:vertAlign w:val="baseline"/>
          <w:lang w:val="en-US" w:eastAsia="zh-CN" w:bidi="ar-SA"/>
        </w:rPr>
        <w:t>生产</w:t>
      </w:r>
      <w:r>
        <w:rPr>
          <w:rFonts w:hint="default" w:ascii="Times New Roman" w:hAnsi="Times New Roman" w:eastAsia="宋体" w:cs="Times New Roman"/>
          <w:b w:val="0"/>
          <w:i w:val="0"/>
          <w:iCs/>
          <w:sz w:val="21"/>
          <w:szCs w:val="21"/>
          <w:highlight w:val="none"/>
        </w:rPr>
        <w:t>阶段净 GHG 排放量（kg CO₂e）；</w:t>
      </w:r>
    </w:p>
    <w:p w14:paraId="32328CC9">
      <w:pPr>
        <w:pStyle w:val="39"/>
        <w:bidi w:val="0"/>
        <w:rPr>
          <w:rFonts w:hint="eastAsia" w:ascii="Times New Roman" w:hAnsi="Times New Roman" w:eastAsia="宋体" w:cs="Times New Roman"/>
          <w:b w:val="0"/>
          <w:i w:val="0"/>
          <w:iCs/>
          <w:sz w:val="21"/>
          <w:szCs w:val="21"/>
          <w:highlight w:val="none"/>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lang w:val="en-US" w:eastAsia="zh-CN"/>
              </w:rPr>
              <m:t>Y</m:t>
            </m:r>
            <m:ctrlPr>
              <w:rPr>
                <w:rFonts w:hint="default" w:ascii="Cambria Math" w:hAnsi="Cambria Math" w:cs="Times New Roman"/>
                <w:i w:val="0"/>
                <w:iCs/>
              </w:rPr>
            </m:ctrlPr>
          </m:e>
          <m:sub>
            <m:r>
              <m:rPr>
                <m:nor/>
                <m:sty m:val="p"/>
              </m:rPr>
              <w:rPr>
                <w:rFonts w:hint="default" w:ascii="Times New Roman" w:hAnsi="Times New Roman" w:cs="Times New Roman"/>
                <w:b w:val="0"/>
                <w:i w:val="0"/>
                <w:lang w:val="en-US" w:eastAsia="zh-CN"/>
              </w:rPr>
              <m:t>product</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highlight w:val="none"/>
          <w:vertAlign w:val="baseline"/>
          <w:lang w:val="en-US" w:eastAsia="zh-CN" w:bidi="ar-SA"/>
        </w:rPr>
        <w:t>——</w:t>
      </w:r>
      <w:r>
        <w:rPr>
          <w:rFonts w:hint="eastAsia" w:ascii="Times New Roman" w:hAnsi="Times New Roman" w:cs="Times New Roman"/>
          <w:b w:val="0"/>
          <w:i w:val="0"/>
          <w:iCs/>
          <w:kern w:val="2"/>
          <w:sz w:val="21"/>
          <w:szCs w:val="21"/>
          <w:highlight w:val="none"/>
          <w:vertAlign w:val="baseline"/>
          <w:lang w:val="en-US" w:eastAsia="zh-CN" w:bidi="ar-SA"/>
        </w:rPr>
        <w:t>神湾菠萝</w:t>
      </w:r>
      <w:r>
        <w:rPr>
          <w:rFonts w:hint="eastAsia" w:ascii="Times New Roman" w:hAnsi="Times New Roman" w:eastAsia="宋体" w:cs="Times New Roman"/>
          <w:b w:val="0"/>
          <w:i w:val="0"/>
          <w:iCs/>
          <w:kern w:val="2"/>
          <w:sz w:val="21"/>
          <w:szCs w:val="21"/>
          <w:highlight w:val="none"/>
          <w:lang w:val="en-US" w:eastAsia="zh-CN" w:bidi="ar-SA"/>
        </w:rPr>
        <w:t>鲜果</w:t>
      </w:r>
      <w:r>
        <w:rPr>
          <w:rFonts w:hint="default" w:ascii="Times New Roman" w:hAnsi="Times New Roman" w:cs="Times New Roman"/>
          <w:b w:val="0"/>
          <w:i w:val="0"/>
          <w:iCs/>
          <w:kern w:val="2"/>
          <w:sz w:val="21"/>
          <w:szCs w:val="21"/>
          <w:highlight w:val="none"/>
          <w:vertAlign w:val="baseline"/>
          <w:lang w:val="en-US" w:eastAsia="zh-CN" w:bidi="ar-SA"/>
        </w:rPr>
        <w:t>总</w:t>
      </w:r>
      <w:r>
        <w:rPr>
          <w:rFonts w:hint="default" w:ascii="Times New Roman" w:hAnsi="Times New Roman" w:eastAsia="宋体" w:cs="Times New Roman"/>
          <w:b w:val="0"/>
          <w:i w:val="0"/>
          <w:iCs/>
          <w:sz w:val="21"/>
          <w:szCs w:val="21"/>
          <w:highlight w:val="none"/>
        </w:rPr>
        <w:t>产量（kg）</w:t>
      </w:r>
      <w:r>
        <w:rPr>
          <w:rFonts w:hint="eastAsia" w:ascii="Times New Roman" w:hAnsi="Times New Roman" w:cs="Times New Roman"/>
          <w:b w:val="0"/>
          <w:i w:val="0"/>
          <w:iCs/>
          <w:sz w:val="21"/>
          <w:szCs w:val="21"/>
          <w:highlight w:val="none"/>
          <w:lang w:eastAsia="zh-CN"/>
        </w:rPr>
        <w:t>。</w:t>
      </w:r>
    </w:p>
    <w:p w14:paraId="448019D5">
      <w:pPr>
        <w:pStyle w:val="108"/>
        <w:bidi w:val="0"/>
        <w:rPr>
          <w:rFonts w:hint="default"/>
        </w:rPr>
      </w:pPr>
      <w:r>
        <w:rPr>
          <w:rFonts w:hint="default"/>
        </w:rPr>
        <w:t>原材料获取与投入阶段 GHG 排放</w:t>
      </w:r>
    </w:p>
    <w:p w14:paraId="624A2854">
      <w:pPr>
        <w:pStyle w:val="39"/>
        <w:ind w:left="0" w:leftChars="0" w:firstLine="420" w:firstLineChars="200"/>
        <w:rPr>
          <w:rFonts w:hint="default" w:ascii="Times New Roman" w:hAnsi="Times New Roman" w:eastAsia="宋体" w:cs="Times New Roman"/>
          <w:b w:val="0"/>
          <w:i w:val="0"/>
          <w:iCs/>
          <w:sz w:val="21"/>
          <w:szCs w:val="21"/>
          <w:highlight w:val="none"/>
          <w:lang w:val="en-US" w:eastAsia="zh-CN"/>
        </w:rPr>
      </w:pPr>
      <w:r>
        <w:rPr>
          <w:rFonts w:hint="default" w:ascii="Times New Roman" w:hAnsi="Times New Roman" w:eastAsia="宋体" w:cs="Times New Roman"/>
          <w:b w:val="0"/>
          <w:i w:val="0"/>
          <w:iCs/>
          <w:sz w:val="21"/>
          <w:szCs w:val="21"/>
          <w:highlight w:val="none"/>
          <w:lang w:val="en-US" w:eastAsia="zh-CN"/>
        </w:rPr>
        <w:t xml:space="preserve">神湾菠萝原材料获取与投入阶段 GHG </w:t>
      </w:r>
      <w:r>
        <w:rPr>
          <w:rFonts w:hint="default"/>
          <w:highlight w:val="none"/>
          <w:lang w:val="en-US" w:eastAsia="zh-CN"/>
        </w:rPr>
        <w:t>排放</w:t>
      </w:r>
      <w:r>
        <w:rPr>
          <w:rFonts w:hint="default" w:ascii="Times New Roman" w:hAnsi="Times New Roman" w:eastAsia="宋体" w:cs="Times New Roman"/>
          <w:b w:val="0"/>
          <w:i w:val="0"/>
          <w:iCs/>
          <w:sz w:val="21"/>
          <w:szCs w:val="21"/>
          <w:highlight w:val="none"/>
          <w:lang w:val="en-US" w:eastAsia="zh-CN"/>
        </w:rPr>
        <w:t>源包括：</w:t>
      </w:r>
      <w:r>
        <w:rPr>
          <w:rFonts w:hint="eastAsia" w:cs="Times New Roman"/>
          <w:b w:val="0"/>
          <w:i w:val="0"/>
          <w:iCs/>
          <w:sz w:val="21"/>
          <w:szCs w:val="21"/>
          <w:highlight w:val="none"/>
          <w:lang w:val="en-US" w:eastAsia="zh-CN"/>
        </w:rPr>
        <w:t>外购</w:t>
      </w:r>
      <w:r>
        <w:rPr>
          <w:rFonts w:hint="default" w:ascii="Times New Roman" w:hAnsi="Times New Roman" w:eastAsia="宋体" w:cs="Times New Roman"/>
          <w:b w:val="0"/>
          <w:i w:val="0"/>
          <w:iCs/>
          <w:sz w:val="21"/>
          <w:szCs w:val="21"/>
          <w:highlight w:val="none"/>
          <w:lang w:val="en-US" w:eastAsia="zh-CN"/>
        </w:rPr>
        <w:t>种苗、化肥、有机肥、农膜等农业投入品的上游生产端排放，瓦楞箱、EPE网套、塑料袋、无纺布袋等包装材料的生产端排放，以及上述原材料运抵种植户或加工厂的运输排放。原材料获取与投入阶段 GHG 排放量按下式计算：</w:t>
      </w:r>
    </w:p>
    <w:p w14:paraId="73503C40">
      <w:pPr>
        <w:pStyle w:val="116"/>
        <w:bidi w:val="0"/>
        <w:rPr>
          <w:rFonts w:hint="eastAsia"/>
          <w:lang w:eastAsia="zh-CN"/>
        </w:rPr>
      </w:pPr>
      <w:r>
        <w:rPr>
          <w:rFonts w:hint="eastAsia"/>
          <w:lang w:eastAsia="zh-CN"/>
        </w:rPr>
        <w:tab/>
      </w:r>
      <m:oMath>
        <m:sSub>
          <m:sSubPr>
            <m:ctrlPr>
              <w:rPr>
                <w:rFonts w:hint="default" w:ascii="Cambria Math" w:hAnsi="Cambria Math" w:cs="Times New Roman"/>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sz w:val="21"/>
              </w:rPr>
            </m:ctrlPr>
          </m:e>
          <m:sub>
            <m:r>
              <m:rPr>
                <m:nor/>
                <m:sty m:val="p"/>
              </m:rPr>
              <w:rPr>
                <w:rFonts w:hint="default" w:ascii="Times New Roman" w:hAnsi="Times New Roman" w:eastAsia="宋体" w:cs="Times New Roman"/>
                <w:b w:val="0"/>
                <w:i w:val="0"/>
                <w:sz w:val="21"/>
              </w:rPr>
              <m:t>material</m:t>
            </m:r>
            <m:ctrlPr>
              <w:rPr>
                <w:rFonts w:hint="default" w:ascii="Cambria Math" w:hAnsi="Cambria Math" w:cs="Times New Roman"/>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cs="Times New Roman"/>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sz w:val="21"/>
              </w:rPr>
            </m:ctrlPr>
          </m:e>
          <m:sub>
            <m:r>
              <m:rPr>
                <m:nor/>
                <m:sty m:val="p"/>
              </m:rPr>
              <w:rPr>
                <w:rFonts w:hint="default" w:ascii="Times New Roman" w:hAnsi="Times New Roman" w:eastAsia="宋体" w:cs="Times New Roman"/>
                <w:b w:val="0"/>
                <w:i w:val="0"/>
                <w:sz w:val="21"/>
              </w:rPr>
              <m:t>input</m:t>
            </m:r>
            <m:ctrlPr>
              <w:rPr>
                <w:rFonts w:hint="default" w:ascii="Cambria Math" w:hAnsi="Cambria Math" w:cs="Times New Roman"/>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cs="Times New Roman"/>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sz w:val="21"/>
              </w:rPr>
            </m:ctrlPr>
          </m:e>
          <m:sub>
            <m:r>
              <m:rPr>
                <m:nor/>
                <m:sty m:val="p"/>
              </m:rPr>
              <w:rPr>
                <w:rFonts w:hint="default" w:ascii="Times New Roman" w:hAnsi="Times New Roman" w:eastAsia="宋体" w:cs="Times New Roman"/>
                <w:b w:val="0"/>
                <w:i w:val="0"/>
                <w:sz w:val="21"/>
              </w:rPr>
              <m:t>material,package</m:t>
            </m:r>
            <m:ctrlPr>
              <w:rPr>
                <w:rFonts w:hint="default" w:ascii="Cambria Math" w:hAnsi="Cambria Math" w:cs="Times New Roman"/>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cs="Times New Roman"/>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sz w:val="21"/>
              </w:rPr>
            </m:ctrlPr>
          </m:e>
          <m:sub>
            <m:r>
              <m:rPr>
                <m:nor/>
                <m:sty m:val="p"/>
              </m:rPr>
              <w:rPr>
                <w:rFonts w:hint="default" w:ascii="Times New Roman" w:hAnsi="Times New Roman" w:eastAsia="宋体" w:cs="Times New Roman"/>
                <w:b w:val="0"/>
                <w:i w:val="0"/>
                <w:sz w:val="21"/>
              </w:rPr>
              <m:t>transport</m:t>
            </m:r>
            <m:ctrlPr>
              <w:rPr>
                <w:rFonts w:hint="default" w:ascii="Cambria Math" w:hAnsi="Cambria Math" w:cs="Times New Roman"/>
                <w:i w:val="0"/>
                <w:iCs w:val="0"/>
                <w:sz w:val="21"/>
              </w:rPr>
            </m:ctrlPr>
          </m:sub>
        </m:sSub>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w:t>
      </w:r>
    </w:p>
    <w:p w14:paraId="76EC241A">
      <w:pPr>
        <w:pStyle w:val="63"/>
        <w:rPr>
          <w:rFonts w:hint="default" w:ascii="Times New Roman" w:hAnsi="Times New Roman" w:eastAsia="宋体" w:cs="Times New Roman"/>
          <w:b w:val="0"/>
          <w:i w:val="0"/>
          <w:iCs/>
          <w:sz w:val="21"/>
          <w:szCs w:val="21"/>
          <w:highlight w:val="none"/>
        </w:rPr>
      </w:pPr>
      <w:r>
        <w:rPr>
          <w:rFonts w:hint="eastAsia"/>
          <w:lang w:eastAsia="zh-CN"/>
        </w:rPr>
        <w:t>式中：</w:t>
      </w:r>
    </w:p>
    <w:p w14:paraId="79E04E26">
      <w:pPr>
        <w:pStyle w:val="39"/>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input</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highlight w:val="none"/>
          <w:lang w:val="en-US" w:eastAsia="zh-CN"/>
        </w:rPr>
        <w:t>——农业投入品（种苗、化肥、</w:t>
      </w:r>
      <w:r>
        <w:rPr>
          <w:rFonts w:hint="default" w:cs="Times New Roman"/>
          <w:b w:val="0"/>
          <w:i w:val="0"/>
          <w:iCs/>
          <w:sz w:val="21"/>
          <w:szCs w:val="21"/>
          <w:highlight w:val="none"/>
          <w:lang w:val="en-US" w:eastAsia="zh-CN"/>
        </w:rPr>
        <w:t>有机肥</w:t>
      </w:r>
      <w:r>
        <w:rPr>
          <w:rFonts w:hint="default" w:ascii="Times New Roman" w:hAnsi="Times New Roman" w:cs="Times New Roman"/>
          <w:b w:val="0"/>
          <w:i w:val="0"/>
          <w:iCs/>
          <w:sz w:val="21"/>
          <w:szCs w:val="21"/>
          <w:highlight w:val="none"/>
          <w:lang w:val="en-US" w:eastAsia="zh-CN"/>
        </w:rPr>
        <w:t>、农膜等）生产端产生的 GHG 排放量（kg CO₂e）；</w:t>
      </w:r>
    </w:p>
    <w:p w14:paraId="4DDEE192">
      <w:pPr>
        <w:pStyle w:val="39"/>
        <w:bidi w:val="0"/>
        <w:rPr>
          <w:rFonts w:hint="default" w:ascii="Times New Roman" w:hAnsi="Times New Roman" w:cs="Times New Roman"/>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material,package</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highlight w:val="none"/>
          <w:lang w:val="en-US" w:eastAsia="zh-CN"/>
        </w:rPr>
        <w:t>——包装材料（瓦楞箱、EPE网套、塑料袋、无纺布袋等）生产端产生的 GHG 排放量（kg CO₂e）；</w:t>
      </w:r>
    </w:p>
    <w:p w14:paraId="5C021164">
      <w:pPr>
        <w:pStyle w:val="39"/>
        <w:bidi w:val="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lang w:val="en-US" w:eastAsia="zh-CN"/>
              </w:rPr>
              <m:t>transport</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highlight w:val="none"/>
          <w:lang w:val="en-US" w:eastAsia="zh-CN"/>
        </w:rPr>
        <w:t>——农业投入品及包装材料运输</w:t>
      </w:r>
      <w:r>
        <w:rPr>
          <w:rFonts w:hint="eastAsia" w:ascii="Times New Roman" w:hAnsi="Times New Roman" w:cs="Times New Roman"/>
          <w:b w:val="0"/>
          <w:i w:val="0"/>
          <w:iCs/>
          <w:sz w:val="21"/>
          <w:szCs w:val="21"/>
          <w:highlight w:val="none"/>
          <w:lang w:val="en-US" w:eastAsia="zh-CN"/>
        </w:rPr>
        <w:t>至</w:t>
      </w:r>
      <w:r>
        <w:rPr>
          <w:rFonts w:hint="default" w:ascii="Times New Roman" w:hAnsi="Times New Roman" w:cs="Times New Roman"/>
          <w:b w:val="0"/>
          <w:i w:val="0"/>
          <w:iCs/>
          <w:sz w:val="21"/>
          <w:szCs w:val="21"/>
          <w:highlight w:val="none"/>
          <w:lang w:val="en-US" w:eastAsia="zh-CN"/>
        </w:rPr>
        <w:t>种植户或</w:t>
      </w:r>
      <w:r>
        <w:rPr>
          <w:rFonts w:hint="eastAsia" w:ascii="Times New Roman" w:hAnsi="Times New Roman" w:cs="Times New Roman"/>
          <w:b w:val="0"/>
          <w:i w:val="0"/>
          <w:iCs/>
          <w:sz w:val="21"/>
          <w:szCs w:val="21"/>
          <w:highlight w:val="none"/>
          <w:lang w:val="en-US" w:eastAsia="zh-CN"/>
        </w:rPr>
        <w:t>包装</w:t>
      </w:r>
      <w:r>
        <w:rPr>
          <w:rFonts w:hint="default" w:ascii="Times New Roman" w:hAnsi="Times New Roman" w:cs="Times New Roman"/>
          <w:b w:val="0"/>
          <w:i w:val="0"/>
          <w:iCs/>
          <w:sz w:val="21"/>
          <w:szCs w:val="21"/>
          <w:highlight w:val="none"/>
          <w:lang w:val="en-US" w:eastAsia="zh-CN"/>
        </w:rPr>
        <w:t>厂产生的 GHG 排放量（kg CO₂e）；</w:t>
      </w:r>
    </w:p>
    <w:p w14:paraId="0DD157BD">
      <w:pPr>
        <w:pStyle w:val="38"/>
        <w:bidi w:val="0"/>
        <w:rPr>
          <w:rFonts w:hint="default"/>
        </w:rPr>
      </w:pPr>
      <w:r>
        <w:rPr>
          <w:rFonts w:hint="default"/>
        </w:rPr>
        <w:t>农业投入品上游生产端 GHG 排放量</w:t>
      </w:r>
    </w:p>
    <w:p w14:paraId="329A1A25">
      <w:pPr>
        <w:pStyle w:val="39"/>
        <w:bidi w:val="0"/>
        <w:rPr>
          <w:rFonts w:hint="default"/>
          <w:lang w:val="en-US" w:eastAsia="zh-CN"/>
        </w:rPr>
      </w:pPr>
      <w:r>
        <w:rPr>
          <w:rFonts w:hint="eastAsia"/>
          <w:lang w:val="en-US" w:eastAsia="zh-CN"/>
        </w:rPr>
        <w:t>外购种苗、化肥、有机肥、</w:t>
      </w:r>
      <w:r>
        <w:rPr>
          <w:rFonts w:hint="eastAsia" w:ascii="Times New Roman" w:hAnsi="Times New Roman" w:cs="Times New Roman"/>
          <w:b w:val="0"/>
          <w:i w:val="0"/>
          <w:iCs/>
          <w:sz w:val="21"/>
          <w:szCs w:val="21"/>
          <w:highlight w:val="none"/>
          <w:lang w:val="en-US" w:eastAsia="zh-CN"/>
        </w:rPr>
        <w:t>农膜</w:t>
      </w:r>
      <w:r>
        <w:rPr>
          <w:rFonts w:hint="eastAsia"/>
          <w:lang w:val="en-US" w:eastAsia="zh-CN"/>
        </w:rPr>
        <w:t>等农业投入品上游生产端排放计算公式如下：</w:t>
      </w:r>
    </w:p>
    <w:p w14:paraId="7EDB6E4B">
      <w:pPr>
        <w:pStyle w:val="116"/>
        <w:bidi w:val="0"/>
        <w:rPr>
          <w:rFonts w:hint="eastAsia"/>
          <w:lang w:eastAsia="zh-CN"/>
        </w:rPr>
      </w:pPr>
      <w:r>
        <w:rPr>
          <w:rFonts w:hint="eastAsia"/>
          <w:lang w:eastAsia="zh-CN"/>
        </w:rPr>
        <w:tab/>
      </w: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input</m:t>
            </m:r>
            <m:ctrlPr>
              <w:rPr>
                <w:rFonts w:hint="default" w:ascii="Cambria Math" w:hAnsi="Cambria Math" w:cs="Times New Roman"/>
                <w:i w:val="0"/>
                <w:iCs w:val="0"/>
                <w:lang w:val="en-US" w:eastAsia="zh-CN"/>
              </w:rPr>
            </m:ctrlPr>
          </m:sub>
        </m:sSub>
        <m:r>
          <m:rPr>
            <m:sty m:val="p"/>
          </m:rPr>
          <w:rPr>
            <w:rFonts w:hint="default" w:ascii="Times New Roman" w:hAnsi="Times New Roman" w:eastAsia="宋体" w:cs="Times New Roman"/>
            <w:sz w:val="21"/>
          </w:rPr>
          <m:t>=</m:t>
        </m:r>
        <m:nary>
          <m:naryPr>
            <m:chr m:val="∑"/>
            <m:limLoc m:val="undOvr"/>
            <m:subHide m:val="1"/>
            <m:supHide m:val="1"/>
            <m:ctrlPr>
              <m:rPr/>
              <w:rPr>
                <w:rFonts w:hint="default" w:ascii="Times New Roman" w:hAnsi="Times New Roman" w:eastAsia="宋体" w:cs="Times New Roman"/>
                <w:b w:val="0"/>
                <w:i w:val="0"/>
                <w:sz w:val="21"/>
              </w:rPr>
            </m:ctrlPr>
          </m:naryPr>
          <m:sub>
            <m:ctrlPr>
              <m:rPr/>
              <w:rPr>
                <w:rFonts w:hint="default" w:ascii="Times New Roman" w:hAnsi="Times New Roman" w:eastAsia="宋体" w:cs="Times New Roman"/>
                <w:b w:val="0"/>
                <w:i w:val="0"/>
                <w:sz w:val="21"/>
              </w:rPr>
            </m:ctrlPr>
          </m:sub>
          <m:sup>
            <m:ctrlPr>
              <m:rPr/>
              <w:rPr>
                <w:rFonts w:hint="default" w:ascii="Times New Roman" w:hAnsi="Times New Roman" w:eastAsia="宋体" w:cs="Times New Roman"/>
                <w:b w:val="0"/>
                <w:i w:val="0"/>
                <w:sz w:val="21"/>
              </w:rPr>
            </m:ctrlPr>
          </m:sup>
          <m:e>
            <m:r>
              <m:rPr>
                <m:sty m:val="p"/>
              </m:rPr>
              <w:rPr>
                <w:rFonts w:hint="default" w:ascii="Times New Roman" w:hAnsi="Times New Roman" w:eastAsia="宋体" w:cs="Times New Roman"/>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AD</m:t>
                </m:r>
                <m:ctrlPr>
                  <w:rPr>
                    <w:rFonts w:hint="default" w:ascii="Cambria Math" w:hAnsi="Cambria Math" w:eastAsia="宋体" w:cs="Times New Roman"/>
                    <w:b w:val="0"/>
                    <w:i w:val="0"/>
                    <w:iCs w:val="0"/>
                    <w:sz w:val="21"/>
                  </w:rPr>
                </m:ctrlPr>
              </m:e>
              <m:sub>
                <m:r>
                  <m:rPr>
                    <m:sty m:val="p"/>
                  </m:rPr>
                  <w:rPr>
                    <w:rFonts w:hint="eastAsia" w:ascii="Cambria Math" w:hAnsi="Cambria Math" w:cs="Times New Roman"/>
                    <w:sz w:val="21"/>
                    <w:lang w:val="en-US" w:eastAsia="zh-CN"/>
                  </w:rPr>
                  <m:t>input</m:t>
                </m:r>
                <m:ctrlPr>
                  <w:rPr>
                    <w:rFonts w:hint="default" w:ascii="Cambria Math" w:hAnsi="Cambria Math" w:eastAsia="宋体" w:cs="Times New Roman"/>
                    <w:b w:val="0"/>
                    <w:i w:val="0"/>
                    <w:iCs w:val="0"/>
                    <w:sz w:val="21"/>
                  </w:rPr>
                </m:ctrlPr>
              </m:sub>
            </m:sSub>
            <m:r>
              <m:rPr>
                <m:sty m:val="p"/>
              </m:rPr>
              <w:rPr>
                <w:rFonts w:hint="default" w:ascii="Times New Roman" w:hAnsi="Times New Roman" w:eastAsia="宋体" w:cs="Times New Roman"/>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EF</m:t>
                </m:r>
                <m:ctrlPr>
                  <w:rPr>
                    <w:rFonts w:hint="default" w:ascii="Cambria Math" w:hAnsi="Cambria Math" w:eastAsia="宋体" w:cs="Times New Roman"/>
                    <w:b w:val="0"/>
                    <w:i w:val="0"/>
                    <w:iCs w:val="0"/>
                    <w:sz w:val="21"/>
                  </w:rPr>
                </m:ctrlPr>
              </m:e>
              <m:sub>
                <m:r>
                  <m:rPr>
                    <m:sty m:val="p"/>
                  </m:rPr>
                  <w:rPr>
                    <w:rFonts w:hint="eastAsia" w:ascii="Cambria Math" w:hAnsi="Cambria Math" w:cs="Times New Roman"/>
                    <w:sz w:val="21"/>
                    <w:lang w:val="en-US" w:eastAsia="zh-CN"/>
                  </w:rPr>
                  <m:t>input</m:t>
                </m:r>
                <m:ctrlPr>
                  <w:rPr>
                    <w:rFonts w:hint="default" w:ascii="Cambria Math" w:hAnsi="Cambria Math" w:eastAsia="宋体" w:cs="Times New Roman"/>
                    <w:b w:val="0"/>
                    <w:i w:val="0"/>
                    <w:iCs w:val="0"/>
                    <w:sz w:val="21"/>
                  </w:rPr>
                </m:ctrlPr>
              </m:sub>
            </m:sSub>
            <m:r>
              <m:rPr>
                <m:sty m:val="p"/>
              </m:rPr>
              <w:rPr>
                <w:rFonts w:hint="default" w:ascii="Times New Roman" w:hAnsi="Times New Roman" w:eastAsia="宋体" w:cs="Times New Roman"/>
                <w:sz w:val="21"/>
              </w:rPr>
              <m:t>)</m:t>
            </m:r>
            <m:ctrlPr>
              <m:rPr/>
              <w:rPr>
                <w:rFonts w:hint="default" w:ascii="Times New Roman" w:hAnsi="Times New Roman" w:eastAsia="宋体" w:cs="Times New Roman"/>
                <w:b w:val="0"/>
                <w:i w:val="0"/>
                <w:sz w:val="21"/>
              </w:rPr>
            </m:ctrlPr>
          </m:e>
        </m:nary>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w:t>
      </w:r>
    </w:p>
    <w:p w14:paraId="58759515">
      <w:pPr>
        <w:pStyle w:val="63"/>
        <w:rPr>
          <w:rFonts w:hint="eastAsia"/>
          <w:lang w:eastAsia="zh-CN"/>
        </w:rPr>
      </w:pPr>
      <w:r>
        <w:rPr>
          <w:rFonts w:hint="eastAsia"/>
          <w:lang w:eastAsia="zh-CN"/>
        </w:rPr>
        <w:t>式中：</w:t>
      </w:r>
    </w:p>
    <w:p w14:paraId="0633BD81">
      <w:pPr>
        <w:pStyle w:val="39"/>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AD</m:t>
            </m:r>
            <m:ctrlPr>
              <w:rPr>
                <w:rFonts w:hint="default" w:ascii="Cambria Math" w:hAnsi="Cambria Math" w:cs="Times New Roman"/>
                <w:i w:val="0"/>
                <w:iCs/>
                <w:sz w:val="21"/>
                <w:szCs w:val="21"/>
              </w:rPr>
            </m:ctrlPr>
          </m:e>
          <m:sub>
            <m:r>
              <m:rPr>
                <m:sty m:val="p"/>
              </m:rPr>
              <w:rPr>
                <w:rFonts w:hint="eastAsia" w:ascii="Cambria Math" w:hAnsi="Cambria Math" w:cs="Times New Roman"/>
                <w:sz w:val="21"/>
                <w:lang w:val="en-US" w:eastAsia="zh-CN"/>
              </w:rPr>
              <m:t>input</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highlight w:val="none"/>
          <w:lang w:val="en-US" w:eastAsia="zh-CN"/>
        </w:rPr>
        <w:t>——各项农业投入品活动数据（种苗以株计，肥料以 kg N、kg P₂O₅、kg K₂O 计，农膜以 kg 计）；</w:t>
      </w:r>
    </w:p>
    <w:p w14:paraId="7AA737D1">
      <w:pPr>
        <w:pStyle w:val="39"/>
        <w:bidi w:val="0"/>
        <w:rPr>
          <w:rFonts w:hint="default" w:ascii="Times New Roman" w:hAnsi="Times New Roman" w:eastAsia="宋体" w:cs="Times New Roman"/>
          <w:b w:val="0"/>
          <w:i w:val="0"/>
          <w:iCs/>
          <w:sz w:val="21"/>
          <w:szCs w:val="21"/>
          <w:highlight w:val="none"/>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sty m:val="p"/>
              </m:rPr>
              <w:rPr>
                <w:rFonts w:hint="eastAsia" w:ascii="Cambria Math" w:hAnsi="Cambria Math" w:cs="Times New Roman"/>
                <w:sz w:val="21"/>
                <w:lang w:val="en-US" w:eastAsia="zh-CN"/>
              </w:rPr>
              <m:t>input</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highlight w:val="none"/>
          <w:lang w:val="en-US" w:eastAsia="zh-CN"/>
        </w:rPr>
        <w:t>——单位农业投入品排放因子（kg CO</w:t>
      </w:r>
      <w:r>
        <w:rPr>
          <w:rFonts w:hint="default" w:ascii="Times New Roman" w:hAnsi="Times New Roman" w:cs="Times New Roman"/>
          <w:b w:val="0"/>
          <w:i w:val="0"/>
          <w:iCs/>
          <w:sz w:val="21"/>
          <w:szCs w:val="21"/>
          <w:highlight w:val="none"/>
          <w:vertAlign w:val="subscript"/>
          <w:lang w:val="en-US" w:eastAsia="zh-CN"/>
        </w:rPr>
        <w:t>2</w:t>
      </w:r>
      <w:r>
        <w:rPr>
          <w:rFonts w:hint="default" w:ascii="Times New Roman" w:hAnsi="Times New Roman" w:cs="Times New Roman"/>
          <w:b w:val="0"/>
          <w:i w:val="0"/>
          <w:iCs/>
          <w:sz w:val="21"/>
          <w:szCs w:val="21"/>
          <w:highlight w:val="none"/>
          <w:lang w:val="en-US" w:eastAsia="zh-CN"/>
        </w:rPr>
        <w:t>e/kg 或 kg CO</w:t>
      </w:r>
      <w:r>
        <w:rPr>
          <w:rFonts w:hint="default" w:ascii="Times New Roman" w:hAnsi="Times New Roman" w:cs="Times New Roman"/>
          <w:b w:val="0"/>
          <w:i w:val="0"/>
          <w:iCs/>
          <w:sz w:val="21"/>
          <w:szCs w:val="21"/>
          <w:highlight w:val="none"/>
          <w:vertAlign w:val="subscript"/>
          <w:lang w:val="en-US" w:eastAsia="zh-CN"/>
        </w:rPr>
        <w:t>2</w:t>
      </w:r>
      <w:r>
        <w:rPr>
          <w:rFonts w:hint="default" w:ascii="Times New Roman" w:hAnsi="Times New Roman" w:cs="Times New Roman"/>
          <w:b w:val="0"/>
          <w:i w:val="0"/>
          <w:iCs/>
          <w:sz w:val="21"/>
          <w:szCs w:val="21"/>
          <w:highlight w:val="none"/>
          <w:lang w:val="en-US" w:eastAsia="zh-CN"/>
        </w:rPr>
        <w:t>e/L），推荐值见附录 B。</w:t>
      </w:r>
    </w:p>
    <w:p w14:paraId="654F2E55">
      <w:pPr>
        <w:pStyle w:val="38"/>
        <w:bidi w:val="0"/>
        <w:rPr>
          <w:rFonts w:hint="default"/>
        </w:rPr>
      </w:pPr>
      <w:r>
        <w:t>包装材料生产 GHG 排放量</w:t>
      </w:r>
    </w:p>
    <w:p w14:paraId="6D5F96E7">
      <w:pPr>
        <w:pStyle w:val="39"/>
        <w:bidi w:val="0"/>
        <w:rPr>
          <w:rFonts w:hint="default" w:ascii="Times New Roman" w:hAnsi="Times New Roman" w:eastAsia="宋体" w:cs="Times New Roman"/>
          <w:b w:val="0"/>
          <w:i w:val="0"/>
          <w:iCs/>
          <w:sz w:val="21"/>
          <w:szCs w:val="21"/>
          <w:highlight w:val="none"/>
        </w:rPr>
      </w:pPr>
      <w:r>
        <w:rPr>
          <w:rFonts w:hint="eastAsia"/>
          <w:lang w:val="en-US" w:eastAsia="zh-CN"/>
        </w:rPr>
        <w:t>包装材料包括瓦楞箱、EPE网套、塑料袋、无纺布袋等，其生产端排放计算公式如下：</w:t>
      </w:r>
    </w:p>
    <w:p w14:paraId="7B499A39">
      <w:pPr>
        <w:pStyle w:val="116"/>
        <w:bidi w:val="0"/>
        <w:rPr>
          <w:rFonts w:hint="eastAsia"/>
          <w:lang w:eastAsia="zh-CN"/>
        </w:rPr>
      </w:pPr>
      <w:r>
        <w:rPr>
          <w:rFonts w:hint="eastAsia"/>
          <w:lang w:eastAsia="zh-CN"/>
        </w:rPr>
        <w:tab/>
      </w:r>
      <m:oMath>
        <m:sSub>
          <m:sSubPr>
            <m:ctrlPr>
              <w:rPr>
                <w:rFonts w:hint="default" w:ascii="Cambria Math" w:hAnsi="Cambria Math" w:cs="Times New Roman"/>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sz w:val="21"/>
              </w:rPr>
            </m:ctrlPr>
          </m:e>
          <m:sub>
            <m:r>
              <m:rPr>
                <m:nor/>
                <m:sty m:val="p"/>
              </m:rPr>
              <w:rPr>
                <w:rFonts w:hint="default" w:ascii="Times New Roman" w:hAnsi="Times New Roman" w:eastAsia="宋体" w:cs="Times New Roman"/>
                <w:b w:val="0"/>
                <w:i w:val="0"/>
                <w:sz w:val="21"/>
              </w:rPr>
              <m:t>material,package</m:t>
            </m:r>
            <m:ctrlPr>
              <w:rPr>
                <w:rFonts w:hint="default" w:ascii="Cambria Math" w:hAnsi="Cambria Math" w:cs="Times New Roman"/>
                <w:i w:val="0"/>
                <w:iCs w:val="0"/>
                <w:sz w:val="21"/>
              </w:rPr>
            </m:ctrlPr>
          </m:sub>
        </m:sSub>
        <m:r>
          <m:rPr>
            <m:sty m:val="p"/>
          </m:rPr>
          <w:rPr>
            <w:rFonts w:hint="default" w:ascii="Times New Roman" w:hAnsi="Times New Roman" w:eastAsia="宋体" w:cs="Times New Roman"/>
            <w:sz w:val="21"/>
          </w:rPr>
          <m:t>=</m:t>
        </m:r>
        <m:nary>
          <m:naryPr>
            <m:chr m:val="∑"/>
            <m:limLoc m:val="undOvr"/>
            <m:subHide m:val="1"/>
            <m:supHide m:val="1"/>
            <m:ctrlPr>
              <m:rPr/>
              <w:rPr>
                <w:rFonts w:hint="default" w:ascii="Times New Roman" w:hAnsi="Times New Roman" w:eastAsia="宋体" w:cs="Times New Roman"/>
                <w:b w:val="0"/>
                <w:i w:val="0"/>
                <w:sz w:val="21"/>
              </w:rPr>
            </m:ctrlPr>
          </m:naryPr>
          <m:sub>
            <m:ctrlPr>
              <m:rPr/>
              <w:rPr>
                <w:rFonts w:hint="default" w:ascii="Times New Roman" w:hAnsi="Times New Roman" w:eastAsia="宋体" w:cs="Times New Roman"/>
                <w:b w:val="0"/>
                <w:i w:val="0"/>
                <w:sz w:val="21"/>
              </w:rPr>
            </m:ctrlPr>
          </m:sub>
          <m:sup>
            <m:ctrlPr>
              <m:rPr/>
              <w:rPr>
                <w:rFonts w:hint="default" w:ascii="Times New Roman" w:hAnsi="Times New Roman" w:eastAsia="宋体" w:cs="Times New Roman"/>
                <w:b w:val="0"/>
                <w:i w:val="0"/>
                <w:sz w:val="21"/>
              </w:rPr>
            </m:ctrlPr>
          </m:sup>
          <m:e>
            <m:sSub>
              <m:sSubPr>
                <m:ctrlPr>
                  <w:rPr>
                    <w:rFonts w:hint="default" w:ascii="Cambria Math" w:hAnsi="Cambria Math" w:cs="Times New Roman"/>
                    <w:i w:val="0"/>
                    <w:iCs w:val="0"/>
                    <w:sz w:val="21"/>
                  </w:rPr>
                </m:ctrlPr>
              </m:sSubPr>
              <m:e>
                <m:r>
                  <m:rPr>
                    <m:nor/>
                    <m:sty m:val="p"/>
                  </m:rPr>
                  <w:rPr>
                    <w:rFonts w:hint="default" w:ascii="Cambria Math" w:hAnsi="Cambria Math" w:cs="Times New Roman"/>
                    <w:i w:val="0"/>
                    <w:iCs w:val="0"/>
                    <w:sz w:val="21"/>
                    <w:lang w:val="en-US" w:eastAsia="zh-CN"/>
                  </w:rPr>
                  <m:t>(</m:t>
                </m:r>
                <m:r>
                  <m:rPr>
                    <m:nor/>
                    <m:sty m:val="p"/>
                  </m:rPr>
                  <w:rPr>
                    <w:rFonts w:hint="default" w:ascii="Times New Roman" w:hAnsi="Times New Roman" w:eastAsia="宋体" w:cs="Times New Roman"/>
                    <w:b w:val="0"/>
                    <w:i w:val="0"/>
                    <w:sz w:val="21"/>
                  </w:rPr>
                  <m:t>AD</m:t>
                </m:r>
                <m:ctrlPr>
                  <w:rPr>
                    <w:rFonts w:hint="default" w:ascii="Cambria Math" w:hAnsi="Cambria Math" w:cs="Times New Roman"/>
                    <w:i w:val="0"/>
                    <w:iCs w:val="0"/>
                    <w:sz w:val="21"/>
                  </w:rPr>
                </m:ctrlPr>
              </m:e>
              <m:sub>
                <m:r>
                  <m:rPr>
                    <m:nor/>
                    <m:sty m:val="p"/>
                  </m:rPr>
                  <w:rPr>
                    <w:rFonts w:hint="default" w:ascii="Times New Roman" w:hAnsi="Times New Roman" w:eastAsia="宋体" w:cs="Times New Roman"/>
                    <w:b w:val="0"/>
                    <w:i w:val="0"/>
                    <w:sz w:val="21"/>
                  </w:rPr>
                  <m:t>m</m:t>
                </m:r>
                <m:ctrlPr>
                  <w:rPr>
                    <w:rFonts w:hint="default" w:ascii="Cambria Math" w:hAnsi="Cambria Math" w:cs="Times New Roman"/>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cs="Times New Roman"/>
                    <w:i w:val="0"/>
                    <w:iCs w:val="0"/>
                    <w:sz w:val="21"/>
                  </w:rPr>
                </m:ctrlPr>
              </m:sSubPr>
              <m:e>
                <m:r>
                  <m:rPr>
                    <m:nor/>
                    <m:sty m:val="p"/>
                  </m:rPr>
                  <w:rPr>
                    <w:rFonts w:hint="default" w:ascii="Times New Roman" w:hAnsi="Times New Roman" w:eastAsia="宋体" w:cs="Times New Roman"/>
                    <w:b w:val="0"/>
                    <w:i w:val="0"/>
                    <w:sz w:val="21"/>
                  </w:rPr>
                  <m:t>EF</m:t>
                </m:r>
                <m:ctrlPr>
                  <w:rPr>
                    <w:rFonts w:hint="default" w:ascii="Cambria Math" w:hAnsi="Cambria Math" w:cs="Times New Roman"/>
                    <w:i w:val="0"/>
                    <w:iCs w:val="0"/>
                    <w:sz w:val="21"/>
                  </w:rPr>
                </m:ctrlPr>
              </m:e>
              <m:sub>
                <m:r>
                  <m:rPr>
                    <m:nor/>
                    <m:sty m:val="p"/>
                  </m:rPr>
                  <w:rPr>
                    <w:rFonts w:hint="default" w:ascii="Times New Roman" w:hAnsi="Times New Roman" w:eastAsia="宋体" w:cs="Times New Roman"/>
                    <w:b w:val="0"/>
                    <w:i w:val="0"/>
                    <w:sz w:val="21"/>
                  </w:rPr>
                  <m:t>m</m:t>
                </m:r>
                <m:ctrlPr>
                  <w:rPr>
                    <w:rFonts w:hint="default" w:ascii="Cambria Math" w:hAnsi="Cambria Math" w:cs="Times New Roman"/>
                    <w:i w:val="0"/>
                    <w:iCs w:val="0"/>
                    <w:sz w:val="21"/>
                  </w:rPr>
                </m:ctrlPr>
              </m:sub>
            </m:sSub>
            <m:r>
              <m:rPr>
                <m:sty m:val="p"/>
              </m:rPr>
              <w:rPr>
                <w:rFonts w:hint="default" w:ascii="Cambria Math" w:hAnsi="Cambria Math" w:cs="Times New Roman"/>
                <w:sz w:val="21"/>
                <w:lang w:val="en-US" w:eastAsia="zh-CN"/>
              </w:rPr>
              <m:t>)</m:t>
            </m:r>
            <m:ctrlPr>
              <m:rPr/>
              <w:rPr>
                <w:rFonts w:hint="default" w:ascii="Times New Roman" w:hAnsi="Times New Roman" w:eastAsia="宋体" w:cs="Times New Roman"/>
                <w:b w:val="0"/>
                <w:i w:val="0"/>
                <w:sz w:val="21"/>
              </w:rPr>
            </m:ctrlPr>
          </m:e>
        </m:nary>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w:t>
      </w:r>
    </w:p>
    <w:p w14:paraId="519CD097">
      <w:pPr>
        <w:pStyle w:val="63"/>
        <w:rPr>
          <w:rFonts w:hint="eastAsia"/>
          <w:lang w:eastAsia="zh-CN"/>
        </w:rPr>
      </w:pPr>
      <w:r>
        <w:rPr>
          <w:rFonts w:hint="eastAsia"/>
          <w:lang w:eastAsia="zh-CN"/>
        </w:rPr>
        <w:t>式中：</w:t>
      </w:r>
    </w:p>
    <w:p w14:paraId="2360376E">
      <w:pPr>
        <w:pStyle w:val="39"/>
        <w:bidi w:val="0"/>
        <w:rPr>
          <w:rFonts w:hint="default" w:ascii="Times New Roman" w:hAnsi="Times New Roman" w:cs="Times New Roman"/>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eastAsia="宋体" w:cs="Times New Roman"/>
                <w:b w:val="0"/>
                <w:i w:val="0"/>
                <w:sz w:val="21"/>
                <w:szCs w:val="21"/>
                <w:lang w:val="en-US" w:eastAsia="zh-CN"/>
              </w:rPr>
              <m:t>AD</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m</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highlight w:val="none"/>
          <w:lang w:val="en-US" w:eastAsia="zh-CN"/>
        </w:rPr>
        <w:t>——包装材料用量（kg）；</w:t>
      </w:r>
    </w:p>
    <w:p w14:paraId="790CD87A">
      <w:pPr>
        <w:pStyle w:val="39"/>
        <w:bidi w:val="0"/>
        <w:rPr>
          <w:rFonts w:hint="default" w:ascii="Times New Roman" w:hAnsi="Times New Roman" w:cs="Times New Roman"/>
          <w:b w:val="0"/>
          <w:i w:val="0"/>
          <w:iCs/>
          <w:sz w:val="21"/>
          <w:szCs w:val="21"/>
          <w:highlight w:val="none"/>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m</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highlight w:val="none"/>
          <w:lang w:val="en-US" w:eastAsia="zh-CN"/>
        </w:rPr>
        <w:t>——包装材料的排放因子（kg CO</w:t>
      </w:r>
      <w:r>
        <w:rPr>
          <w:rFonts w:hint="default" w:ascii="Times New Roman" w:hAnsi="Times New Roman" w:cs="Times New Roman"/>
          <w:b w:val="0"/>
          <w:i w:val="0"/>
          <w:iCs/>
          <w:sz w:val="21"/>
          <w:szCs w:val="21"/>
          <w:highlight w:val="none"/>
          <w:vertAlign w:val="subscript"/>
          <w:lang w:val="en-US" w:eastAsia="zh-CN"/>
        </w:rPr>
        <w:t>2</w:t>
      </w:r>
      <w:r>
        <w:rPr>
          <w:rFonts w:hint="default" w:ascii="Times New Roman" w:hAnsi="Times New Roman" w:cs="Times New Roman"/>
          <w:b w:val="0"/>
          <w:i w:val="0"/>
          <w:iCs/>
          <w:sz w:val="21"/>
          <w:szCs w:val="21"/>
          <w:highlight w:val="none"/>
          <w:lang w:val="en-US" w:eastAsia="zh-CN"/>
        </w:rPr>
        <w:t>e/kg），推荐值见附录 B。</w:t>
      </w:r>
    </w:p>
    <w:p w14:paraId="10B2A0D3">
      <w:pPr>
        <w:pStyle w:val="38"/>
        <w:bidi w:val="0"/>
        <w:rPr>
          <w:rFonts w:hint="default"/>
          <w:lang w:val="en-US" w:eastAsia="zh-CN"/>
        </w:rPr>
      </w:pPr>
      <w:r>
        <w:rPr>
          <w:rFonts w:hint="default"/>
          <w:lang w:val="en-US" w:eastAsia="zh-CN"/>
        </w:rPr>
        <w:t>原材料及包装材料运输 GHG 排放量</w:t>
      </w:r>
    </w:p>
    <w:p w14:paraId="2128D2D0">
      <w:pPr>
        <w:pStyle w:val="39"/>
        <w:bidi w:val="0"/>
        <w:rPr>
          <w:rFonts w:hint="default" w:ascii="Times New Roman" w:hAnsi="Times New Roman" w:cs="Times New Roman"/>
          <w:b w:val="0"/>
          <w:i w:val="0"/>
          <w:iCs/>
          <w:sz w:val="21"/>
          <w:szCs w:val="21"/>
          <w:highlight w:val="none"/>
          <w:lang w:val="en-US" w:eastAsia="zh-CN"/>
        </w:rPr>
      </w:pPr>
      <w:r>
        <w:rPr>
          <w:rFonts w:hint="default" w:ascii="Times New Roman" w:hAnsi="Times New Roman" w:cs="Times New Roman"/>
          <w:b w:val="0"/>
          <w:i w:val="0"/>
          <w:iCs/>
          <w:sz w:val="21"/>
          <w:szCs w:val="21"/>
          <w:highlight w:val="none"/>
          <w:lang w:val="en-US" w:eastAsia="zh-CN"/>
        </w:rPr>
        <w:t>原材料获取与投入阶段的运输排放包括农业投入品与包装材料运抵种植户或加工厂的运输，以及废弃农膜、不还田植株等农业废弃物和包装废弃物的外送运输。计算公式如下：</w:t>
      </w:r>
    </w:p>
    <w:p w14:paraId="55F87C49">
      <w:pPr>
        <w:pStyle w:val="116"/>
        <w:bidi w:val="0"/>
        <w:rPr>
          <w:rFonts w:hint="eastAsia"/>
          <w:highlight w:val="none"/>
          <w:lang w:val="en-US" w:eastAsia="zh-CN"/>
        </w:rPr>
      </w:pPr>
      <w:r>
        <w:rPr>
          <w:rFonts w:hint="eastAsia"/>
          <w:highlight w:val="none"/>
          <w:lang w:val="en-US" w:eastAsia="zh-CN"/>
        </w:rPr>
        <w:tab/>
      </w:r>
      <m:oMath>
        <m:sSub>
          <m:sSubPr>
            <m:ctrlPr>
              <w:rPr>
                <w:rFonts w:hint="default" w:ascii="Cambria Math" w:hAnsi="Cambria Math" w:cs="Times New Roman"/>
                <w:i w:val="0"/>
                <w:iCs w:val="0"/>
                <w:sz w:val="21"/>
                <w:szCs w:val="21"/>
                <w:highlight w:val="none"/>
                <w:lang w:val="en-US" w:eastAsia="zh-CN"/>
              </w:rPr>
            </m:ctrlPr>
          </m:sSubPr>
          <m:e>
            <m:r>
              <m:rPr>
                <m:nor/>
                <m:sty m:val="p"/>
              </m:rPr>
              <w:rPr>
                <w:rFonts w:hint="default" w:ascii="Times New Roman" w:hAnsi="Times New Roman" w:cs="Times New Roman"/>
                <w:b w:val="0"/>
                <w:i w:val="0"/>
                <w:iCs w:val="0"/>
                <w:sz w:val="21"/>
                <w:szCs w:val="21"/>
                <w:highlight w:val="none"/>
                <w:lang w:val="en-US" w:eastAsia="zh-CN"/>
              </w:rPr>
              <m:t>CE</m:t>
            </m:r>
            <m:ctrlPr>
              <w:rPr>
                <w:rFonts w:hint="default" w:ascii="Cambria Math" w:hAnsi="Cambria Math" w:cs="Times New Roman"/>
                <w:i w:val="0"/>
                <w:iCs w:val="0"/>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transport</m:t>
            </m:r>
            <m:ctrlPr>
              <w:rPr>
                <w:rFonts w:hint="default" w:ascii="Cambria Math" w:hAnsi="Cambria Math" w:cs="Times New Roman"/>
                <w:i w:val="0"/>
                <w:iCs w:val="0"/>
                <w:sz w:val="21"/>
                <w:szCs w:val="21"/>
                <w:highlight w:val="none"/>
                <w:lang w:val="en-US" w:eastAsia="zh-CN"/>
              </w:rPr>
            </m:ctrlPr>
          </m:sub>
        </m:sSub>
        <m:r>
          <m:rPr>
            <m:sty m:val="p"/>
          </m:rPr>
          <w:rPr>
            <w:rFonts w:hint="default" w:ascii="Times New Roman" w:hAnsi="Times New Roman" w:cs="Times New Roman"/>
            <w:sz w:val="21"/>
            <w:szCs w:val="21"/>
            <w:highlight w:val="none"/>
            <w:lang w:val="en-US" w:eastAsia="zh-CN"/>
          </w:rPr>
          <m:t>=</m:t>
        </m:r>
        <m:nary>
          <m:naryPr>
            <m:chr m:val="∑"/>
            <m:limLoc m:val="undOvr"/>
            <m:subHide m:val="1"/>
            <m:supHide m:val="1"/>
            <m:ctrlPr>
              <w:rPr>
                <w:rFonts w:hint="default" w:ascii="Cambria Math" w:hAnsi="Cambria Math" w:cs="Times New Roman"/>
                <w:i w:val="0"/>
                <w:iCs w:val="0"/>
                <w:sz w:val="21"/>
                <w:szCs w:val="21"/>
                <w:highlight w:val="none"/>
                <w:lang w:val="en-US" w:eastAsia="zh-CN"/>
              </w:rPr>
            </m:ctrlPr>
          </m:naryPr>
          <m:sub>
            <m:ctrlPr>
              <w:rPr>
                <w:rFonts w:hint="default" w:ascii="Cambria Math" w:hAnsi="Cambria Math" w:cs="Times New Roman"/>
                <w:i w:val="0"/>
                <w:iCs w:val="0"/>
                <w:sz w:val="21"/>
                <w:szCs w:val="21"/>
                <w:highlight w:val="none"/>
                <w:lang w:val="en-US" w:eastAsia="zh-CN"/>
              </w:rPr>
            </m:ctrlPr>
          </m:sub>
          <m:sup>
            <m:ctrlPr>
              <w:rPr>
                <w:rFonts w:hint="default" w:ascii="Cambria Math" w:hAnsi="Cambria Math" w:cs="Times New Roman"/>
                <w:i w:val="0"/>
                <w:iCs w:val="0"/>
                <w:sz w:val="21"/>
                <w:szCs w:val="21"/>
                <w:highlight w:val="none"/>
                <w:lang w:val="en-US" w:eastAsia="zh-CN"/>
              </w:rPr>
            </m:ctrlPr>
          </m:sup>
          <m:e>
            <m:sSub>
              <m:sSubPr>
                <m:ctrlPr>
                  <w:rPr>
                    <w:rFonts w:hint="default" w:ascii="Cambria Math" w:hAnsi="Cambria Math" w:cs="Times New Roman"/>
                    <w:i w:val="0"/>
                    <w:iCs w:val="0"/>
                    <w:sz w:val="21"/>
                    <w:szCs w:val="21"/>
                    <w:highlight w:val="none"/>
                    <w:lang w:val="en-US" w:eastAsia="zh-CN"/>
                  </w:rPr>
                </m:ctrlPr>
              </m:sSubPr>
              <m:e>
                <m:r>
                  <m:rPr>
                    <m:nor/>
                    <m:sty m:val="p"/>
                  </m:rPr>
                  <w:rPr>
                    <w:rFonts w:hint="default" w:ascii="Times New Roman" w:hAnsi="Times New Roman" w:cs="Times New Roman"/>
                    <w:b w:val="0"/>
                    <w:i w:val="0"/>
                    <w:iCs w:val="0"/>
                    <w:sz w:val="21"/>
                    <w:szCs w:val="21"/>
                    <w:highlight w:val="none"/>
                    <w:lang w:val="en-US" w:eastAsia="zh-CN"/>
                  </w:rPr>
                  <m:t>(</m:t>
                </m:r>
                <m:r>
                  <m:rPr>
                    <m:nor/>
                    <m:sty m:val="p"/>
                  </m:rPr>
                  <w:rPr>
                    <w:rFonts w:hint="default" w:ascii="Times New Roman" w:hAnsi="Times New Roman" w:cs="Times New Roman"/>
                    <w:b w:val="0"/>
                    <w:i w:val="0"/>
                    <w:sz w:val="21"/>
                    <w:szCs w:val="21"/>
                    <w:highlight w:val="none"/>
                    <w:lang w:val="en-US" w:eastAsia="zh-CN"/>
                  </w:rPr>
                  <m:t>M</m:t>
                </m:r>
                <m:ctrlPr>
                  <w:rPr>
                    <w:rFonts w:hint="default" w:ascii="Cambria Math" w:hAnsi="Cambria Math" w:cs="Times New Roman"/>
                    <w:i w:val="0"/>
                    <w:iCs w:val="0"/>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transport</m:t>
                </m:r>
                <m:ctrlPr>
                  <w:rPr>
                    <w:rFonts w:hint="default" w:ascii="Cambria Math" w:hAnsi="Cambria Math" w:cs="Times New Roman"/>
                    <w:i w:val="0"/>
                    <w:iCs w:val="0"/>
                    <w:sz w:val="21"/>
                    <w:szCs w:val="21"/>
                    <w:highlight w:val="none"/>
                    <w:lang w:val="en-US" w:eastAsia="zh-CN"/>
                  </w:rPr>
                </m:ctrlPr>
              </m:sub>
            </m:sSub>
            <m:r>
              <m:rPr>
                <m:nor/>
                <m:sty m:val="p"/>
              </m:rPr>
              <w:rPr>
                <w:rFonts w:hint="default" w:ascii="Times New Roman" w:hAnsi="Times New Roman" w:cs="Times New Roman"/>
                <w:b w:val="0"/>
                <w:i w:val="0"/>
                <w:iCs w:val="0"/>
                <w:sz w:val="21"/>
                <w:szCs w:val="21"/>
                <w:highlight w:val="none"/>
                <w:lang w:val="en-US" w:eastAsia="zh-CN"/>
              </w:rPr>
              <m:t xml:space="preserve"> </m:t>
            </m:r>
            <m:r>
              <m:rPr>
                <m:nor/>
                <m:sty m:val="p"/>
              </m:rPr>
              <w:rPr>
                <w:rFonts w:hint="default" w:ascii="Times New Roman" w:hAnsi="Times New Roman" w:cs="Times New Roman"/>
                <w:b w:val="0"/>
                <w:i w:val="0"/>
                <w:sz w:val="21"/>
                <w:szCs w:val="21"/>
                <w:highlight w:val="none"/>
                <w:lang w:val="en-US" w:eastAsia="zh-CN"/>
              </w:rPr>
              <m:t>×</m:t>
            </m:r>
            <m:sSub>
              <m:sSubPr>
                <m:ctrlPr>
                  <w:rPr>
                    <w:rFonts w:hint="default" w:ascii="Cambria Math" w:hAnsi="Cambria Math" w:cs="Times New Roman"/>
                    <w:i w:val="0"/>
                    <w:iCs w:val="0"/>
                    <w:sz w:val="21"/>
                    <w:szCs w:val="21"/>
                    <w:highlight w:val="none"/>
                    <w:lang w:val="en-US" w:eastAsia="zh-CN"/>
                  </w:rPr>
                </m:ctrlPr>
              </m:sSubPr>
              <m:e>
                <m:r>
                  <m:rPr>
                    <m:nor/>
                    <m:sty m:val="p"/>
                  </m:rPr>
                  <w:rPr>
                    <w:rFonts w:hint="default" w:ascii="Times New Roman" w:hAnsi="Times New Roman" w:cs="Times New Roman"/>
                    <w:b w:val="0"/>
                    <w:i w:val="0"/>
                    <w:sz w:val="21"/>
                    <w:szCs w:val="21"/>
                    <w:highlight w:val="none"/>
                    <w:lang w:val="en-US" w:eastAsia="zh-CN"/>
                  </w:rPr>
                  <m:t>D</m:t>
                </m:r>
                <m:ctrlPr>
                  <w:rPr>
                    <w:rFonts w:hint="default" w:ascii="Cambria Math" w:hAnsi="Cambria Math" w:cs="Times New Roman"/>
                    <w:i w:val="0"/>
                    <w:iCs w:val="0"/>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transport</m:t>
                </m:r>
                <m:ctrlPr>
                  <w:rPr>
                    <w:rFonts w:hint="default" w:ascii="Cambria Math" w:hAnsi="Cambria Math" w:cs="Times New Roman"/>
                    <w:i w:val="0"/>
                    <w:iCs w:val="0"/>
                    <w:sz w:val="21"/>
                    <w:szCs w:val="21"/>
                    <w:highlight w:val="none"/>
                    <w:lang w:val="en-US" w:eastAsia="zh-CN"/>
                  </w:rPr>
                </m:ctrlPr>
              </m:sub>
            </m:sSub>
            <m:r>
              <m:rPr>
                <m:nor/>
                <m:sty m:val="p"/>
              </m:rPr>
              <w:rPr>
                <w:rFonts w:hint="default" w:ascii="Times New Roman" w:hAnsi="Times New Roman" w:cs="Times New Roman"/>
                <w:b w:val="0"/>
                <w:i w:val="0"/>
                <w:sz w:val="21"/>
                <w:szCs w:val="21"/>
                <w:highlight w:val="none"/>
                <w:lang w:val="en-US" w:eastAsia="zh-CN"/>
              </w:rPr>
              <m:t>×</m:t>
            </m:r>
            <m:sSub>
              <m:sSubPr>
                <m:ctrlPr>
                  <w:rPr>
                    <w:rFonts w:hint="default" w:ascii="Cambria Math" w:hAnsi="Cambria Math" w:cs="Times New Roman"/>
                    <w:i w:val="0"/>
                    <w:iCs w:val="0"/>
                    <w:sz w:val="21"/>
                    <w:szCs w:val="21"/>
                    <w:highlight w:val="none"/>
                    <w:lang w:val="en-US" w:eastAsia="zh-CN"/>
                  </w:rPr>
                </m:ctrlPr>
              </m:sSubPr>
              <m:e>
                <m:r>
                  <m:rPr>
                    <m:nor/>
                    <m:sty m:val="p"/>
                  </m:rPr>
                  <w:rPr>
                    <w:rFonts w:hint="default" w:ascii="Times New Roman" w:hAnsi="Times New Roman" w:cs="Times New Roman"/>
                    <w:b w:val="0"/>
                    <w:i w:val="0"/>
                    <w:sz w:val="21"/>
                    <w:szCs w:val="21"/>
                    <w:highlight w:val="none"/>
                    <w:lang w:val="en-US" w:eastAsia="zh-CN"/>
                  </w:rPr>
                  <m:t>EF</m:t>
                </m:r>
                <m:ctrlPr>
                  <w:rPr>
                    <w:rFonts w:hint="default" w:ascii="Cambria Math" w:hAnsi="Cambria Math" w:cs="Times New Roman"/>
                    <w:i w:val="0"/>
                    <w:iCs w:val="0"/>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transport</m:t>
                </m:r>
                <m:ctrlPr>
                  <w:rPr>
                    <w:rFonts w:hint="default" w:ascii="Cambria Math" w:hAnsi="Cambria Math" w:cs="Times New Roman"/>
                    <w:i w:val="0"/>
                    <w:iCs w:val="0"/>
                    <w:sz w:val="21"/>
                    <w:szCs w:val="21"/>
                    <w:highlight w:val="none"/>
                    <w:lang w:val="en-US" w:eastAsia="zh-CN"/>
                  </w:rPr>
                </m:ctrlPr>
              </m:sub>
            </m:sSub>
            <m:r>
              <m:rPr>
                <m:nor/>
                <m:sty m:val="p"/>
              </m:rPr>
              <w:rPr>
                <w:rFonts w:hint="default" w:ascii="Times New Roman" w:hAnsi="Times New Roman" w:cs="Times New Roman"/>
                <w:b w:val="0"/>
                <w:i w:val="0"/>
                <w:iCs w:val="0"/>
                <w:sz w:val="21"/>
                <w:szCs w:val="21"/>
                <w:highlight w:val="none"/>
                <w:lang w:val="en-US" w:eastAsia="zh-CN"/>
              </w:rPr>
              <m:t>)</m:t>
            </m:r>
            <m:ctrlPr>
              <w:rPr>
                <w:rFonts w:hint="default" w:ascii="Cambria Math" w:hAnsi="Cambria Math" w:cs="Times New Roman"/>
                <w:i w:val="0"/>
                <w:iCs w:val="0"/>
                <w:sz w:val="21"/>
                <w:szCs w:val="21"/>
                <w:highlight w:val="none"/>
                <w:lang w:val="en-US" w:eastAsia="zh-CN"/>
              </w:rPr>
            </m:ctrlPr>
          </m:e>
        </m:nary>
      </m:oMath>
      <w:r>
        <w:rPr>
          <w:rFonts w:hint="eastAsia" w:ascii="微软雅黑" w:hAnsi="微软雅黑" w:eastAsia="微软雅黑" w:cs="微软雅黑"/>
          <w:highlight w:val="none"/>
          <w:lang w:val="en-US" w:eastAsia="zh-CN"/>
        </w:rPr>
        <w:tab/>
      </w:r>
      <w:r>
        <w:rPr>
          <w:rFonts w:hint="eastAsia"/>
          <w:highlight w:val="none"/>
          <w:lang w:val="en-US" w:eastAsia="zh-CN"/>
        </w:rPr>
        <w:t>(</w:t>
      </w:r>
      <w:r>
        <w:rPr>
          <w:rFonts w:hint="eastAsia"/>
          <w:highlight w:val="none"/>
          <w:lang w:val="en-US" w:eastAsia="zh-CN"/>
        </w:rPr>
        <w:fldChar w:fldCharType="begin"/>
      </w:r>
      <w:r>
        <w:rPr>
          <w:rFonts w:hint="eastAsia"/>
          <w:highlight w:val="none"/>
          <w:lang w:val="en-US" w:eastAsia="zh-CN"/>
        </w:rPr>
        <w:instrText xml:space="preserve"> SEQ 公式 \* ARABIC </w:instrText>
      </w:r>
      <w:r>
        <w:rPr>
          <w:rFonts w:hint="eastAsia"/>
          <w:highlight w:val="none"/>
          <w:lang w:val="en-US" w:eastAsia="zh-CN"/>
        </w:rPr>
        <w:fldChar w:fldCharType="separate"/>
      </w:r>
      <w:r>
        <w:rPr>
          <w:rFonts w:hint="eastAsia"/>
          <w:highlight w:val="none"/>
          <w:lang w:val="en-US" w:eastAsia="zh-CN"/>
        </w:rPr>
        <w:t>5</w:t>
      </w:r>
      <w:r>
        <w:rPr>
          <w:rFonts w:hint="eastAsia"/>
          <w:highlight w:val="none"/>
          <w:lang w:val="en-US" w:eastAsia="zh-CN"/>
        </w:rPr>
        <w:fldChar w:fldCharType="end"/>
      </w:r>
      <w:r>
        <w:rPr>
          <w:rFonts w:hint="eastAsia"/>
          <w:highlight w:val="none"/>
          <w:lang w:val="en-US" w:eastAsia="zh-CN"/>
        </w:rPr>
        <w:t>)</w:t>
      </w:r>
    </w:p>
    <w:p w14:paraId="0168BF89">
      <w:pPr>
        <w:pStyle w:val="63"/>
        <w:rPr>
          <w:rFonts w:hint="default"/>
          <w:highlight w:val="none"/>
          <w:lang w:val="en-US" w:eastAsia="zh-CN"/>
        </w:rPr>
      </w:pPr>
      <w:r>
        <w:rPr>
          <w:rFonts w:hint="eastAsia"/>
          <w:highlight w:val="none"/>
          <w:lang w:val="en-US" w:eastAsia="zh-CN"/>
        </w:rPr>
        <w:t>式中：</w:t>
      </w:r>
    </w:p>
    <w:p w14:paraId="08B425BC">
      <w:pPr>
        <w:pStyle w:val="39"/>
        <w:bidi w:val="0"/>
        <w:rPr>
          <w:rFonts w:hint="default" w:ascii="Times New Roman" w:hAnsi="Times New Roman" w:cs="Times New Roman"/>
          <w:b w:val="0"/>
          <w:i w:val="0"/>
          <w:iCs/>
          <w:sz w:val="21"/>
          <w:szCs w:val="21"/>
          <w:highlight w:val="none"/>
          <w:lang w:val="en-US" w:eastAsia="zh-CN"/>
        </w:rPr>
      </w:pPr>
      <m:oMath>
        <m:sSub>
          <m:sSubPr>
            <m:ctrlPr>
              <w:rPr>
                <w:rFonts w:hint="default" w:ascii="Cambria Math" w:hAnsi="Cambria Math" w:cs="Times New Roman"/>
                <w:b w:val="0"/>
                <w:i w:val="0"/>
                <w:iCs/>
                <w:sz w:val="21"/>
                <w:szCs w:val="21"/>
                <w:highlight w:val="none"/>
                <w:lang w:val="en-US" w:eastAsia="zh-CN"/>
              </w:rPr>
            </m:ctrlPr>
          </m:sSubPr>
          <m:e>
            <m:r>
              <m:rPr>
                <m:nor/>
                <m:sty m:val="p"/>
              </m:rPr>
              <w:rPr>
                <w:rFonts w:hint="default" w:ascii="Times New Roman" w:hAnsi="Times New Roman" w:cs="Times New Roman"/>
                <w:b w:val="0"/>
                <w:i w:val="0"/>
                <w:sz w:val="21"/>
                <w:szCs w:val="21"/>
                <w:highlight w:val="none"/>
                <w:lang w:val="en-US" w:eastAsia="zh-CN"/>
              </w:rPr>
              <m:t>M</m:t>
            </m:r>
            <m:ctrlPr>
              <w:rPr>
                <w:rFonts w:hint="default" w:ascii="Cambria Math" w:hAnsi="Cambria Math" w:cs="Times New Roman"/>
                <w:b w:val="0"/>
                <w:i w:val="0"/>
                <w:iCs/>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transport</m:t>
            </m:r>
            <m:ctrlPr>
              <w:rPr>
                <w:rFonts w:hint="default" w:ascii="Cambria Math" w:hAnsi="Cambria Math" w:cs="Times New Roman"/>
                <w:b w:val="0"/>
                <w:i w:val="0"/>
                <w:iCs/>
                <w:sz w:val="21"/>
                <w:szCs w:val="21"/>
                <w:highlight w:val="none"/>
                <w:lang w:val="en-US" w:eastAsia="zh-CN"/>
              </w:rPr>
            </m:ctrlPr>
          </m:sub>
        </m:sSub>
      </m:oMath>
      <w:r>
        <w:rPr>
          <w:rFonts w:hint="default" w:ascii="Times New Roman" w:hAnsi="Times New Roman" w:cs="Times New Roman"/>
          <w:b w:val="0"/>
          <w:i w:val="0"/>
          <w:iCs/>
          <w:sz w:val="21"/>
          <w:szCs w:val="21"/>
          <w:highlight w:val="none"/>
          <w:lang w:val="en-US" w:eastAsia="zh-CN"/>
        </w:rPr>
        <w:t>——农业投入品、包装材料及废弃物的运输量（t）；</w:t>
      </w:r>
    </w:p>
    <w:p w14:paraId="37298CFB">
      <w:pPr>
        <w:pStyle w:val="39"/>
        <w:bidi w:val="0"/>
        <w:rPr>
          <w:rFonts w:hint="default" w:ascii="Times New Roman" w:hAnsi="Times New Roman" w:cs="Times New Roman"/>
          <w:b w:val="0"/>
          <w:i w:val="0"/>
          <w:iCs/>
          <w:sz w:val="21"/>
          <w:szCs w:val="21"/>
          <w:highlight w:val="none"/>
          <w:lang w:val="en-US" w:eastAsia="zh-CN"/>
        </w:rPr>
      </w:pPr>
      <m:oMath>
        <m:sSub>
          <m:sSubPr>
            <m:ctrlPr>
              <w:rPr>
                <w:rFonts w:hint="default" w:ascii="Cambria Math" w:hAnsi="Cambria Math" w:cs="Times New Roman"/>
                <w:b w:val="0"/>
                <w:i w:val="0"/>
                <w:iCs/>
                <w:sz w:val="21"/>
                <w:szCs w:val="21"/>
                <w:highlight w:val="none"/>
                <w:lang w:val="en-US" w:eastAsia="zh-CN"/>
              </w:rPr>
            </m:ctrlPr>
          </m:sSubPr>
          <m:e>
            <m:r>
              <m:rPr>
                <m:nor/>
                <m:sty m:val="p"/>
              </m:rPr>
              <w:rPr>
                <w:rFonts w:hint="default" w:ascii="Times New Roman" w:hAnsi="Times New Roman" w:cs="Times New Roman"/>
                <w:b w:val="0"/>
                <w:i w:val="0"/>
                <w:sz w:val="21"/>
                <w:szCs w:val="21"/>
                <w:highlight w:val="none"/>
                <w:lang w:val="en-US" w:eastAsia="zh-CN"/>
              </w:rPr>
              <m:t>D</m:t>
            </m:r>
            <m:ctrlPr>
              <w:rPr>
                <w:rFonts w:hint="default" w:ascii="Cambria Math" w:hAnsi="Cambria Math" w:cs="Times New Roman"/>
                <w:b w:val="0"/>
                <w:i w:val="0"/>
                <w:iCs/>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transport</m:t>
            </m:r>
            <m:ctrlPr>
              <w:rPr>
                <w:rFonts w:hint="default" w:ascii="Cambria Math" w:hAnsi="Cambria Math" w:cs="Times New Roman"/>
                <w:b w:val="0"/>
                <w:i w:val="0"/>
                <w:iCs/>
                <w:sz w:val="21"/>
                <w:szCs w:val="21"/>
                <w:highlight w:val="none"/>
                <w:lang w:val="en-US" w:eastAsia="zh-CN"/>
              </w:rPr>
            </m:ctrlPr>
          </m:sub>
        </m:sSub>
      </m:oMath>
      <w:r>
        <w:rPr>
          <w:rFonts w:hint="default" w:ascii="Times New Roman" w:hAnsi="Times New Roman" w:cs="Times New Roman"/>
          <w:b w:val="0"/>
          <w:i w:val="0"/>
          <w:iCs/>
          <w:sz w:val="21"/>
          <w:szCs w:val="21"/>
          <w:highlight w:val="none"/>
          <w:lang w:val="en-US" w:eastAsia="zh-CN"/>
        </w:rPr>
        <w:t>——运输距离（km）；</w:t>
      </w:r>
    </w:p>
    <w:p w14:paraId="5091AAF7">
      <w:pPr>
        <w:pStyle w:val="39"/>
        <w:bidi w:val="0"/>
        <w:rPr>
          <w:rFonts w:hint="default" w:ascii="Times New Roman" w:hAnsi="Times New Roman" w:cs="Times New Roman"/>
          <w:b w:val="0"/>
          <w:i w:val="0"/>
          <w:iCs/>
          <w:sz w:val="21"/>
          <w:szCs w:val="21"/>
          <w:highlight w:val="none"/>
          <w:lang w:val="en-US" w:eastAsia="zh-CN"/>
        </w:rPr>
      </w:pPr>
      <m:oMath>
        <m:sSub>
          <m:sSubPr>
            <m:ctrlPr>
              <w:rPr>
                <w:rFonts w:hint="default" w:ascii="Cambria Math" w:hAnsi="Cambria Math" w:cs="Times New Roman"/>
                <w:b w:val="0"/>
                <w:i w:val="0"/>
                <w:iCs/>
                <w:sz w:val="21"/>
                <w:szCs w:val="21"/>
                <w:highlight w:val="none"/>
                <w:lang w:val="en-US" w:eastAsia="zh-CN"/>
              </w:rPr>
            </m:ctrlPr>
          </m:sSubPr>
          <m:e>
            <m:r>
              <m:rPr>
                <m:nor/>
                <m:sty m:val="p"/>
              </m:rPr>
              <w:rPr>
                <w:rFonts w:hint="default" w:ascii="Times New Roman" w:hAnsi="Times New Roman" w:cs="Times New Roman"/>
                <w:b w:val="0"/>
                <w:i w:val="0"/>
                <w:sz w:val="21"/>
                <w:szCs w:val="21"/>
                <w:highlight w:val="none"/>
                <w:lang w:val="en-US" w:eastAsia="zh-CN"/>
              </w:rPr>
              <m:t>EF</m:t>
            </m:r>
            <m:ctrlPr>
              <w:rPr>
                <w:rFonts w:hint="default" w:ascii="Cambria Math" w:hAnsi="Cambria Math" w:cs="Times New Roman"/>
                <w:b w:val="0"/>
                <w:i w:val="0"/>
                <w:iCs/>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transport</m:t>
            </m:r>
            <m:ctrlPr>
              <w:rPr>
                <w:rFonts w:hint="default" w:ascii="Cambria Math" w:hAnsi="Cambria Math" w:cs="Times New Roman"/>
                <w:b w:val="0"/>
                <w:i w:val="0"/>
                <w:iCs/>
                <w:sz w:val="21"/>
                <w:szCs w:val="21"/>
                <w:highlight w:val="none"/>
                <w:lang w:val="en-US" w:eastAsia="zh-CN"/>
              </w:rPr>
            </m:ctrlPr>
          </m:sub>
        </m:sSub>
      </m:oMath>
      <w:r>
        <w:rPr>
          <w:rFonts w:hint="default" w:ascii="Times New Roman" w:hAnsi="Times New Roman" w:cs="Times New Roman"/>
          <w:b w:val="0"/>
          <w:i w:val="0"/>
          <w:iCs/>
          <w:sz w:val="21"/>
          <w:szCs w:val="21"/>
          <w:highlight w:val="none"/>
          <w:lang w:val="en-US" w:eastAsia="zh-CN"/>
        </w:rPr>
        <w:t>——相应运输方式的排放因子（kg CO</w:t>
      </w:r>
      <w:r>
        <w:rPr>
          <w:rFonts w:hint="default" w:ascii="Times New Roman" w:hAnsi="Times New Roman" w:cs="Times New Roman"/>
          <w:b w:val="0"/>
          <w:i w:val="0"/>
          <w:iCs/>
          <w:sz w:val="21"/>
          <w:szCs w:val="21"/>
          <w:highlight w:val="none"/>
          <w:vertAlign w:val="subscript"/>
          <w:lang w:val="en-US" w:eastAsia="zh-CN"/>
        </w:rPr>
        <w:t>2</w:t>
      </w:r>
      <w:r>
        <w:rPr>
          <w:rFonts w:hint="default" w:ascii="Times New Roman" w:hAnsi="Times New Roman" w:cs="Times New Roman"/>
          <w:b w:val="0"/>
          <w:i w:val="0"/>
          <w:iCs/>
          <w:sz w:val="21"/>
          <w:szCs w:val="21"/>
          <w:highlight w:val="none"/>
          <w:lang w:val="en-US" w:eastAsia="zh-CN"/>
        </w:rPr>
        <w:t>e/(t·km)）。</w:t>
      </w:r>
    </w:p>
    <w:p w14:paraId="36C3024F">
      <w:pPr>
        <w:pStyle w:val="108"/>
        <w:bidi w:val="0"/>
        <w:rPr>
          <w:highlight w:val="none"/>
        </w:rPr>
      </w:pPr>
      <w:bookmarkStart w:id="75" w:name="_Toc23972"/>
      <w:r>
        <w:rPr>
          <w:rFonts w:hint="eastAsia"/>
          <w:highlight w:val="none"/>
          <w:lang w:val="en-US" w:eastAsia="zh-CN"/>
        </w:rPr>
        <w:t>生产</w:t>
      </w:r>
      <w:r>
        <w:rPr>
          <w:highlight w:val="none"/>
        </w:rPr>
        <w:t>阶段 GHG 排放量</w:t>
      </w:r>
      <w:bookmarkEnd w:id="75"/>
    </w:p>
    <w:p w14:paraId="6B7430A0">
      <w:pPr>
        <w:pStyle w:val="39"/>
        <w:bidi w:val="0"/>
        <w:rPr>
          <w:rFonts w:hint="default" w:ascii="Times New Roman" w:hAnsi="Times New Roman" w:eastAsia="宋体" w:cs="Times New Roman"/>
          <w:b w:val="0"/>
          <w:i w:val="0"/>
          <w:kern w:val="2"/>
          <w:sz w:val="21"/>
          <w:szCs w:val="21"/>
          <w:highlight w:val="none"/>
          <w:lang w:val="en-US" w:eastAsia="zh-CN" w:bidi="ar-SA"/>
        </w:rPr>
      </w:pPr>
      <w:r>
        <w:rPr>
          <w:rFonts w:hint="default" w:ascii="Times New Roman" w:hAnsi="Times New Roman" w:eastAsia="宋体" w:cs="Times New Roman"/>
          <w:b w:val="0"/>
          <w:i w:val="0"/>
          <w:kern w:val="2"/>
          <w:sz w:val="21"/>
          <w:szCs w:val="21"/>
          <w:highlight w:val="none"/>
          <w:lang w:val="en-US" w:eastAsia="zh-CN" w:bidi="ar-SA"/>
        </w:rPr>
        <w:t>神湾菠萝生产阶段包括种植阶段与包装阶段，其 GHG 排放总量按式汇总：</w:t>
      </w:r>
    </w:p>
    <w:p w14:paraId="0A0B3809">
      <w:pPr>
        <w:pStyle w:val="116"/>
        <w:bidi w:val="0"/>
        <w:rPr>
          <w:rFonts w:hint="eastAsia"/>
          <w:highlight w:val="none"/>
          <w:lang w:val="en-US" w:eastAsia="zh-CN"/>
        </w:rPr>
      </w:pPr>
      <w:r>
        <w:rPr>
          <w:rFonts w:hint="eastAsia"/>
          <w:highlight w:val="none"/>
          <w:lang w:val="en-US" w:eastAsia="zh-CN"/>
        </w:rPr>
        <w:tab/>
      </w: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production</m:t>
            </m:r>
            <m:ctrlPr>
              <w:rPr>
                <w:rFonts w:hint="default" w:ascii="Cambria Math" w:hAnsi="Cambria Math" w:cs="Times New Roman"/>
                <w:i w:val="0"/>
                <w:iCs w:val="0"/>
                <w:sz w:val="21"/>
                <w:highlight w:val="none"/>
              </w:rPr>
            </m:ctrlPr>
          </m:sub>
        </m:sSub>
        <m:r>
          <m:rPr>
            <m:sty m:val="p"/>
          </m:rPr>
          <w:rPr>
            <w:rFonts w:hint="default" w:ascii="Times New Roman" w:hAnsi="Times New Roman" w:eastAsia="宋体" w:cs="Times New Roman"/>
            <w:sz w:val="21"/>
            <w:highlight w:val="none"/>
          </w:rPr>
          <m:t>=</m:t>
        </m:r>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planting</m:t>
            </m:r>
            <m:ctrlPr>
              <w:rPr>
                <w:rFonts w:hint="default" w:ascii="Cambria Math" w:hAnsi="Cambria Math" w:cs="Times New Roman"/>
                <w:i w:val="0"/>
                <w:iCs w:val="0"/>
                <w:sz w:val="21"/>
                <w:highlight w:val="none"/>
              </w:rPr>
            </m:ctrlPr>
          </m:sub>
        </m:sSub>
        <m:r>
          <m:rPr>
            <m:sty m:val="p"/>
          </m:rPr>
          <w:rPr>
            <w:rFonts w:hint="default" w:ascii="Times New Roman" w:hAnsi="Times New Roman" w:eastAsia="宋体" w:cs="Times New Roman"/>
            <w:sz w:val="21"/>
            <w:highlight w:val="none"/>
          </w:rPr>
          <m:t>+</m:t>
        </m:r>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package</m:t>
            </m:r>
            <m:ctrlPr>
              <w:rPr>
                <w:rFonts w:hint="default" w:ascii="Cambria Math" w:hAnsi="Cambria Math" w:cs="Times New Roman"/>
                <w:i w:val="0"/>
                <w:iCs w:val="0"/>
                <w:sz w:val="21"/>
                <w:highlight w:val="none"/>
              </w:rPr>
            </m:ctrlPr>
          </m:sub>
        </m:sSub>
      </m:oMath>
      <w:r>
        <w:rPr>
          <w:rFonts w:hint="eastAsia" w:ascii="微软雅黑" w:hAnsi="微软雅黑" w:eastAsia="微软雅黑" w:cs="微软雅黑"/>
          <w:highlight w:val="none"/>
          <w:lang w:val="en-US" w:eastAsia="zh-CN"/>
        </w:rPr>
        <w:tab/>
      </w:r>
      <w:r>
        <w:rPr>
          <w:rFonts w:hint="eastAsia"/>
          <w:highlight w:val="none"/>
          <w:lang w:val="en-US" w:eastAsia="zh-CN"/>
        </w:rPr>
        <w:t>(</w:t>
      </w:r>
      <w:r>
        <w:rPr>
          <w:rFonts w:hint="eastAsia"/>
          <w:highlight w:val="none"/>
          <w:lang w:val="en-US" w:eastAsia="zh-CN"/>
        </w:rPr>
        <w:fldChar w:fldCharType="begin"/>
      </w:r>
      <w:r>
        <w:rPr>
          <w:rFonts w:hint="eastAsia"/>
          <w:highlight w:val="none"/>
          <w:lang w:val="en-US" w:eastAsia="zh-CN"/>
        </w:rPr>
        <w:instrText xml:space="preserve"> SEQ 公式 \* ARABIC </w:instrText>
      </w:r>
      <w:r>
        <w:rPr>
          <w:rFonts w:hint="eastAsia"/>
          <w:highlight w:val="none"/>
          <w:lang w:val="en-US" w:eastAsia="zh-CN"/>
        </w:rPr>
        <w:fldChar w:fldCharType="separate"/>
      </w:r>
      <w:r>
        <w:rPr>
          <w:rFonts w:hint="eastAsia"/>
          <w:highlight w:val="none"/>
          <w:lang w:val="en-US" w:eastAsia="zh-CN"/>
        </w:rPr>
        <w:t>6</w:t>
      </w:r>
      <w:r>
        <w:rPr>
          <w:rFonts w:hint="eastAsia"/>
          <w:highlight w:val="none"/>
          <w:lang w:val="en-US" w:eastAsia="zh-CN"/>
        </w:rPr>
        <w:fldChar w:fldCharType="end"/>
      </w:r>
      <w:r>
        <w:rPr>
          <w:rFonts w:hint="eastAsia"/>
          <w:highlight w:val="none"/>
          <w:lang w:val="en-US" w:eastAsia="zh-CN"/>
        </w:rPr>
        <w:t>)</w:t>
      </w:r>
    </w:p>
    <w:p w14:paraId="2C256164">
      <w:pPr>
        <w:pStyle w:val="63"/>
        <w:rPr>
          <w:rFonts w:hint="default"/>
          <w:highlight w:val="none"/>
          <w:lang w:val="en-US" w:eastAsia="zh-CN"/>
        </w:rPr>
      </w:pPr>
      <w:r>
        <w:rPr>
          <w:rFonts w:hint="eastAsia"/>
          <w:highlight w:val="none"/>
          <w:lang w:val="en-US" w:eastAsia="zh-CN"/>
        </w:rPr>
        <w:t>式中：</w:t>
      </w:r>
    </w:p>
    <w:p w14:paraId="57108648">
      <w:pPr>
        <w:pStyle w:val="39"/>
        <w:bidi w:val="0"/>
        <w:rPr>
          <w:rFonts w:hint="default" w:ascii="Times New Roman" w:hAnsi="Times New Roman" w:cs="Times New Roman"/>
          <w:b w:val="0"/>
          <w:i w:val="0"/>
          <w:iCs/>
          <w:sz w:val="21"/>
          <w:szCs w:val="21"/>
          <w:highlight w:val="none"/>
          <w:lang w:val="en-US" w:eastAsia="zh-CN"/>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planting</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——种植阶段 GHG 排放量（kg CO</w:t>
      </w:r>
      <w:r>
        <w:rPr>
          <w:rFonts w:hint="eastAsia" w:cs="Times New Roman"/>
          <w:b w:val="0"/>
          <w:i w:val="0"/>
          <w:iCs/>
          <w:sz w:val="21"/>
          <w:szCs w:val="21"/>
          <w:highlight w:val="none"/>
          <w:vertAlign w:val="subscript"/>
          <w:lang w:val="en-US" w:eastAsia="zh-CN"/>
        </w:rPr>
        <w:t>2</w:t>
      </w:r>
      <w:r>
        <w:rPr>
          <w:rFonts w:hint="default" w:ascii="Times New Roman" w:hAnsi="Times New Roman" w:cs="Times New Roman"/>
          <w:b w:val="0"/>
          <w:i w:val="0"/>
          <w:iCs/>
          <w:sz w:val="21"/>
          <w:szCs w:val="21"/>
          <w:highlight w:val="none"/>
          <w:lang w:val="en-US" w:eastAsia="zh-CN"/>
        </w:rPr>
        <w:t>e）；</w:t>
      </w:r>
    </w:p>
    <w:p w14:paraId="4A5CB525">
      <w:pPr>
        <w:pStyle w:val="39"/>
        <w:bidi w:val="0"/>
        <w:rPr>
          <w:rFonts w:hint="default" w:ascii="Times New Roman" w:hAnsi="Times New Roman" w:eastAsia="宋体" w:cs="Times New Roman"/>
          <w:b w:val="0"/>
          <w:i w:val="0"/>
          <w:kern w:val="2"/>
          <w:sz w:val="21"/>
          <w:szCs w:val="21"/>
          <w:highlight w:val="none"/>
          <w:lang w:val="en-US" w:eastAsia="zh-CN" w:bidi="ar-SA"/>
        </w:rPr>
      </w:pPr>
      <m:oMath>
        <m:sSub>
          <m:sSubPr>
            <m:ctrlPr>
              <w:rPr>
                <w:rFonts w:hint="default" w:ascii="Cambria Math" w:hAnsi="Cambria Math" w:cs="Times New Roman"/>
                <w:i w:val="0"/>
                <w:iCs w:val="0"/>
                <w:sz w:val="21"/>
                <w:highlight w:val="none"/>
              </w:rPr>
            </m:ctrlPr>
          </m:sSubPr>
          <m:e>
            <m:r>
              <m:rPr>
                <m:nor/>
                <m:sty m:val="p"/>
              </m:rPr>
              <w:rPr>
                <w:rFonts w:hint="default" w:ascii="Times New Roman" w:hAnsi="Times New Roman" w:eastAsia="宋体" w:cs="Times New Roman"/>
                <w:b w:val="0"/>
                <w:i w:val="0"/>
                <w:sz w:val="21"/>
                <w:highlight w:val="none"/>
              </w:rPr>
              <m:t>CE</m:t>
            </m:r>
            <m:ctrlPr>
              <w:rPr>
                <w:rFonts w:hint="default" w:ascii="Cambria Math" w:hAnsi="Cambria Math" w:cs="Times New Roman"/>
                <w:i w:val="0"/>
                <w:iCs w:val="0"/>
                <w:sz w:val="21"/>
                <w:highlight w:val="none"/>
              </w:rPr>
            </m:ctrlPr>
          </m:e>
          <m:sub>
            <m:r>
              <m:rPr>
                <m:nor/>
                <m:sty m:val="p"/>
              </m:rPr>
              <w:rPr>
                <w:rFonts w:hint="default" w:ascii="Times New Roman" w:hAnsi="Times New Roman" w:eastAsia="宋体" w:cs="Times New Roman"/>
                <w:b w:val="0"/>
                <w:i w:val="0"/>
                <w:sz w:val="21"/>
                <w:highlight w:val="none"/>
              </w:rPr>
              <m:t>package</m:t>
            </m:r>
            <m:ctrlPr>
              <w:rPr>
                <w:rFonts w:hint="default" w:ascii="Cambria Math" w:hAnsi="Cambria Math" w:cs="Times New Roman"/>
                <w:i w:val="0"/>
                <w:iCs w:val="0"/>
                <w:sz w:val="21"/>
                <w:highlight w:val="none"/>
              </w:rPr>
            </m:ctrlPr>
          </m:sub>
        </m:sSub>
      </m:oMath>
      <w:r>
        <w:rPr>
          <w:rFonts w:hint="default" w:ascii="Times New Roman" w:hAnsi="Times New Roman" w:cs="Times New Roman"/>
          <w:b w:val="0"/>
          <w:i w:val="0"/>
          <w:iCs/>
          <w:sz w:val="21"/>
          <w:szCs w:val="21"/>
          <w:highlight w:val="none"/>
          <w:lang w:val="en-US" w:eastAsia="zh-CN"/>
        </w:rPr>
        <w:t>——包装阶段 GHG 排放量（kg CO</w:t>
      </w:r>
      <w:r>
        <w:rPr>
          <w:rFonts w:hint="eastAsia" w:cs="Times New Roman"/>
          <w:b w:val="0"/>
          <w:i w:val="0"/>
          <w:iCs/>
          <w:sz w:val="21"/>
          <w:szCs w:val="21"/>
          <w:highlight w:val="none"/>
          <w:vertAlign w:val="subscript"/>
          <w:lang w:val="en-US" w:eastAsia="zh-CN"/>
        </w:rPr>
        <w:t>2</w:t>
      </w:r>
      <w:r>
        <w:rPr>
          <w:rFonts w:hint="default" w:ascii="Times New Roman" w:hAnsi="Times New Roman" w:cs="Times New Roman"/>
          <w:b w:val="0"/>
          <w:i w:val="0"/>
          <w:iCs/>
          <w:sz w:val="21"/>
          <w:szCs w:val="21"/>
          <w:highlight w:val="none"/>
          <w:lang w:val="en-US" w:eastAsia="zh-CN"/>
        </w:rPr>
        <w:t>e）；</w:t>
      </w:r>
    </w:p>
    <w:p w14:paraId="58BEA81D">
      <w:pPr>
        <w:pStyle w:val="38"/>
        <w:bidi w:val="0"/>
        <w:rPr>
          <w:rFonts w:hint="default"/>
          <w:highlight w:val="none"/>
          <w:lang w:val="en-US" w:eastAsia="zh-CN"/>
        </w:rPr>
      </w:pPr>
      <w:r>
        <w:rPr>
          <w:highlight w:val="none"/>
        </w:rPr>
        <w:t>种植阶段 GHG 排放量</w:t>
      </w:r>
    </w:p>
    <w:p w14:paraId="07DF61DE">
      <w:pPr>
        <w:pStyle w:val="39"/>
        <w:bidi w:val="0"/>
        <w:rPr>
          <w:rFonts w:hint="default" w:ascii="Times New Roman" w:hAnsi="Times New Roman" w:eastAsia="宋体"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神湾菠萝种植阶段 GHG 排放源包括：</w:t>
      </w:r>
      <w:r>
        <w:rPr>
          <w:rFonts w:hint="default" w:ascii="Times New Roman" w:hAnsi="Times New Roman" w:cs="Times New Roman"/>
          <w:b w:val="0"/>
          <w:i w:val="0"/>
          <w:kern w:val="2"/>
          <w:sz w:val="21"/>
          <w:szCs w:val="21"/>
          <w:lang w:val="en-US" w:eastAsia="zh-CN" w:bidi="ar-SA"/>
        </w:rPr>
        <w:t xml:space="preserve">种植过程的 </w:t>
      </w:r>
      <w:r>
        <w:rPr>
          <w:rFonts w:hint="default" w:ascii="Times New Roman" w:hAnsi="Times New Roman" w:eastAsia="宋体" w:cs="Times New Roman"/>
          <w:b w:val="0"/>
          <w:i w:val="0"/>
          <w:sz w:val="21"/>
          <w:szCs w:val="21"/>
        </w:rPr>
        <w:t>N</w:t>
      </w:r>
      <w:r>
        <w:rPr>
          <w:rFonts w:hint="default" w:ascii="Times New Roman" w:hAnsi="Times New Roman" w:eastAsia="宋体" w:cs="Times New Roman"/>
          <w:b w:val="0"/>
          <w:i w:val="0"/>
          <w:sz w:val="21"/>
          <w:szCs w:val="21"/>
          <w:vertAlign w:val="subscript"/>
        </w:rPr>
        <w:t>2</w:t>
      </w:r>
      <w:r>
        <w:rPr>
          <w:rFonts w:hint="default" w:ascii="Times New Roman" w:hAnsi="Times New Roman" w:eastAsia="宋体" w:cs="Times New Roman"/>
          <w:b w:val="0"/>
          <w:i w:val="0"/>
          <w:sz w:val="21"/>
          <w:szCs w:val="21"/>
        </w:rPr>
        <w:t>O</w:t>
      </w:r>
      <w:r>
        <w:rPr>
          <w:rFonts w:hint="default" w:ascii="Times New Roman" w:hAnsi="Times New Roman" w:cs="Times New Roman"/>
          <w:b w:val="0"/>
          <w:i w:val="0"/>
          <w:sz w:val="21"/>
          <w:szCs w:val="21"/>
          <w:lang w:val="en-US" w:eastAsia="zh-CN"/>
        </w:rPr>
        <w:t xml:space="preserve"> </w:t>
      </w:r>
      <w:r>
        <w:rPr>
          <w:rFonts w:hint="default" w:ascii="Times New Roman" w:hAnsi="Times New Roman" w:eastAsia="宋体" w:cs="Times New Roman"/>
          <w:b w:val="0"/>
          <w:i w:val="0"/>
          <w:sz w:val="21"/>
          <w:szCs w:val="21"/>
        </w:rPr>
        <w:t>排放量</w:t>
      </w:r>
      <w:r>
        <w:rPr>
          <w:rFonts w:hint="default" w:ascii="Times New Roman" w:hAnsi="Times New Roman" w:cs="Times New Roman"/>
          <w:b w:val="0"/>
          <w:i w:val="0"/>
          <w:kern w:val="2"/>
          <w:sz w:val="21"/>
          <w:szCs w:val="21"/>
          <w:lang w:val="en-US" w:eastAsia="zh-CN" w:bidi="ar-SA"/>
        </w:rPr>
        <w:t>、</w:t>
      </w:r>
      <w:r>
        <w:rPr>
          <w:rFonts w:hint="default" w:ascii="Times New Roman" w:hAnsi="Times New Roman" w:eastAsia="宋体" w:cs="Times New Roman"/>
          <w:b w:val="0"/>
          <w:i w:val="0"/>
          <w:kern w:val="2"/>
          <w:sz w:val="21"/>
          <w:szCs w:val="21"/>
          <w:lang w:val="en-US" w:eastAsia="zh-CN" w:bidi="ar-SA"/>
        </w:rPr>
        <w:t>农机耗能排放等；同时计入</w:t>
      </w:r>
      <w:r>
        <w:rPr>
          <w:rFonts w:hint="eastAsia" w:ascii="Times New Roman" w:hAnsi="Times New Roman" w:cs="Times New Roman"/>
          <w:b w:val="0"/>
          <w:i w:val="0"/>
          <w:kern w:val="2"/>
          <w:sz w:val="21"/>
          <w:szCs w:val="21"/>
          <w:lang w:val="en-US" w:eastAsia="zh-CN" w:bidi="ar-SA"/>
        </w:rPr>
        <w:t>碳汇量</w:t>
      </w:r>
      <w:r>
        <w:rPr>
          <w:rFonts w:hint="default" w:ascii="Times New Roman" w:hAnsi="Times New Roman" w:eastAsia="宋体" w:cs="Times New Roman"/>
          <w:b w:val="0"/>
          <w:i w:val="0"/>
          <w:kern w:val="2"/>
          <w:sz w:val="21"/>
          <w:szCs w:val="21"/>
          <w:lang w:val="en-US" w:eastAsia="zh-CN" w:bidi="ar-SA"/>
        </w:rPr>
        <w:t>。种植阶段</w:t>
      </w:r>
      <w:r>
        <w:rPr>
          <w:rFonts w:hint="eastAsia" w:ascii="Times New Roman" w:hAnsi="Times New Roman" w:cs="Times New Roman"/>
          <w:b w:val="0"/>
          <w:i w:val="0"/>
          <w:kern w:val="2"/>
          <w:sz w:val="21"/>
          <w:szCs w:val="21"/>
          <w:lang w:val="en-US" w:eastAsia="zh-CN" w:bidi="ar-SA"/>
        </w:rPr>
        <w:t xml:space="preserve"> GHG </w:t>
      </w:r>
      <w:r>
        <w:rPr>
          <w:rFonts w:hint="default" w:ascii="Times New Roman" w:hAnsi="Times New Roman" w:eastAsia="宋体" w:cs="Times New Roman"/>
          <w:b w:val="0"/>
          <w:i w:val="0"/>
          <w:kern w:val="2"/>
          <w:sz w:val="21"/>
          <w:szCs w:val="21"/>
          <w:lang w:val="en-US" w:eastAsia="zh-CN" w:bidi="ar-SA"/>
        </w:rPr>
        <w:t>排放量按下式计算：</w:t>
      </w:r>
    </w:p>
    <w:p w14:paraId="0DA31546">
      <w:pPr>
        <w:pStyle w:val="116"/>
        <w:bidi w:val="0"/>
        <w:rPr>
          <w:rFonts w:hint="eastAsia"/>
          <w:lang w:val="en-US" w:eastAsia="zh-CN"/>
        </w:rPr>
      </w:pPr>
      <w:r>
        <w:rPr>
          <w:rFonts w:hint="eastAsia"/>
          <w:lang w:val="en-US" w:eastAsia="zh-CN"/>
        </w:rPr>
        <w:tab/>
      </w:r>
      <m:oMath>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cs="Times New Roman"/>
                <w:b w:val="0"/>
                <w:i w:val="0"/>
                <w:sz w:val="21"/>
                <w:lang w:val="en-US" w:eastAsia="zh-CN"/>
              </w:rPr>
              <m:t>planting</m:t>
            </m:r>
            <m:ctrlPr>
              <w:rPr>
                <w:rFonts w:hint="default" w:ascii="Cambria Math" w:hAnsi="Cambria Math" w:eastAsia="宋体" w:cs="Times New Roman"/>
                <w:b w:val="0"/>
                <w:i w:val="0"/>
                <w:iCs w:val="0"/>
                <w:sz w:val="21"/>
              </w:rPr>
            </m:ctrlPr>
          </m:sub>
        </m:sSub>
        <m:r>
          <m:rPr>
            <m:sty m:val="p"/>
          </m:rPr>
          <w:rPr>
            <w:rFonts w:hint="default" w:ascii="Times New Roman" w:hAnsi="Times New Roman" w:eastAsia="宋体" w:cs="Times New Roman"/>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N</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2</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O</m:t>
            </m:r>
            <m:ctrlPr>
              <w:rPr>
                <w:rFonts w:hint="default" w:ascii="Cambria Math" w:hAnsi="Cambria Math" w:eastAsia="宋体" w:cs="Times New Roman"/>
                <w:b w:val="0"/>
                <w:i w:val="0"/>
                <w:iCs w:val="0"/>
                <w:sz w:val="21"/>
              </w:rPr>
            </m:ctrlPr>
          </m:sub>
        </m:sSub>
        <m:r>
          <m:rPr>
            <m:sty m:val="p"/>
          </m:rPr>
          <w:rPr>
            <w:rFonts w:hint="default" w:ascii="Times New Roman" w:hAnsi="Times New Roman" w:eastAsia="宋体" w:cs="Times New Roman"/>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machinery</m:t>
            </m:r>
            <m:ctrlPr>
              <w:rPr>
                <w:rFonts w:hint="default" w:ascii="Cambria Math" w:hAnsi="Cambria Math" w:eastAsia="宋体" w:cs="Times New Roman"/>
                <w:b w:val="0"/>
                <w:i w:val="0"/>
                <w:iCs w:val="0"/>
                <w:sz w:val="21"/>
              </w:rPr>
            </m:ctrlPr>
          </m:sub>
        </m:sSub>
        <m:r>
          <m:rPr>
            <m:sty m:val="p"/>
          </m:rPr>
          <w:rPr>
            <w:rFonts w:hint="default" w:ascii="Times New Roman" w:hAnsi="Times New Roman" w:eastAsia="宋体" w:cs="Times New Roman"/>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CS</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farmland</m:t>
            </m:r>
            <m:ctrlPr>
              <w:rPr>
                <w:rFonts w:hint="default" w:ascii="Cambria Math" w:hAnsi="Cambria Math" w:eastAsia="宋体" w:cs="Times New Roman"/>
                <w:b w:val="0"/>
                <w:i w:val="0"/>
                <w:iCs w:val="0"/>
                <w:sz w:val="21"/>
              </w:rPr>
            </m:ctrlPr>
          </m:sub>
        </m:sSub>
      </m:oMath>
      <w:r>
        <w:rPr>
          <w:rFonts w:hint="eastAsia" w:ascii="微软雅黑" w:hAnsi="微软雅黑" w:eastAsia="微软雅黑" w:cs="微软雅黑"/>
          <w:lang w:val="en-US" w:eastAsia="zh-CN"/>
        </w:rPr>
        <w:tab/>
      </w:r>
      <w:r>
        <w:rPr>
          <w:rFonts w:hint="eastAsia"/>
          <w:lang w:val="en-US" w:eastAsia="zh-CN"/>
        </w:rPr>
        <w:t>(</w:t>
      </w:r>
      <w:r>
        <w:rPr>
          <w:rFonts w:hint="eastAsia"/>
          <w:lang w:val="en-US" w:eastAsia="zh-CN"/>
        </w:rPr>
        <w:fldChar w:fldCharType="begin"/>
      </w:r>
      <w:r>
        <w:rPr>
          <w:rFonts w:hint="eastAsia"/>
          <w:lang w:val="en-US" w:eastAsia="zh-CN"/>
        </w:rPr>
        <w:instrText xml:space="preserve"> SEQ 公式 \* ARABIC </w:instrText>
      </w:r>
      <w:r>
        <w:rPr>
          <w:rFonts w:hint="eastAsia"/>
          <w:lang w:val="en-US" w:eastAsia="zh-CN"/>
        </w:rPr>
        <w:fldChar w:fldCharType="separate"/>
      </w:r>
      <w:r>
        <w:rPr>
          <w:rFonts w:hint="eastAsia"/>
          <w:lang w:val="en-US" w:eastAsia="zh-CN"/>
        </w:rPr>
        <w:t>7</w:t>
      </w:r>
      <w:r>
        <w:rPr>
          <w:rFonts w:hint="eastAsia"/>
          <w:lang w:val="en-US" w:eastAsia="zh-CN"/>
        </w:rPr>
        <w:fldChar w:fldCharType="end"/>
      </w:r>
      <w:r>
        <w:rPr>
          <w:rFonts w:hint="eastAsia"/>
          <w:lang w:val="en-US" w:eastAsia="zh-CN"/>
        </w:rPr>
        <w:t>)</w:t>
      </w:r>
    </w:p>
    <w:p w14:paraId="49F40DA2">
      <w:pPr>
        <w:pStyle w:val="63"/>
        <w:rPr>
          <w:rFonts w:hint="default"/>
          <w:lang w:val="en-US" w:eastAsia="zh-CN"/>
        </w:rPr>
      </w:pPr>
      <w:r>
        <w:rPr>
          <w:rFonts w:hint="eastAsia"/>
          <w:lang w:val="en-US" w:eastAsia="zh-CN"/>
        </w:rPr>
        <w:t>式中：</w:t>
      </w:r>
    </w:p>
    <w:p w14:paraId="24059891">
      <w:pPr>
        <w:pStyle w:val="39"/>
        <w:bidi w:val="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sSub>
              <m:sSubPr>
                <m:ctrlPr>
                  <w:rPr>
                    <w:rFonts w:hint="default" w:ascii="Cambria Math" w:hAnsi="Cambria Math" w:eastAsia="宋体" w:cs="Times New Roman"/>
                    <w:b w:val="0"/>
                    <w:i w:val="0"/>
                    <w:iCs/>
                    <w:sz w:val="21"/>
                  </w:rPr>
                </m:ctrlPr>
              </m:sSubPr>
              <m:e>
                <m:r>
                  <m:rPr>
                    <m:nor/>
                    <m:sty m:val="p"/>
                  </m:rPr>
                  <w:rPr>
                    <w:rFonts w:hint="default" w:ascii="Times New Roman" w:hAnsi="Times New Roman" w:eastAsia="宋体" w:cs="Times New Roman"/>
                    <w:b w:val="0"/>
                    <w:i w:val="0"/>
                    <w:sz w:val="21"/>
                  </w:rPr>
                  <m:t>N</m:t>
                </m:r>
                <m:ctrlPr>
                  <w:rPr>
                    <w:rFonts w:hint="default" w:ascii="Cambria Math" w:hAnsi="Cambria Math" w:eastAsia="宋体" w:cs="Times New Roman"/>
                    <w:b w:val="0"/>
                    <w:i w:val="0"/>
                    <w:iCs/>
                    <w:sz w:val="21"/>
                  </w:rPr>
                </m:ctrlPr>
              </m:e>
              <m:sub>
                <m:r>
                  <m:rPr>
                    <m:nor/>
                    <m:sty m:val="p"/>
                  </m:rPr>
                  <w:rPr>
                    <w:rFonts w:hint="default" w:ascii="Times New Roman" w:hAnsi="Times New Roman" w:eastAsia="宋体" w:cs="Times New Roman"/>
                    <w:b w:val="0"/>
                    <w:i w:val="0"/>
                    <w:sz w:val="21"/>
                  </w:rPr>
                  <m:t>2</m:t>
                </m:r>
                <m:ctrlPr>
                  <w:rPr>
                    <w:rFonts w:hint="default" w:ascii="Cambria Math" w:hAnsi="Cambria Math" w:eastAsia="宋体" w:cs="Times New Roman"/>
                    <w:b w:val="0"/>
                    <w:i w:val="0"/>
                    <w:iCs/>
                    <w:sz w:val="21"/>
                  </w:rPr>
                </m:ctrlPr>
              </m:sub>
            </m:sSub>
            <m:r>
              <m:rPr>
                <m:nor/>
                <m:sty m:val="p"/>
              </m:rPr>
              <w:rPr>
                <w:rFonts w:hint="default" w:ascii="Times New Roman" w:hAnsi="Times New Roman" w:eastAsia="宋体" w:cs="Times New Roman"/>
                <w:b w:val="0"/>
                <w:i w:val="0"/>
                <w:sz w:val="21"/>
              </w:rPr>
              <m:t>O</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种植过程中的</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N</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O</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排放量，</w:t>
      </w:r>
      <w:r>
        <w:rPr>
          <w:rFonts w:hint="default" w:ascii="Times New Roman" w:hAnsi="Times New Roman" w:cs="Times New Roman"/>
          <w:b w:val="0"/>
          <w:i w:val="0"/>
          <w:iCs/>
          <w:sz w:val="21"/>
          <w:szCs w:val="21"/>
          <w:lang w:val="en-US" w:eastAsia="zh-CN"/>
        </w:rPr>
        <w:t>包括</w:t>
      </w:r>
      <w:r>
        <w:rPr>
          <w:rFonts w:hint="default" w:ascii="Times New Roman" w:hAnsi="Times New Roman" w:eastAsia="宋体" w:cs="Times New Roman"/>
          <w:b w:val="0"/>
          <w:i w:val="0"/>
          <w:iCs/>
          <w:kern w:val="2"/>
          <w:sz w:val="21"/>
          <w:szCs w:val="21"/>
          <w:lang w:val="en-US" w:eastAsia="zh-CN" w:bidi="ar-SA"/>
        </w:rPr>
        <w:t>肥料（氮素）引起的 N</w:t>
      </w:r>
      <w:r>
        <w:rPr>
          <w:rFonts w:hint="eastAsia" w:ascii="Times New Roman" w:hAnsi="Times New Roman" w:cs="Times New Roman"/>
          <w:b w:val="0"/>
          <w:i w:val="0"/>
          <w:iCs/>
          <w:kern w:val="2"/>
          <w:sz w:val="21"/>
          <w:szCs w:val="21"/>
          <w:vertAlign w:val="subscript"/>
          <w:lang w:val="en-US" w:eastAsia="zh-CN" w:bidi="ar-SA"/>
        </w:rPr>
        <w:t>2</w:t>
      </w:r>
      <w:r>
        <w:rPr>
          <w:rFonts w:hint="default" w:ascii="Times New Roman" w:hAnsi="Times New Roman" w:eastAsia="宋体" w:cs="Times New Roman"/>
          <w:b w:val="0"/>
          <w:i w:val="0"/>
          <w:iCs/>
          <w:kern w:val="2"/>
          <w:sz w:val="21"/>
          <w:szCs w:val="21"/>
          <w:lang w:val="en-US" w:eastAsia="zh-CN" w:bidi="ar-SA"/>
        </w:rPr>
        <w:t>O 排放</w:t>
      </w:r>
      <w:r>
        <w:rPr>
          <w:rFonts w:hint="default" w:ascii="Times New Roman" w:hAnsi="Times New Roman" w:cs="Times New Roman"/>
          <w:b w:val="0"/>
          <w:i w:val="0"/>
          <w:iCs/>
          <w:kern w:val="2"/>
          <w:sz w:val="21"/>
          <w:szCs w:val="21"/>
          <w:lang w:val="en-US" w:eastAsia="zh-CN" w:bidi="ar-SA"/>
        </w:rPr>
        <w:t>、菠萝植株还田引起的</w:t>
      </w:r>
      <w:r>
        <w:rPr>
          <w:rFonts w:hint="default" w:ascii="Times New Roman" w:hAnsi="Times New Roman" w:eastAsia="宋体" w:cs="Times New Roman"/>
          <w:b w:val="0"/>
          <w:i w:val="0"/>
          <w:iCs/>
          <w:kern w:val="2"/>
          <w:sz w:val="21"/>
          <w:szCs w:val="21"/>
          <w:lang w:val="en-US" w:eastAsia="zh-CN" w:bidi="ar-SA"/>
        </w:rPr>
        <w:t xml:space="preserve"> N</w:t>
      </w:r>
      <w:r>
        <w:rPr>
          <w:rFonts w:hint="eastAsia" w:ascii="Times New Roman" w:hAnsi="Times New Roman" w:cs="Times New Roman"/>
          <w:b w:val="0"/>
          <w:i w:val="0"/>
          <w:iCs/>
          <w:kern w:val="2"/>
          <w:sz w:val="21"/>
          <w:szCs w:val="21"/>
          <w:vertAlign w:val="subscript"/>
          <w:lang w:val="en-US" w:eastAsia="zh-CN" w:bidi="ar-SA"/>
        </w:rPr>
        <w:t>2</w:t>
      </w:r>
      <w:r>
        <w:rPr>
          <w:rFonts w:hint="default" w:ascii="Times New Roman" w:hAnsi="Times New Roman" w:eastAsia="宋体" w:cs="Times New Roman"/>
          <w:b w:val="0"/>
          <w:i w:val="0"/>
          <w:iCs/>
          <w:kern w:val="2"/>
          <w:sz w:val="21"/>
          <w:szCs w:val="21"/>
          <w:lang w:val="en-US" w:eastAsia="zh-CN" w:bidi="ar-SA"/>
        </w:rPr>
        <w:t>O 排放</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04205E7E">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machinery</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农机作业</w:t>
      </w:r>
      <w:r>
        <w:rPr>
          <w:rFonts w:hint="default" w:ascii="Times New Roman" w:hAnsi="Times New Roman" w:eastAsia="宋体" w:cs="Times New Roman"/>
          <w:b w:val="0"/>
          <w:i w:val="0"/>
          <w:iCs/>
          <w:sz w:val="21"/>
          <w:szCs w:val="21"/>
        </w:rPr>
        <w:t>耗能产生的</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GHG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cs="Times New Roman"/>
          <w:b w:val="0"/>
          <w:i w:val="0"/>
          <w:kern w:val="2"/>
          <w:sz w:val="21"/>
          <w:szCs w:val="21"/>
          <w:lang w:val="en-US" w:eastAsia="zh-CN" w:bidi="ar-SA"/>
        </w:rPr>
        <w:t>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093CD9FB">
      <w:pPr>
        <w:pStyle w:val="39"/>
        <w:bidi w:val="0"/>
        <w:rPr>
          <w:rFonts w:hint="default" w:ascii="Times New Roman" w:hAnsi="Times New Roman" w:cs="Times New Roman"/>
          <w:b w:val="0"/>
          <w:i w:val="0"/>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CS</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farmland</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农田碳汇量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不满足扣减条件时取值为0</w:t>
      </w:r>
      <w:r>
        <w:rPr>
          <w:rFonts w:hint="default" w:ascii="Times New Roman" w:hAnsi="Times New Roman" w:cs="Times New Roman"/>
          <w:b w:val="0"/>
          <w:i w:val="0"/>
          <w:iCs/>
          <w:sz w:val="21"/>
          <w:szCs w:val="21"/>
          <w:lang w:eastAsia="zh-CN"/>
        </w:rPr>
        <w:t>。</w:t>
      </w:r>
    </w:p>
    <w:p w14:paraId="3E5FE77D">
      <w:pPr>
        <w:pStyle w:val="182"/>
        <w:bidi w:val="0"/>
        <w:rPr>
          <w:rFonts w:hint="eastAsia"/>
          <w:lang w:val="en-US" w:eastAsia="zh-CN"/>
        </w:rPr>
      </w:pPr>
      <w:r>
        <w:rPr>
          <w:rFonts w:hint="eastAsia"/>
          <w:lang w:val="en-US" w:eastAsia="zh-CN"/>
        </w:rPr>
        <w:t xml:space="preserve"> 神湾菠萝属旱地作物，采用山泉水或雨水灌溉，灌溉过程不消 </w:t>
      </w:r>
    </w:p>
    <w:p w14:paraId="24C034A5">
      <w:pPr>
        <w:pStyle w:val="182"/>
        <w:bidi w:val="0"/>
        <w:rPr>
          <w:rFonts w:hint="eastAsia"/>
          <w:lang w:val="en-US" w:eastAsia="zh-CN"/>
        </w:rPr>
      </w:pPr>
      <w:r>
        <w:rPr>
          <w:rFonts w:hint="eastAsia"/>
          <w:lang w:val="en-US" w:eastAsia="zh-CN"/>
        </w:rPr>
        <w:t>耗能源，故无需核算灌溉相关温室气体排放。</w:t>
      </w:r>
    </w:p>
    <w:p w14:paraId="6BA29BB0">
      <w:pPr>
        <w:pStyle w:val="40"/>
        <w:bidi w:val="0"/>
      </w:pPr>
      <w:r>
        <w:t>农田 N₂O 排放量</w:t>
      </w:r>
    </w:p>
    <w:p w14:paraId="26ED780C">
      <w:pPr>
        <w:pStyle w:val="39"/>
        <w:bidi w:val="0"/>
        <w:rPr>
          <w:rFonts w:hint="default" w:ascii="Times New Roman" w:hAnsi="Times New Roman" w:eastAsia="宋体"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根据IPCC 2006指南，农田</w:t>
      </w:r>
      <w:r>
        <w:rPr>
          <w:rFonts w:hint="default" w:ascii="Times New Roman" w:hAnsi="Times New Roman" w:cs="Times New Roman"/>
          <w:b w:val="0"/>
          <w:i w:val="0"/>
          <w:kern w:val="2"/>
          <w:sz w:val="21"/>
          <w:szCs w:val="21"/>
          <w:lang w:val="en-US" w:eastAsia="zh-CN" w:bidi="ar-SA"/>
        </w:rPr>
        <w:t xml:space="preserve"> </w:t>
      </w:r>
      <w:r>
        <w:rPr>
          <w:rFonts w:hint="default" w:ascii="Times New Roman" w:hAnsi="Times New Roman" w:eastAsia="宋体" w:cs="Times New Roman"/>
          <w:b w:val="0"/>
          <w:i w:val="0"/>
          <w:kern w:val="2"/>
          <w:sz w:val="21"/>
          <w:szCs w:val="21"/>
          <w:lang w:val="en-US" w:eastAsia="zh-CN" w:bidi="ar-SA"/>
        </w:rPr>
        <w:t>N₂O</w:t>
      </w:r>
      <w:r>
        <w:rPr>
          <w:rFonts w:hint="default" w:ascii="Times New Roman" w:hAnsi="Times New Roman" w:cs="Times New Roman"/>
          <w:b w:val="0"/>
          <w:i w:val="0"/>
          <w:kern w:val="2"/>
          <w:sz w:val="21"/>
          <w:szCs w:val="21"/>
          <w:lang w:val="en-US" w:eastAsia="zh-CN" w:bidi="ar-SA"/>
        </w:rPr>
        <w:t xml:space="preserve"> 排放</w:t>
      </w:r>
      <w:r>
        <w:rPr>
          <w:rFonts w:hint="default" w:ascii="Times New Roman" w:hAnsi="Times New Roman" w:eastAsia="宋体" w:cs="Times New Roman"/>
          <w:b w:val="0"/>
          <w:i w:val="0"/>
          <w:kern w:val="2"/>
          <w:sz w:val="21"/>
          <w:szCs w:val="21"/>
          <w:lang w:val="en-US" w:eastAsia="zh-CN" w:bidi="ar-SA"/>
        </w:rPr>
        <w:t>分为直接与间接两部分</w:t>
      </w:r>
      <w:r>
        <w:rPr>
          <w:rFonts w:hint="default" w:ascii="Times New Roman" w:hAnsi="Times New Roman" w:cs="Times New Roman"/>
          <w:b w:val="0"/>
          <w:i w:val="0"/>
          <w:kern w:val="2"/>
          <w:sz w:val="21"/>
          <w:szCs w:val="21"/>
          <w:lang w:val="en-US" w:eastAsia="zh-CN" w:bidi="ar-SA"/>
        </w:rPr>
        <w:t>。计算公式如下：</w:t>
      </w:r>
    </w:p>
    <w:p w14:paraId="025DCC45">
      <w:pPr>
        <w:pStyle w:val="116"/>
        <w:bidi w:val="0"/>
        <w:rPr>
          <w:rFonts w:hint="default" w:ascii="Times New Roman" w:hAnsi="Times New Roman" w:cs="Times New Roman"/>
          <w:lang w:val="en-US" w:eastAsia="zh-CN"/>
        </w:rPr>
      </w:pPr>
      <w:r>
        <w:rPr>
          <w:rFonts w:hint="default" w:ascii="Times New Roman" w:hAnsi="Times New Roman" w:cs="Times New Roman"/>
          <w:lang w:val="en-US" w:eastAsia="zh-CN"/>
        </w:rPr>
        <w:tab/>
      </w: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lang w:val="en-US" w:eastAsia="zh-CN"/>
              </w:rPr>
            </m:ctrlPr>
          </m:e>
          <m:sub>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N</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2</m:t>
                </m:r>
                <m:ctrlPr>
                  <w:rPr>
                    <w:rFonts w:hint="default" w:ascii="Cambria Math" w:hAnsi="Cambria Math" w:cs="Times New Roman"/>
                    <w:i w:val="0"/>
                    <w:iCs w:val="0"/>
                    <w:lang w:val="en-US" w:eastAsia="zh-CN"/>
                  </w:rPr>
                </m:ctrlPr>
              </m:sub>
            </m:sSub>
            <m:r>
              <m:rPr>
                <m:nor/>
                <m:sty m:val="p"/>
              </m:rPr>
              <w:rPr>
                <w:rFonts w:hint="default" w:ascii="Times New Roman" w:hAnsi="Times New Roman" w:eastAsia="宋体" w:cs="Times New Roman"/>
                <w:b w:val="0"/>
                <w:i w:val="0"/>
                <w:sz w:val="21"/>
              </w:rPr>
              <m:t>O</m:t>
            </m:r>
            <m:ctrlPr>
              <w:rPr>
                <w:rFonts w:hint="default" w:ascii="Cambria Math" w:hAnsi="Cambria Math" w:cs="Times New Roman"/>
                <w:i w:val="0"/>
                <w:iCs w:val="0"/>
                <w:lang w:val="en-US"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dir</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indir</m:t>
            </m:r>
            <m:ctrlPr>
              <w:rPr>
                <w:rFonts w:hint="default" w:ascii="Cambria Math" w:hAnsi="Cambria Math" w:eastAsia="宋体" w:cs="Times New Roman"/>
                <w:b w:val="0"/>
                <w:i w:val="0"/>
                <w:iCs w:val="0"/>
                <w:sz w:val="21"/>
              </w:rPr>
            </m:ctrlPr>
          </m:sub>
        </m:sSub>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8</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55C77EFB">
      <w:pPr>
        <w:pStyle w:val="63"/>
        <w:rPr>
          <w:rFonts w:hint="default" w:ascii="Times New Roman" w:hAnsi="Times New Roman" w:eastAsia="宋体" w:cs="Times New Roman"/>
          <w:i w:val="0"/>
          <w:lang w:val="en-US" w:eastAsia="zh-CN"/>
        </w:rPr>
      </w:pPr>
      <w:r>
        <w:rPr>
          <w:rFonts w:hint="default" w:ascii="Times New Roman" w:hAnsi="Times New Roman" w:cs="Times New Roman"/>
          <w:lang w:eastAsia="zh-CN"/>
        </w:rPr>
        <w:t>式中：</w:t>
      </w:r>
    </w:p>
    <w:p w14:paraId="2BDB3621">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dir</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农田 </w:t>
      </w:r>
      <w:r>
        <w:rPr>
          <w:rFonts w:hint="default" w:ascii="Times New Roman" w:hAnsi="Times New Roman" w:eastAsia="宋体" w:cs="Times New Roman"/>
          <w:b w:val="0"/>
          <w:i w:val="0"/>
          <w:iCs/>
          <w:sz w:val="21"/>
          <w:szCs w:val="21"/>
        </w:rPr>
        <w:t>N</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O</w:t>
      </w:r>
      <w:r>
        <w:rPr>
          <w:rFonts w:hint="default" w:ascii="Times New Roman" w:hAnsi="Times New Roman" w:cs="Times New Roman"/>
          <w:b w:val="0"/>
          <w:i w:val="0"/>
          <w:iCs/>
          <w:sz w:val="21"/>
          <w:szCs w:val="21"/>
          <w:lang w:val="en-US" w:eastAsia="zh-CN"/>
        </w:rPr>
        <w:t xml:space="preserve"> 直接</w:t>
      </w:r>
      <w:r>
        <w:rPr>
          <w:rFonts w:hint="default" w:ascii="Times New Roman" w:hAnsi="Times New Roman" w:cs="Times New Roman"/>
          <w:b w:val="0"/>
          <w:i w:val="0"/>
          <w:kern w:val="2"/>
          <w:sz w:val="21"/>
          <w:szCs w:val="21"/>
          <w:lang w:val="en-US" w:eastAsia="zh-CN" w:bidi="ar-SA"/>
        </w:rPr>
        <w:t>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14C5F83D">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indir</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农田 </w:t>
      </w:r>
      <w:r>
        <w:rPr>
          <w:rFonts w:hint="default" w:ascii="Times New Roman" w:hAnsi="Times New Roman" w:eastAsia="宋体" w:cs="Times New Roman"/>
          <w:b w:val="0"/>
          <w:i w:val="0"/>
          <w:iCs/>
          <w:sz w:val="21"/>
          <w:szCs w:val="21"/>
        </w:rPr>
        <w:t>N</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O</w:t>
      </w:r>
      <w:r>
        <w:rPr>
          <w:rFonts w:hint="default" w:ascii="Times New Roman" w:hAnsi="Times New Roman" w:cs="Times New Roman"/>
          <w:b w:val="0"/>
          <w:i w:val="0"/>
          <w:iCs/>
          <w:sz w:val="21"/>
          <w:szCs w:val="21"/>
          <w:lang w:val="en-US" w:eastAsia="zh-CN"/>
        </w:rPr>
        <w:t xml:space="preserve"> 间接</w:t>
      </w:r>
      <w:r>
        <w:rPr>
          <w:rFonts w:hint="default" w:ascii="Times New Roman" w:hAnsi="Times New Roman" w:cs="Times New Roman"/>
          <w:b w:val="0"/>
          <w:i w:val="0"/>
          <w:kern w:val="2"/>
          <w:sz w:val="21"/>
          <w:szCs w:val="21"/>
          <w:lang w:val="en-US" w:eastAsia="zh-CN" w:bidi="ar-SA"/>
        </w:rPr>
        <w:t>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7111E657">
      <w:pPr>
        <w:pStyle w:val="39"/>
        <w:bidi w:val="0"/>
        <w:rPr>
          <w:rFonts w:hint="default" w:ascii="Times New Roman" w:hAnsi="Times New Roman" w:cs="Times New Roman"/>
          <w:b w:val="0"/>
          <w:i w:val="0"/>
          <w:iCs/>
          <w:sz w:val="21"/>
          <w:szCs w:val="21"/>
          <w:lang w:val="en-US" w:eastAsia="zh-CN"/>
        </w:rPr>
      </w:pPr>
      <w:r>
        <w:rPr>
          <w:rFonts w:hint="default" w:ascii="Times New Roman" w:hAnsi="Times New Roman" w:cs="Times New Roman"/>
          <w:b w:val="0"/>
          <w:i w:val="0"/>
          <w:iCs/>
          <w:sz w:val="21"/>
          <w:szCs w:val="21"/>
          <w:lang w:val="en-US" w:eastAsia="zh-CN"/>
        </w:rPr>
        <w:t>直接排放包括化肥氮、有机肥氮及植株还田氮的排放。计算公式如下：</w:t>
      </w:r>
    </w:p>
    <w:p w14:paraId="37CAD794">
      <w:pPr>
        <w:pStyle w:val="116"/>
        <w:bidi w:val="0"/>
        <w:rPr>
          <w:rFonts w:hint="default" w:ascii="Times New Roman" w:hAnsi="Times New Roman" w:cs="Times New Roman"/>
          <w:lang w:eastAsia="zh-CN"/>
        </w:rPr>
      </w:pPr>
      <w:r>
        <w:rPr>
          <w:rFonts w:hint="eastAsia"/>
          <w:lang w:eastAsia="zh-CN"/>
        </w:rPr>
        <w:tab/>
      </w:r>
      <m:oMath>
        <m:sSub>
          <m:sSubPr>
            <m:ctrlPr>
              <w:rPr>
                <w:rFonts w:hint="default" w:ascii="Cambria Math" w:hAnsi="Cambria Math" w:cs="Times New Roman"/>
                <w:i w:val="0"/>
                <w:iCs w:val="0"/>
                <w:lang w:eastAsia="zh-CN"/>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lang w:eastAsia="zh-CN"/>
              </w:rPr>
            </m:ctrlPr>
          </m:e>
          <m:sub>
            <m:r>
              <m:rPr>
                <m:nor/>
                <m:sty m:val="p"/>
              </m:rPr>
              <w:rPr>
                <w:rFonts w:hint="default" w:ascii="Times New Roman" w:hAnsi="Times New Roman" w:eastAsia="宋体" w:cs="Times New Roman"/>
                <w:b w:val="0"/>
                <w:i w:val="0"/>
                <w:sz w:val="21"/>
              </w:rPr>
              <m:t>dir</m:t>
            </m:r>
            <m:ctrlPr>
              <w:rPr>
                <w:rFonts w:hint="default" w:ascii="Cambria Math" w:hAnsi="Cambria Math" w:cs="Times New Roman"/>
                <w:i w:val="0"/>
                <w:iCs w:val="0"/>
                <w:lang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ON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ST</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EF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d</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GWP</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100</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×44/28</m:t>
        </m:r>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9</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70175F6B">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5CD2CA86">
      <w:pPr>
        <w:pStyle w:val="39"/>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SN</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vertAlign w:val="baseline"/>
          <w:lang w:val="en-US" w:eastAsia="zh-CN" w:bidi="ar-SA"/>
        </w:rPr>
        <w:t>——</w:t>
      </w:r>
      <w:r>
        <w:rPr>
          <w:rFonts w:hint="default" w:ascii="Times New Roman" w:hAnsi="Times New Roman" w:eastAsia="宋体" w:cs="Times New Roman"/>
          <w:b w:val="0"/>
          <w:i w:val="0"/>
          <w:iCs/>
          <w:kern w:val="2"/>
          <w:sz w:val="21"/>
          <w:szCs w:val="21"/>
          <w:lang w:val="en-US" w:eastAsia="zh-CN" w:bidi="ar-SA"/>
        </w:rPr>
        <w:t>化肥氮的</w:t>
      </w:r>
      <w:r>
        <w:rPr>
          <w:rFonts w:hint="default" w:ascii="Times New Roman" w:hAnsi="Times New Roman" w:cs="Times New Roman"/>
          <w:b w:val="0"/>
          <w:i w:val="0"/>
          <w:iCs/>
          <w:sz w:val="21"/>
          <w:szCs w:val="21"/>
          <w:lang w:val="en-US" w:eastAsia="zh-CN"/>
        </w:rPr>
        <w:t>施用量</w:t>
      </w:r>
      <w:r>
        <w:rPr>
          <w:rFonts w:hint="default" w:ascii="Times New Roman" w:hAnsi="Times New Roman" w:eastAsia="宋体" w:cs="Times New Roman"/>
          <w:b w:val="0"/>
          <w:i w:val="0"/>
          <w:iCs/>
          <w:kern w:val="2"/>
          <w:sz w:val="21"/>
          <w:szCs w:val="21"/>
          <w:lang w:val="en-US" w:eastAsia="zh-CN" w:bidi="ar-SA"/>
        </w:rPr>
        <w:t>（kg N）</w:t>
      </w:r>
      <w:r>
        <w:rPr>
          <w:rFonts w:hint="default" w:ascii="Times New Roman" w:hAnsi="Times New Roman" w:eastAsia="宋体" w:cs="Times New Roman"/>
          <w:b w:val="0"/>
          <w:i w:val="0"/>
          <w:iCs/>
          <w:sz w:val="21"/>
          <w:szCs w:val="21"/>
        </w:rPr>
        <w:t>；</w:t>
      </w:r>
    </w:p>
    <w:p w14:paraId="77409C3B">
      <w:pPr>
        <w:pStyle w:val="39"/>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ON</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vertAlign w:val="baseline"/>
          <w:lang w:val="en-US" w:eastAsia="zh-CN" w:bidi="ar-SA"/>
        </w:rPr>
        <w:t>——</w:t>
      </w:r>
      <w:r>
        <w:rPr>
          <w:rFonts w:hint="default" w:ascii="Times New Roman" w:hAnsi="Times New Roman" w:eastAsia="宋体" w:cs="Times New Roman"/>
          <w:b w:val="0"/>
          <w:i w:val="0"/>
          <w:iCs/>
          <w:kern w:val="2"/>
          <w:sz w:val="21"/>
          <w:szCs w:val="21"/>
          <w:lang w:val="en-US" w:eastAsia="zh-CN" w:bidi="ar-SA"/>
        </w:rPr>
        <w:t>有机肥氮的施用量（kg N）</w:t>
      </w:r>
      <w:r>
        <w:rPr>
          <w:rFonts w:hint="default" w:ascii="Times New Roman" w:hAnsi="Times New Roman" w:eastAsia="宋体" w:cs="Times New Roman"/>
          <w:b w:val="0"/>
          <w:i w:val="0"/>
          <w:iCs/>
          <w:sz w:val="21"/>
          <w:szCs w:val="21"/>
        </w:rPr>
        <w:t>；</w:t>
      </w:r>
    </w:p>
    <w:p w14:paraId="4DF7B95B">
      <w:pPr>
        <w:pStyle w:val="39"/>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ST</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vertAlign w:val="baseline"/>
          <w:lang w:val="en-US" w:eastAsia="zh-CN" w:bidi="ar-SA"/>
        </w:rPr>
        <w:t>——植株</w:t>
      </w:r>
      <w:r>
        <w:rPr>
          <w:rFonts w:hint="default" w:ascii="Times New Roman" w:hAnsi="Times New Roman" w:eastAsia="宋体" w:cs="Times New Roman"/>
          <w:b w:val="0"/>
          <w:i w:val="0"/>
          <w:iCs/>
          <w:kern w:val="2"/>
          <w:sz w:val="21"/>
          <w:szCs w:val="21"/>
          <w:lang w:val="en-US" w:eastAsia="zh-CN" w:bidi="ar-SA"/>
        </w:rPr>
        <w:t>还田氮的施用量（kg N）</w:t>
      </w:r>
      <w:r>
        <w:rPr>
          <w:rFonts w:hint="default" w:ascii="Times New Roman" w:hAnsi="Times New Roman" w:eastAsia="宋体" w:cs="Times New Roman"/>
          <w:b w:val="0"/>
          <w:i w:val="0"/>
          <w:iCs/>
          <w:sz w:val="21"/>
          <w:szCs w:val="21"/>
        </w:rPr>
        <w:t>；</w:t>
      </w:r>
    </w:p>
    <w:p w14:paraId="4637788B">
      <w:pPr>
        <w:pStyle w:val="39"/>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kern w:val="2"/>
                <w:sz w:val="21"/>
                <w:szCs w:val="21"/>
                <w:lang w:val="en-US" w:eastAsia="zh-CN" w:bidi="ar-SA"/>
              </w:rPr>
              <m:t>EF</m:t>
            </m:r>
            <m:ctrlPr>
              <w:rPr>
                <w:rFonts w:hint="default" w:ascii="Cambria Math" w:hAnsi="Cambria Math" w:cs="Times New Roman"/>
                <w:i w:val="0"/>
                <w:iCs/>
              </w:rPr>
            </m:ctrlPr>
          </m:e>
          <m:sub>
            <m:r>
              <m:rPr>
                <m:nor/>
                <m:sty m:val="p"/>
              </m:rPr>
              <w:rPr>
                <w:rFonts w:hint="default" w:ascii="Times New Roman" w:hAnsi="Times New Roman" w:eastAsia="宋体" w:cs="Times New Roman"/>
                <w:b w:val="0"/>
                <w:i w:val="0"/>
                <w:kern w:val="2"/>
                <w:sz w:val="21"/>
                <w:szCs w:val="21"/>
                <w:lang w:val="en-US" w:eastAsia="zh-CN" w:bidi="ar-SA"/>
              </w:rPr>
              <m:t>d</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农田土壤 </w:t>
      </w:r>
      <w:r>
        <w:rPr>
          <w:rFonts w:hint="default" w:ascii="Times New Roman" w:hAnsi="Times New Roman" w:eastAsia="宋体" w:cs="Times New Roman"/>
          <w:b w:val="0"/>
          <w:i w:val="0"/>
          <w:iCs/>
          <w:kern w:val="2"/>
          <w:sz w:val="21"/>
          <w:szCs w:val="21"/>
          <w:lang w:val="en-US" w:eastAsia="zh-CN" w:bidi="ar-SA"/>
        </w:rPr>
        <w:t>N₂O</w:t>
      </w:r>
      <w:r>
        <w:rPr>
          <w:rFonts w:hint="default" w:ascii="Times New Roman" w:hAnsi="Times New Roman" w:cs="Times New Roman"/>
          <w:b w:val="0"/>
          <w:i w:val="0"/>
          <w:iCs/>
          <w:kern w:val="2"/>
          <w:sz w:val="21"/>
          <w:szCs w:val="21"/>
          <w:lang w:val="en-US" w:eastAsia="zh-CN" w:bidi="ar-SA"/>
        </w:rPr>
        <w:t xml:space="preserve"> </w:t>
      </w:r>
      <w:r>
        <w:rPr>
          <w:rFonts w:hint="default" w:ascii="Times New Roman" w:hAnsi="Times New Roman" w:cs="Times New Roman"/>
          <w:b w:val="0"/>
          <w:i w:val="0"/>
          <w:iCs/>
          <w:sz w:val="21"/>
          <w:szCs w:val="21"/>
          <w:lang w:val="en-US" w:eastAsia="zh-CN"/>
        </w:rPr>
        <w:t>直接</w:t>
      </w:r>
      <w:r>
        <w:rPr>
          <w:rFonts w:hint="default" w:ascii="Times New Roman" w:hAnsi="Times New Roman" w:eastAsia="宋体" w:cs="Times New Roman"/>
          <w:b w:val="0"/>
          <w:i w:val="0"/>
          <w:iCs/>
          <w:kern w:val="2"/>
          <w:sz w:val="21"/>
          <w:szCs w:val="21"/>
          <w:lang w:val="en-US" w:eastAsia="zh-CN" w:bidi="ar-SA"/>
        </w:rPr>
        <w:t>排放因子（广东地区取 0.0178 kg N₂O-N/kg N）</w:t>
      </w:r>
      <w:r>
        <w:rPr>
          <w:rFonts w:hint="default" w:ascii="Times New Roman" w:hAnsi="Times New Roman" w:cs="Times New Roman"/>
          <w:b w:val="0"/>
          <w:i w:val="0"/>
          <w:iCs/>
          <w:sz w:val="21"/>
          <w:szCs w:val="21"/>
          <w:lang w:eastAsia="zh-CN"/>
        </w:rPr>
        <w:t>；</w:t>
      </w:r>
    </w:p>
    <w:p w14:paraId="7A5A9C05">
      <w:pPr>
        <w:pStyle w:val="39"/>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lang w:val="en-US" w:eastAsia="zh-CN"/>
              </w:rPr>
              <m:t>GWP</m:t>
            </m:r>
            <m:ctrlPr>
              <w:rPr>
                <w:rFonts w:hint="default" w:ascii="Cambria Math" w:hAnsi="Cambria Math" w:cs="Times New Roman"/>
                <w:i w:val="0"/>
                <w:iCs/>
              </w:rPr>
            </m:ctrlPr>
          </m:e>
          <m:sub>
            <m:r>
              <m:rPr>
                <m:nor/>
                <m:sty m:val="p"/>
              </m:rPr>
              <w:rPr>
                <w:rFonts w:hint="default" w:ascii="Times New Roman" w:hAnsi="Times New Roman" w:cs="Times New Roman"/>
                <w:b w:val="0"/>
                <w:i w:val="0"/>
                <w:kern w:val="2"/>
                <w:sz w:val="21"/>
                <w:szCs w:val="21"/>
                <w:lang w:val="en-US" w:eastAsia="zh-CN" w:bidi="ar-SA"/>
              </w:rPr>
              <m:t>100</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N</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O</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在</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100</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年尺度下的全球增温潜势，值为</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273（IPCC</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2021）；</w:t>
      </w:r>
    </w:p>
    <w:p w14:paraId="1669585F">
      <w:pPr>
        <w:pStyle w:val="39"/>
        <w:bidi w:val="0"/>
        <w:rPr>
          <w:rFonts w:hint="default" w:ascii="Times New Roman" w:hAnsi="Times New Roman" w:cs="Times New Roman"/>
          <w:b w:val="0"/>
          <w:i w:val="0"/>
          <w:iCs/>
          <w:kern w:val="2"/>
          <w:sz w:val="21"/>
          <w:szCs w:val="21"/>
          <w:lang w:val="en-US" w:eastAsia="zh-CN" w:bidi="ar-SA"/>
        </w:rPr>
      </w:pPr>
      <m:oMath>
        <m:r>
          <m:rPr>
            <m:nor/>
            <m:sty m:val="p"/>
          </m:rPr>
          <w:rPr>
            <w:rFonts w:hint="default" w:ascii="Times New Roman" w:hAnsi="Times New Roman" w:cs="Times New Roman"/>
            <w:b w:val="0"/>
            <w:i w:val="0"/>
            <w:kern w:val="2"/>
            <w:sz w:val="21"/>
            <w:szCs w:val="21"/>
            <w:lang w:val="en-US" w:eastAsia="zh-CN" w:bidi="ar-SA"/>
          </w:rPr>
          <m:t>44/28</m:t>
        </m:r>
      </m:oMath>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N₂O 与 N 的分子量之比</w:t>
      </w:r>
      <w:r>
        <w:rPr>
          <w:rFonts w:hint="default" w:ascii="Times New Roman" w:hAnsi="Times New Roman" w:cs="Times New Roman"/>
          <w:b w:val="0"/>
          <w:i w:val="0"/>
          <w:iCs/>
          <w:kern w:val="2"/>
          <w:sz w:val="21"/>
          <w:szCs w:val="21"/>
          <w:lang w:val="en-US" w:eastAsia="zh-CN" w:bidi="ar-SA"/>
        </w:rPr>
        <w:t>；</w:t>
      </w:r>
    </w:p>
    <w:p w14:paraId="6A0F1518">
      <w:pPr>
        <w:pStyle w:val="39"/>
        <w:bidi w:val="0"/>
        <w:rPr>
          <w:rFonts w:hint="default" w:ascii="Times New Roman" w:hAnsi="Times New Roman" w:cs="Times New Roman"/>
          <w:b w:val="0"/>
          <w:i w:val="0"/>
          <w:iCs/>
          <w:kern w:val="2"/>
          <w:sz w:val="21"/>
          <w:szCs w:val="21"/>
          <w:lang w:val="en-US" w:eastAsia="zh-CN" w:bidi="ar-SA"/>
        </w:rPr>
      </w:pPr>
      <w:r>
        <w:rPr>
          <w:rFonts w:hint="default" w:ascii="Times New Roman" w:hAnsi="Times New Roman" w:cs="Times New Roman"/>
          <w:b w:val="0"/>
          <w:i w:val="0"/>
          <w:iCs/>
          <w:kern w:val="2"/>
          <w:sz w:val="21"/>
          <w:szCs w:val="21"/>
          <w:lang w:val="en-US" w:eastAsia="zh-CN" w:bidi="ar-SA"/>
        </w:rPr>
        <w:t>间接排放包括</w:t>
      </w:r>
      <w:r>
        <w:rPr>
          <w:rFonts w:hint="default" w:ascii="Times New Roman" w:hAnsi="Times New Roman" w:cs="Times New Roman"/>
          <w:b w:val="0"/>
          <w:i w:val="0"/>
          <w:iCs/>
          <w:sz w:val="21"/>
          <w:szCs w:val="21"/>
          <w:lang w:val="en-US" w:eastAsia="zh-CN"/>
        </w:rPr>
        <w:t>土壤和水面 N 大气沉积的 N</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val="en-US" w:eastAsia="zh-CN"/>
        </w:rPr>
        <w:t>O排放以及淋溶和径流氮排放。计算公式如下：</w:t>
      </w:r>
    </w:p>
    <w:p w14:paraId="18DB0F7A">
      <w:pPr>
        <w:pStyle w:val="116"/>
        <w:bidi w:val="0"/>
        <w:rPr>
          <w:rFonts w:hint="default" w:ascii="Times New Roman" w:hAnsi="Times New Roman" w:cs="Times New Roman"/>
          <w:lang w:val="en-US" w:eastAsia="zh-CN"/>
        </w:rPr>
      </w:pPr>
      <w:r>
        <w:rPr>
          <w:rFonts w:hint="default" w:ascii="Times New Roman" w:hAnsi="Times New Roman" w:cs="Times New Roman"/>
          <w:lang w:val="en-US" w:eastAsia="zh-CN"/>
        </w:rPr>
        <w:tab/>
      </w:r>
      <m:oMath>
        <m:sSub>
          <m:sSubPr>
            <m:ctrlPr>
              <w:rPr>
                <w:rFonts w:hint="default" w:ascii="Cambria Math" w:hAnsi="Cambria Math" w:cs="Times New Roman"/>
                <w:i w:val="0"/>
                <w:iCs w:val="0"/>
                <w:lang w:eastAsia="zh-CN"/>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lang w:eastAsia="zh-CN"/>
              </w:rPr>
            </m:ctrlPr>
          </m:e>
          <m:sub>
            <m:r>
              <m:rPr>
                <m:nor/>
                <m:sty m:val="p"/>
              </m:rPr>
              <w:rPr>
                <w:rFonts w:hint="default" w:ascii="Times New Roman" w:hAnsi="Times New Roman" w:eastAsia="宋体" w:cs="Times New Roman"/>
                <w:b w:val="0"/>
                <w:i w:val="0"/>
                <w:sz w:val="21"/>
              </w:rPr>
              <m:t>indir</m:t>
            </m:r>
            <m:ctrlPr>
              <w:rPr>
                <w:rFonts w:hint="default" w:ascii="Cambria Math" w:hAnsi="Cambria Math" w:cs="Times New Roman"/>
                <w:i w:val="0"/>
                <w:iCs w:val="0"/>
                <w:lang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vol/dep</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leach/run</m:t>
            </m:r>
            <m:ctrlPr>
              <w:rPr>
                <w:rFonts w:hint="default" w:ascii="Cambria Math" w:hAnsi="Cambria Math" w:eastAsia="宋体" w:cs="Times New Roman"/>
                <w:b w:val="0"/>
                <w:i w:val="0"/>
                <w:iCs w:val="0"/>
                <w:sz w:val="21"/>
              </w:rPr>
            </m:ctrlPr>
          </m:sub>
        </m:sSub>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10</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7B4AB273">
      <w:pPr>
        <w:pStyle w:val="116"/>
        <w:bidi w:val="0"/>
        <w:rPr>
          <w:rFonts w:hint="default" w:ascii="Times New Roman" w:hAnsi="Times New Roman" w:cs="Times New Roman"/>
          <w:lang w:eastAsia="zh-CN"/>
        </w:rPr>
      </w:pPr>
      <w:r>
        <w:rPr>
          <w:rFonts w:hint="default" w:ascii="Times New Roman" w:hAnsi="Times New Roman" w:cs="Times New Roman"/>
          <w:lang w:eastAsia="zh-CN"/>
        </w:rPr>
        <w:tab/>
      </w:r>
      <m:oMath>
        <m:sSub>
          <m:sSubPr>
            <m:ctrlPr>
              <w:rPr>
                <w:rFonts w:hint="default" w:ascii="Cambria Math" w:hAnsi="Cambria Math" w:cs="Times New Roman"/>
                <w:i w:val="0"/>
                <w:iCs w:val="0"/>
                <w:lang w:eastAsia="zh-CN"/>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lang w:eastAsia="zh-CN"/>
              </w:rPr>
            </m:ctrlPr>
          </m:e>
          <m:sub>
            <m:r>
              <m:rPr>
                <m:nor/>
                <m:sty m:val="p"/>
              </m:rPr>
              <w:rPr>
                <w:rFonts w:hint="default" w:ascii="Times New Roman" w:hAnsi="Times New Roman" w:eastAsia="宋体" w:cs="Times New Roman"/>
                <w:b w:val="0"/>
                <w:i w:val="0"/>
                <w:sz w:val="21"/>
              </w:rPr>
              <m:t>vol/dep</m:t>
            </m:r>
            <m:ctrlPr>
              <w:rPr>
                <w:rFonts w:hint="default" w:ascii="Cambria Math" w:hAnsi="Cambria Math" w:cs="Times New Roman"/>
                <w:i w:val="0"/>
                <w:iCs w:val="0"/>
                <w:lang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Frac</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ON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Frac</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ON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EF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vol/dep</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GWP</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100</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×44/28</m:t>
        </m:r>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11</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0DB4DC3A">
      <w:pPr>
        <w:pStyle w:val="116"/>
        <w:bidi w:val="0"/>
        <w:rPr>
          <w:rFonts w:hint="default" w:ascii="Times New Roman" w:hAnsi="Times New Roman" w:cs="Times New Roman"/>
          <w:lang w:eastAsia="zh-CN"/>
        </w:rPr>
      </w:pPr>
      <w:r>
        <w:rPr>
          <w:rFonts w:hint="default" w:ascii="Times New Roman" w:hAnsi="Times New Roman" w:cs="Times New Roman"/>
          <w:lang w:eastAsia="zh-CN"/>
        </w:rPr>
        <w:tab/>
      </w:r>
      <m:oMath>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 xml:space="preserve">leach/run </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ON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ST</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Frac</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leach/run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EF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leach/run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GWP</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100</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×44/28</m:t>
        </m:r>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12</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77196561">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6A88D0EE">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eastAsia="宋体" w:cs="Times New Roman"/>
                <w:b w:val="0"/>
                <w:i w:val="0"/>
                <w:kern w:val="2"/>
                <w:sz w:val="21"/>
                <w:szCs w:val="21"/>
                <w:lang w:val="en-US" w:eastAsia="zh-CN" w:bidi="ar-SA"/>
              </w:rPr>
              <m:t>vol/dep</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氮挥发沉降产生的 </w:t>
      </w:r>
      <w:r>
        <w:rPr>
          <w:rFonts w:hint="default" w:ascii="Times New Roman" w:hAnsi="Times New Roman" w:eastAsia="宋体" w:cs="Times New Roman"/>
          <w:b w:val="0"/>
          <w:i w:val="0"/>
          <w:iCs/>
          <w:kern w:val="2"/>
          <w:sz w:val="21"/>
          <w:szCs w:val="21"/>
          <w:lang w:val="en-US" w:eastAsia="zh-CN" w:bidi="ar-SA"/>
        </w:rPr>
        <w:t>N₂O</w:t>
      </w:r>
      <w:r>
        <w:rPr>
          <w:rFonts w:hint="default" w:ascii="Times New Roman" w:hAnsi="Times New Roman" w:cs="Times New Roman"/>
          <w:b w:val="0"/>
          <w:i w:val="0"/>
          <w:iCs/>
          <w:kern w:val="2"/>
          <w:sz w:val="21"/>
          <w:szCs w:val="21"/>
          <w:lang w:val="en-US" w:eastAsia="zh-CN" w:bidi="ar-SA"/>
        </w:rPr>
        <w:t xml:space="preserve"> 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7AD5C696">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kern w:val="2"/>
                <w:sz w:val="21"/>
                <w:szCs w:val="21"/>
                <w:lang w:val="en-US" w:eastAsia="zh-CN" w:bidi="ar-SA"/>
              </w:rPr>
              <m:t>Frac</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SN</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氮肥以 NH</w:t>
      </w:r>
      <w:r>
        <w:rPr>
          <w:rFonts w:hint="default" w:ascii="Times New Roman" w:hAnsi="Times New Roman" w:cs="Times New Roman"/>
          <w:b w:val="0"/>
          <w:i w:val="0"/>
          <w:iCs/>
          <w:sz w:val="21"/>
          <w:szCs w:val="21"/>
          <w:vertAlign w:val="subscript"/>
          <w:lang w:val="en-US" w:eastAsia="zh-CN"/>
        </w:rPr>
        <w:t>3</w:t>
      </w:r>
      <w:r>
        <w:rPr>
          <w:rFonts w:hint="default" w:ascii="Times New Roman" w:hAnsi="Times New Roman" w:cs="Times New Roman"/>
          <w:b w:val="0"/>
          <w:i w:val="0"/>
          <w:iCs/>
          <w:sz w:val="21"/>
          <w:szCs w:val="21"/>
          <w:vertAlign w:val="baseline"/>
          <w:lang w:val="en-US" w:eastAsia="zh-CN"/>
        </w:rPr>
        <w:t xml:space="preserve"> </w:t>
      </w:r>
      <w:r>
        <w:rPr>
          <w:rFonts w:hint="default" w:ascii="Times New Roman" w:hAnsi="Times New Roman" w:cs="Times New Roman"/>
          <w:b w:val="0"/>
          <w:i w:val="0"/>
          <w:iCs/>
          <w:sz w:val="21"/>
          <w:szCs w:val="21"/>
          <w:lang w:val="en-US" w:eastAsia="zh-CN"/>
        </w:rPr>
        <w:t>和 NO</w:t>
      </w:r>
      <w:r>
        <w:rPr>
          <w:rFonts w:hint="default" w:ascii="Times New Roman" w:hAnsi="Times New Roman" w:cs="Times New Roman"/>
          <w:b w:val="0"/>
          <w:i w:val="0"/>
          <w:iCs/>
          <w:sz w:val="21"/>
          <w:szCs w:val="21"/>
          <w:vertAlign w:val="subscript"/>
          <w:lang w:val="en-US" w:eastAsia="zh-CN"/>
        </w:rPr>
        <w:t>X</w:t>
      </w:r>
      <w:r>
        <w:rPr>
          <w:rFonts w:hint="default" w:ascii="Times New Roman" w:hAnsi="Times New Roman" w:cs="Times New Roman"/>
          <w:b w:val="0"/>
          <w:i w:val="0"/>
          <w:iCs/>
          <w:sz w:val="21"/>
          <w:szCs w:val="21"/>
          <w:vertAlign w:val="baseline"/>
          <w:lang w:val="en-US" w:eastAsia="zh-CN"/>
        </w:rPr>
        <w:t xml:space="preserve"> </w:t>
      </w:r>
      <w:r>
        <w:rPr>
          <w:rFonts w:hint="default" w:ascii="Times New Roman" w:hAnsi="Times New Roman" w:cs="Times New Roman"/>
          <w:b w:val="0"/>
          <w:i w:val="0"/>
          <w:iCs/>
          <w:sz w:val="21"/>
          <w:szCs w:val="21"/>
          <w:lang w:val="en-US" w:eastAsia="zh-CN"/>
        </w:rPr>
        <w:t>形式挥发的比例</w:t>
      </w:r>
      <w:r>
        <w:rPr>
          <w:rFonts w:hint="default" w:ascii="Times New Roman" w:hAnsi="Times New Roman" w:eastAsia="宋体" w:cs="Times New Roman"/>
          <w:b w:val="0"/>
          <w:i w:val="0"/>
          <w:iCs/>
          <w:sz w:val="21"/>
          <w:szCs w:val="21"/>
          <w:highlight w:val="none"/>
        </w:rPr>
        <w:t>，</w:t>
      </w:r>
      <w:r>
        <w:rPr>
          <w:rFonts w:hint="default" w:ascii="Times New Roman" w:hAnsi="Times New Roman" w:cs="Times New Roman"/>
          <w:b w:val="0"/>
          <w:i w:val="0"/>
          <w:iCs/>
          <w:sz w:val="21"/>
          <w:szCs w:val="21"/>
          <w:highlight w:val="none"/>
          <w:lang w:val="en-US" w:eastAsia="zh-CN"/>
        </w:rPr>
        <w:t>值取11%</w:t>
      </w:r>
      <w:r>
        <w:rPr>
          <w:rFonts w:hint="default" w:ascii="Times New Roman" w:hAnsi="Times New Roman" w:cs="Times New Roman"/>
          <w:b w:val="0"/>
          <w:i w:val="0"/>
          <w:iCs/>
          <w:sz w:val="21"/>
          <w:szCs w:val="21"/>
          <w:highlight w:val="none"/>
          <w:lang w:eastAsia="zh-CN"/>
        </w:rPr>
        <w:t>；</w:t>
      </w:r>
    </w:p>
    <w:p w14:paraId="1719437E">
      <w:pPr>
        <w:pStyle w:val="39"/>
        <w:bidi w:val="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kern w:val="2"/>
                <w:sz w:val="21"/>
                <w:szCs w:val="21"/>
                <w:lang w:val="en-US" w:eastAsia="zh-CN" w:bidi="ar-SA"/>
              </w:rPr>
              <m:t>Frac</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ON</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有机肥以 NH</w:t>
      </w:r>
      <w:r>
        <w:rPr>
          <w:rFonts w:hint="default" w:ascii="Times New Roman" w:hAnsi="Times New Roman" w:cs="Times New Roman"/>
          <w:b w:val="0"/>
          <w:i w:val="0"/>
          <w:iCs/>
          <w:sz w:val="21"/>
          <w:szCs w:val="21"/>
          <w:vertAlign w:val="subscript"/>
          <w:lang w:val="en-US" w:eastAsia="zh-CN"/>
        </w:rPr>
        <w:t>3</w:t>
      </w:r>
      <w:r>
        <w:rPr>
          <w:rFonts w:hint="default" w:ascii="Times New Roman" w:hAnsi="Times New Roman" w:cs="Times New Roman"/>
          <w:b w:val="0"/>
          <w:i w:val="0"/>
          <w:iCs/>
          <w:sz w:val="21"/>
          <w:szCs w:val="21"/>
          <w:vertAlign w:val="baseline"/>
          <w:lang w:val="en-US" w:eastAsia="zh-CN"/>
        </w:rPr>
        <w:t xml:space="preserve"> </w:t>
      </w:r>
      <w:r>
        <w:rPr>
          <w:rFonts w:hint="default" w:ascii="Times New Roman" w:hAnsi="Times New Roman" w:cs="Times New Roman"/>
          <w:b w:val="0"/>
          <w:i w:val="0"/>
          <w:iCs/>
          <w:sz w:val="21"/>
          <w:szCs w:val="21"/>
          <w:lang w:val="en-US" w:eastAsia="zh-CN"/>
        </w:rPr>
        <w:t>和 NO</w:t>
      </w:r>
      <w:r>
        <w:rPr>
          <w:rFonts w:hint="default" w:ascii="Times New Roman" w:hAnsi="Times New Roman" w:cs="Times New Roman"/>
          <w:b w:val="0"/>
          <w:i w:val="0"/>
          <w:iCs/>
          <w:sz w:val="21"/>
          <w:szCs w:val="21"/>
          <w:vertAlign w:val="subscript"/>
          <w:lang w:val="en-US" w:eastAsia="zh-CN"/>
        </w:rPr>
        <w:t>X</w:t>
      </w:r>
      <w:r>
        <w:rPr>
          <w:rFonts w:hint="default" w:ascii="Times New Roman" w:hAnsi="Times New Roman" w:cs="Times New Roman"/>
          <w:b w:val="0"/>
          <w:i w:val="0"/>
          <w:iCs/>
          <w:sz w:val="21"/>
          <w:szCs w:val="21"/>
          <w:vertAlign w:val="baseline"/>
          <w:lang w:val="en-US" w:eastAsia="zh-CN"/>
        </w:rPr>
        <w:t xml:space="preserve"> </w:t>
      </w:r>
      <w:r>
        <w:rPr>
          <w:rFonts w:hint="default" w:ascii="Times New Roman" w:hAnsi="Times New Roman" w:cs="Times New Roman"/>
          <w:b w:val="0"/>
          <w:i w:val="0"/>
          <w:iCs/>
          <w:sz w:val="21"/>
          <w:szCs w:val="21"/>
          <w:lang w:val="en-US" w:eastAsia="zh-CN"/>
        </w:rPr>
        <w:t>形式挥发的比例，值取21%；</w:t>
      </w:r>
    </w:p>
    <w:p w14:paraId="5BE31C83">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rPr>
            </m:ctrlPr>
          </m:e>
          <m:sub>
            <m:r>
              <m:rPr>
                <m:nor/>
                <m:sty m:val="p"/>
              </m:rPr>
              <w:rPr>
                <w:rFonts w:hint="default" w:ascii="Times New Roman" w:hAnsi="Times New Roman" w:eastAsia="宋体" w:cs="Times New Roman"/>
                <w:b w:val="0"/>
                <w:i w:val="0"/>
                <w:kern w:val="2"/>
                <w:sz w:val="21"/>
                <w:szCs w:val="21"/>
                <w:lang w:val="en-US" w:eastAsia="zh-CN" w:bidi="ar-SA"/>
              </w:rPr>
              <m:t>vol/dep</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土壤和水面 N 大气沉积的 </w:t>
      </w:r>
      <w:r>
        <w:rPr>
          <w:rFonts w:hint="default" w:ascii="Times New Roman" w:hAnsi="Times New Roman" w:cs="Times New Roman"/>
          <w:b w:val="0"/>
          <w:i w:val="0"/>
          <w:iCs/>
          <w:kern w:val="2"/>
          <w:sz w:val="21"/>
          <w:szCs w:val="21"/>
          <w:lang w:val="en-US" w:eastAsia="zh-CN" w:bidi="ar-SA"/>
        </w:rPr>
        <w:t xml:space="preserve">N2O </w:t>
      </w:r>
      <w:r>
        <w:rPr>
          <w:rFonts w:hint="default" w:ascii="Times New Roman" w:hAnsi="Times New Roman" w:cs="Times New Roman"/>
          <w:b w:val="0"/>
          <w:i w:val="0"/>
          <w:iCs/>
          <w:sz w:val="21"/>
          <w:szCs w:val="21"/>
          <w:lang w:val="en-US" w:eastAsia="zh-CN"/>
        </w:rPr>
        <w:t>排放因子（</w:t>
      </w:r>
      <w:r>
        <w:rPr>
          <w:rFonts w:hint="default" w:ascii="Times New Roman" w:hAnsi="Times New Roman" w:cs="Times New Roman"/>
          <w:b w:val="0"/>
          <w:i w:val="0"/>
          <w:iCs/>
          <w:kern w:val="2"/>
          <w:sz w:val="21"/>
          <w:szCs w:val="21"/>
          <w:lang w:val="en-US" w:eastAsia="zh-CN" w:bidi="ar-SA"/>
        </w:rPr>
        <w:t xml:space="preserve">kg </w:t>
      </w:r>
      <w:r>
        <w:rPr>
          <w:rFonts w:hint="default" w:ascii="Times New Roman" w:hAnsi="Times New Roman" w:eastAsia="宋体" w:cs="Times New Roman"/>
          <w:b w:val="0"/>
          <w:i w:val="0"/>
          <w:iCs/>
          <w:kern w:val="2"/>
          <w:sz w:val="21"/>
          <w:szCs w:val="21"/>
          <w:lang w:val="en-US" w:eastAsia="zh-CN" w:bidi="ar-SA"/>
        </w:rPr>
        <w:t>N₂O-N</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cs="Times New Roman"/>
          <w:b w:val="0"/>
          <w:i w:val="0"/>
          <w:iCs/>
          <w:sz w:val="21"/>
          <w:szCs w:val="21"/>
          <w:lang w:val="en-US" w:eastAsia="zh-CN"/>
        </w:rPr>
        <w:t xml:space="preserve">kg </w:t>
      </w:r>
      <w:r>
        <w:rPr>
          <w:rFonts w:hint="default" w:ascii="Times New Roman" w:hAnsi="Times New Roman" w:eastAsia="宋体" w:cs="Times New Roman"/>
          <w:b w:val="0"/>
          <w:i w:val="0"/>
          <w:iCs/>
          <w:kern w:val="2"/>
          <w:sz w:val="21"/>
          <w:szCs w:val="21"/>
          <w:lang w:val="en-US" w:eastAsia="zh-CN" w:bidi="ar-SA"/>
        </w:rPr>
        <w:t>N</w:t>
      </w:r>
      <w:r>
        <w:rPr>
          <w:rFonts w:hint="default" w:ascii="Times New Roman" w:hAnsi="Times New Roman" w:cs="Times New Roman"/>
          <w:b w:val="0"/>
          <w:i w:val="0"/>
          <w:iCs/>
          <w:kern w:val="2"/>
          <w:sz w:val="21"/>
          <w:szCs w:val="21"/>
          <w:lang w:val="en-US" w:eastAsia="zh-CN" w:bidi="ar-SA"/>
        </w:rPr>
        <w:t>H</w:t>
      </w:r>
      <w:r>
        <w:rPr>
          <w:rFonts w:hint="default" w:ascii="Times New Roman" w:hAnsi="Times New Roman" w:cs="Times New Roman"/>
          <w:b w:val="0"/>
          <w:i w:val="0"/>
          <w:iCs/>
          <w:kern w:val="2"/>
          <w:sz w:val="21"/>
          <w:szCs w:val="21"/>
          <w:vertAlign w:val="subscript"/>
          <w:lang w:val="en-US" w:eastAsia="zh-CN" w:bidi="ar-SA"/>
        </w:rPr>
        <w:t>3</w:t>
      </w:r>
      <w:r>
        <w:rPr>
          <w:rFonts w:hint="default" w:ascii="Times New Roman" w:hAnsi="Times New Roman" w:eastAsia="宋体" w:cs="Times New Roman"/>
          <w:b w:val="0"/>
          <w:i w:val="0"/>
          <w:iCs/>
          <w:kern w:val="2"/>
          <w:sz w:val="21"/>
          <w:szCs w:val="21"/>
          <w:lang w:val="en-US" w:eastAsia="zh-CN" w:bidi="ar-SA"/>
        </w:rPr>
        <w:t>-N</w:t>
      </w:r>
      <w:r>
        <w:rPr>
          <w:rFonts w:hint="default" w:ascii="Times New Roman" w:hAnsi="Times New Roman" w:cs="Times New Roman"/>
          <w:b w:val="0"/>
          <w:i w:val="0"/>
          <w:iCs/>
          <w:kern w:val="2"/>
          <w:sz w:val="21"/>
          <w:szCs w:val="21"/>
          <w:lang w:val="en-US" w:eastAsia="zh-CN" w:bidi="ar-SA"/>
        </w:rPr>
        <w:t>+NO</w:t>
      </w:r>
      <w:r>
        <w:rPr>
          <w:rFonts w:hint="default" w:ascii="Times New Roman" w:hAnsi="Times New Roman" w:cs="Times New Roman"/>
          <w:b w:val="0"/>
          <w:i w:val="0"/>
          <w:iCs/>
          <w:kern w:val="2"/>
          <w:sz w:val="21"/>
          <w:szCs w:val="21"/>
          <w:vertAlign w:val="subscript"/>
          <w:lang w:val="en-US" w:eastAsia="zh-CN" w:bidi="ar-SA"/>
        </w:rPr>
        <w:t>X</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N</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cs="Times New Roman"/>
          <w:b w:val="0"/>
          <w:i w:val="0"/>
          <w:iCs/>
          <w:sz w:val="21"/>
          <w:szCs w:val="21"/>
          <w:lang w:eastAsia="zh-CN"/>
        </w:rPr>
        <w:t>；</w:t>
      </w:r>
    </w:p>
    <w:p w14:paraId="73093E88">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kern w:val="2"/>
                <w:sz w:val="21"/>
                <w:szCs w:val="21"/>
                <w:lang w:val="en-US" w:eastAsia="zh-CN" w:bidi="ar-SA"/>
              </w:rPr>
              <m:t>leach</m:t>
            </m:r>
            <m:r>
              <m:rPr>
                <m:nor/>
                <m:sty m:val="p"/>
              </m:rPr>
              <w:rPr>
                <w:rFonts w:hint="default" w:ascii="Times New Roman" w:hAnsi="Times New Roman" w:eastAsia="宋体" w:cs="Times New Roman"/>
                <w:b w:val="0"/>
                <w:i w:val="0"/>
                <w:kern w:val="2"/>
                <w:sz w:val="21"/>
                <w:szCs w:val="21"/>
                <w:lang w:val="en-US" w:eastAsia="zh-CN" w:bidi="ar-SA"/>
              </w:rPr>
              <m:t>/</m:t>
            </m:r>
            <m:r>
              <m:rPr>
                <m:nor/>
                <m:sty m:val="p"/>
              </m:rPr>
              <w:rPr>
                <w:rFonts w:hint="default" w:ascii="Times New Roman" w:hAnsi="Times New Roman" w:cs="Times New Roman"/>
                <w:b w:val="0"/>
                <w:i w:val="0"/>
                <w:kern w:val="2"/>
                <w:sz w:val="21"/>
                <w:szCs w:val="21"/>
                <w:lang w:val="en-US" w:eastAsia="zh-CN" w:bidi="ar-SA"/>
              </w:rPr>
              <m:t>run</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氮淋溶径流产生的 </w:t>
      </w:r>
      <w:r>
        <w:rPr>
          <w:rFonts w:hint="default" w:ascii="Times New Roman" w:hAnsi="Times New Roman" w:eastAsia="宋体" w:cs="Times New Roman"/>
          <w:b w:val="0"/>
          <w:i w:val="0"/>
          <w:iCs/>
          <w:kern w:val="2"/>
          <w:sz w:val="21"/>
          <w:szCs w:val="21"/>
          <w:lang w:val="en-US" w:eastAsia="zh-CN" w:bidi="ar-SA"/>
        </w:rPr>
        <w:t>N₂O</w:t>
      </w:r>
      <w:r>
        <w:rPr>
          <w:rFonts w:hint="default" w:ascii="Times New Roman" w:hAnsi="Times New Roman" w:cs="Times New Roman"/>
          <w:b w:val="0"/>
          <w:i w:val="0"/>
          <w:iCs/>
          <w:kern w:val="2"/>
          <w:sz w:val="21"/>
          <w:szCs w:val="21"/>
          <w:lang w:val="en-US" w:eastAsia="zh-CN" w:bidi="ar-SA"/>
        </w:rPr>
        <w:t xml:space="preserve"> 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30E44112">
      <w:pPr>
        <w:pStyle w:val="39"/>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kern w:val="2"/>
                <w:sz w:val="21"/>
                <w:szCs w:val="21"/>
                <w:lang w:val="en-US" w:eastAsia="zh-CN" w:bidi="ar-SA"/>
              </w:rPr>
              <m:t>Frac</m:t>
            </m:r>
            <m:ctrlPr>
              <w:rPr>
                <w:rFonts w:hint="default" w:ascii="Cambria Math" w:hAnsi="Cambria Math" w:cs="Times New Roman"/>
                <w:i w:val="0"/>
                <w:iCs/>
              </w:rPr>
            </m:ctrlPr>
          </m:e>
          <m:sub>
            <m:r>
              <m:rPr>
                <m:nor/>
                <m:sty m:val="p"/>
              </m:rPr>
              <w:rPr>
                <w:rFonts w:hint="default" w:ascii="Times New Roman" w:hAnsi="Times New Roman" w:cs="Times New Roman"/>
                <w:b w:val="0"/>
                <w:i w:val="0"/>
                <w:kern w:val="2"/>
                <w:sz w:val="21"/>
                <w:szCs w:val="21"/>
                <w:lang w:val="en-US" w:eastAsia="zh-CN" w:bidi="ar-SA"/>
              </w:rPr>
              <m:t>leach</m:t>
            </m:r>
            <m:r>
              <m:rPr>
                <m:nor/>
                <m:sty m:val="p"/>
              </m:rPr>
              <w:rPr>
                <w:rFonts w:hint="default" w:ascii="Times New Roman" w:hAnsi="Times New Roman" w:eastAsia="宋体" w:cs="Times New Roman"/>
                <w:b w:val="0"/>
                <w:i w:val="0"/>
                <w:kern w:val="2"/>
                <w:sz w:val="21"/>
                <w:szCs w:val="21"/>
                <w:lang w:val="en-US" w:eastAsia="zh-CN" w:bidi="ar-SA"/>
              </w:rPr>
              <m:t>/</m:t>
            </m:r>
            <m:r>
              <m:rPr>
                <m:nor/>
                <m:sty m:val="p"/>
              </m:rPr>
              <w:rPr>
                <w:rFonts w:hint="default" w:ascii="Times New Roman" w:hAnsi="Times New Roman" w:cs="Times New Roman"/>
                <w:b w:val="0"/>
                <w:i w:val="0"/>
                <w:kern w:val="2"/>
                <w:sz w:val="21"/>
                <w:szCs w:val="21"/>
                <w:lang w:val="en-US" w:eastAsia="zh-CN" w:bidi="ar-SA"/>
              </w:rPr>
              <m:t>run</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淋溶和径流损失的所有</w:t>
      </w:r>
      <w:r>
        <w:rPr>
          <w:rFonts w:hint="default" w:ascii="Times New Roman" w:hAnsi="Times New Roman" w:cs="Times New Roman"/>
          <w:b w:val="0"/>
          <w:i w:val="0"/>
          <w:iCs/>
          <w:kern w:val="2"/>
          <w:sz w:val="21"/>
          <w:szCs w:val="21"/>
          <w:lang w:val="en-US" w:eastAsia="zh-CN" w:bidi="ar-SA"/>
        </w:rPr>
        <w:t>施加</w:t>
      </w:r>
      <w:r>
        <w:rPr>
          <w:rFonts w:hint="default" w:ascii="Times New Roman" w:hAnsi="Times New Roman" w:cs="Times New Roman"/>
          <w:b w:val="0"/>
          <w:i w:val="0"/>
          <w:iCs/>
          <w:sz w:val="21"/>
          <w:szCs w:val="21"/>
          <w:lang w:val="en-US" w:eastAsia="zh-CN"/>
        </w:rPr>
        <w:t>氮/矿化氮的比例，值取24%</w:t>
      </w:r>
      <w:r>
        <w:rPr>
          <w:rFonts w:hint="default" w:ascii="Times New Roman" w:hAnsi="Times New Roman" w:cs="Times New Roman"/>
          <w:b w:val="0"/>
          <w:i w:val="0"/>
          <w:iCs/>
          <w:sz w:val="21"/>
          <w:szCs w:val="21"/>
          <w:lang w:eastAsia="zh-CN"/>
        </w:rPr>
        <w:t>；</w:t>
      </w:r>
    </w:p>
    <w:p w14:paraId="3D02C197">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rPr>
            </m:ctrlPr>
          </m:e>
          <m:sub>
            <m:r>
              <m:rPr>
                <m:nor/>
                <m:sty m:val="p"/>
              </m:rPr>
              <w:rPr>
                <w:rFonts w:hint="default" w:ascii="Times New Roman" w:hAnsi="Times New Roman" w:cs="Times New Roman"/>
                <w:b w:val="0"/>
                <w:i w:val="0"/>
                <w:kern w:val="2"/>
                <w:sz w:val="21"/>
                <w:szCs w:val="21"/>
                <w:lang w:val="en-US" w:eastAsia="zh-CN" w:bidi="ar-SA"/>
              </w:rPr>
              <m:t>leach</m:t>
            </m:r>
            <m:r>
              <m:rPr>
                <m:nor/>
                <m:sty m:val="p"/>
              </m:rPr>
              <w:rPr>
                <w:rFonts w:hint="default" w:ascii="Times New Roman" w:hAnsi="Times New Roman" w:eastAsia="宋体" w:cs="Times New Roman"/>
                <w:b w:val="0"/>
                <w:i w:val="0"/>
                <w:kern w:val="2"/>
                <w:sz w:val="21"/>
                <w:szCs w:val="21"/>
                <w:lang w:val="en-US" w:eastAsia="zh-CN" w:bidi="ar-SA"/>
              </w:rPr>
              <m:t>/</m:t>
            </m:r>
            <m:r>
              <m:rPr>
                <m:nor/>
                <m:sty m:val="p"/>
              </m:rPr>
              <w:rPr>
                <w:rFonts w:hint="default" w:ascii="Times New Roman" w:hAnsi="Times New Roman" w:cs="Times New Roman"/>
                <w:b w:val="0"/>
                <w:i w:val="0"/>
                <w:kern w:val="2"/>
                <w:sz w:val="21"/>
                <w:szCs w:val="21"/>
                <w:lang w:val="en-US" w:eastAsia="zh-CN" w:bidi="ar-SA"/>
              </w:rPr>
              <m:t>run</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淋溶和径流氮的排放因子（kg </w:t>
      </w:r>
      <w:r>
        <w:rPr>
          <w:rFonts w:hint="default" w:ascii="Times New Roman" w:hAnsi="Times New Roman" w:eastAsia="宋体" w:cs="Times New Roman"/>
          <w:b w:val="0"/>
          <w:i w:val="0"/>
          <w:iCs/>
          <w:kern w:val="2"/>
          <w:sz w:val="21"/>
          <w:szCs w:val="21"/>
          <w:lang w:val="en-US" w:eastAsia="zh-CN" w:bidi="ar-SA"/>
        </w:rPr>
        <w:t>N₂O-N</w:t>
      </w:r>
      <w:r>
        <w:rPr>
          <w:rFonts w:hint="default" w:ascii="Times New Roman" w:hAnsi="Times New Roman" w:cs="Times New Roman"/>
          <w:b w:val="0"/>
          <w:i w:val="0"/>
          <w:iCs/>
          <w:kern w:val="2"/>
          <w:sz w:val="21"/>
          <w:szCs w:val="21"/>
          <w:lang w:val="en-US" w:eastAsia="zh-CN" w:bidi="ar-SA"/>
        </w:rPr>
        <w:t>/kg N</w:t>
      </w:r>
      <w:r>
        <w:rPr>
          <w:rFonts w:hint="default" w:ascii="Times New Roman" w:hAnsi="Times New Roman" w:cs="Times New Roman"/>
          <w:b w:val="0"/>
          <w:i w:val="0"/>
          <w:iCs/>
          <w:kern w:val="2"/>
          <w:sz w:val="21"/>
          <w:szCs w:val="21"/>
          <w:vertAlign w:val="subscript"/>
          <w:lang w:val="en-US" w:eastAsia="zh-CN" w:bidi="ar-SA"/>
        </w:rPr>
        <w:t>淋溶</w:t>
      </w:r>
      <w:r>
        <w:rPr>
          <w:rFonts w:hint="default" w:ascii="Times New Roman" w:hAnsi="Times New Roman" w:cs="Times New Roman"/>
          <w:b w:val="0"/>
          <w:i w:val="0"/>
          <w:iCs/>
          <w:sz w:val="21"/>
          <w:szCs w:val="21"/>
          <w:vertAlign w:val="subscript"/>
          <w:lang w:val="en-US" w:eastAsia="zh-CN"/>
        </w:rPr>
        <w:t>和径流</w:t>
      </w:r>
      <w:r>
        <w:rPr>
          <w:rFonts w:hint="default" w:ascii="Times New Roman" w:hAnsi="Times New Roman" w:cs="Times New Roman"/>
          <w:b w:val="0"/>
          <w:i w:val="0"/>
          <w:iCs/>
          <w:sz w:val="21"/>
          <w:szCs w:val="21"/>
          <w:lang w:val="en-US" w:eastAsia="zh-CN"/>
        </w:rPr>
        <w:t>）</w:t>
      </w:r>
      <w:r>
        <w:rPr>
          <w:rFonts w:hint="default" w:ascii="Times New Roman" w:hAnsi="Times New Roman" w:cs="Times New Roman"/>
          <w:b w:val="0"/>
          <w:i w:val="0"/>
          <w:iCs/>
          <w:sz w:val="21"/>
          <w:szCs w:val="21"/>
          <w:lang w:eastAsia="zh-CN"/>
        </w:rPr>
        <w:t>。</w:t>
      </w:r>
    </w:p>
    <w:p w14:paraId="74343394">
      <w:pPr>
        <w:pStyle w:val="39"/>
        <w:bidi w:val="0"/>
        <w:rPr>
          <w:rFonts w:hint="eastAsia" w:ascii="宋体" w:hAnsi="宋体"/>
          <w:b w:val="0"/>
          <w:i w:val="0"/>
          <w:iCs/>
          <w:sz w:val="21"/>
          <w:szCs w:val="21"/>
          <w:lang w:eastAsia="zh-CN"/>
        </w:rPr>
      </w:pPr>
      <w:r>
        <w:rPr>
          <w:rFonts w:hint="eastAsia" w:ascii="宋体" w:hAnsi="宋体"/>
          <w:b w:val="0"/>
          <w:i w:val="0"/>
          <w:iCs/>
          <w:sz w:val="21"/>
          <w:szCs w:val="21"/>
          <w:lang w:val="en-US" w:eastAsia="zh-CN"/>
        </w:rPr>
        <w:t>植株</w:t>
      </w:r>
      <w:r>
        <w:rPr>
          <w:rFonts w:hint="eastAsia" w:ascii="宋体" w:hAnsi="宋体"/>
          <w:b w:val="0"/>
          <w:i w:val="0"/>
          <w:iCs/>
          <w:sz w:val="21"/>
          <w:szCs w:val="21"/>
          <w:lang w:eastAsia="zh-CN"/>
        </w:rPr>
        <w:t>还田的氮量</w:t>
      </w:r>
      <w:r>
        <w:rPr>
          <w:rFonts w:hint="eastAsia" w:ascii="宋体" w:hAnsi="宋体"/>
          <w:b w:val="0"/>
          <w:i w:val="0"/>
          <w:iCs/>
          <w:sz w:val="21"/>
          <w:szCs w:val="21"/>
          <w:lang w:val="en-US" w:eastAsia="zh-CN"/>
        </w:rPr>
        <w:t>的计算</w:t>
      </w:r>
      <w:r>
        <w:rPr>
          <w:rFonts w:hint="eastAsia" w:ascii="Times New Roman" w:hAnsi="Times New Roman" w:cs="Times New Roman"/>
          <w:b w:val="0"/>
          <w:i w:val="0"/>
          <w:iCs/>
          <w:kern w:val="2"/>
          <w:sz w:val="21"/>
          <w:szCs w:val="21"/>
          <w:lang w:val="en-US" w:eastAsia="zh-CN" w:bidi="ar-SA"/>
        </w:rPr>
        <w:t>公式</w:t>
      </w:r>
      <w:r>
        <w:rPr>
          <w:rFonts w:hint="eastAsia" w:ascii="宋体" w:hAnsi="宋体"/>
          <w:b w:val="0"/>
          <w:i w:val="0"/>
          <w:iCs/>
          <w:sz w:val="21"/>
          <w:szCs w:val="21"/>
          <w:lang w:val="en-US" w:eastAsia="zh-CN"/>
        </w:rPr>
        <w:t>如下</w:t>
      </w:r>
      <w:r>
        <w:rPr>
          <w:rFonts w:hint="eastAsia" w:ascii="宋体" w:hAnsi="宋体"/>
          <w:b w:val="0"/>
          <w:i w:val="0"/>
          <w:iCs/>
          <w:sz w:val="21"/>
          <w:szCs w:val="21"/>
          <w:lang w:eastAsia="zh-CN"/>
        </w:rPr>
        <w:t>：</w:t>
      </w:r>
    </w:p>
    <w:p w14:paraId="0AF5184F">
      <w:pPr>
        <w:pStyle w:val="116"/>
        <w:bidi w:val="0"/>
        <w:rPr>
          <w:rFonts w:hint="default" w:ascii="Times New Roman" w:hAnsi="Times New Roman" w:cs="Times New Roman"/>
          <w:i w:val="0"/>
          <w:iCs/>
          <w:lang w:eastAsia="zh-CN"/>
        </w:rPr>
      </w:pPr>
      <w:r>
        <w:rPr>
          <w:rFonts w:hint="default" w:ascii="Times New Roman" w:hAnsi="Times New Roman" w:cs="Times New Roman"/>
          <w:lang w:eastAsia="zh-CN"/>
        </w:rPr>
        <w:tab/>
      </w: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lang w:val="en-US" w:eastAsia="zh-CN"/>
              </w:rPr>
              <m:t>F</m:t>
            </m:r>
            <m:ctrlPr>
              <w:rPr>
                <w:rFonts w:hint="default" w:ascii="Cambria Math" w:hAnsi="Cambria Math" w:cs="Times New Roman"/>
                <w:i w:val="0"/>
                <w:iCs/>
              </w:rPr>
            </m:ctrlPr>
          </m:e>
          <m:sub>
            <m:r>
              <m:rPr>
                <m:nor/>
                <m:sty m:val="p"/>
              </m:rPr>
              <w:rPr>
                <w:rFonts w:hint="default" w:ascii="Times New Roman" w:hAnsi="Times New Roman" w:cs="Times New Roman"/>
                <w:b w:val="0"/>
                <w:i w:val="0"/>
                <w:lang w:val="en-US" w:eastAsia="zh-CN"/>
              </w:rPr>
              <m:t>ST</m:t>
            </m:r>
            <m:ctrlPr>
              <w:rPr>
                <w:rFonts w:hint="default" w:ascii="Cambria Math" w:hAnsi="Cambria Math" w:cs="Times New Roman"/>
                <w:i w:val="0"/>
                <w:iCs/>
              </w:rPr>
            </m:ctrlPr>
          </m:sub>
        </m:sSub>
        <m:r>
          <m:rPr>
            <m:nor/>
            <m:sty m:val="p"/>
          </m:rPr>
          <w:rPr>
            <w:rFonts w:hint="default" w:ascii="Times New Roman" w:hAnsi="Times New Roman" w:cs="Times New Roman"/>
            <w:b w:val="0"/>
            <w:i w:val="0"/>
            <w:lang w:val="en-US" w:eastAsia="zh-CN"/>
          </w:rPr>
          <m:t>=(</m:t>
        </m:r>
        <m:f>
          <m:fPr>
            <m:ctrlPr>
              <w:rPr>
                <w:rFonts w:hint="default" w:ascii="Cambria Math" w:hAnsi="Cambria Math" w:cs="Times New Roman"/>
                <w:i w:val="0"/>
                <w:iCs/>
                <w:lang w:val="en-US" w:eastAsia="zh-CN"/>
              </w:rPr>
            </m:ctrlPr>
          </m:fPr>
          <m:num>
            <m:r>
              <m:rPr>
                <m:nor/>
                <m:sty m:val="p"/>
              </m:rPr>
              <w:rPr>
                <w:rFonts w:hint="default" w:ascii="Times New Roman" w:hAnsi="Times New Roman" w:cs="Times New Roman"/>
                <w:b w:val="0"/>
                <w:i w:val="0"/>
                <w:lang w:val="en-US" w:eastAsia="zh-CN"/>
              </w:rPr>
              <m:t>Y</m:t>
            </m:r>
            <m:ctrlPr>
              <w:rPr>
                <w:rFonts w:hint="default" w:ascii="Cambria Math" w:hAnsi="Cambria Math" w:cs="Times New Roman"/>
                <w:i w:val="0"/>
                <w:iCs/>
                <w:lang w:val="en-US" w:eastAsia="zh-CN"/>
              </w:rPr>
            </m:ctrlPr>
          </m:num>
          <m:den>
            <m:r>
              <m:rPr>
                <m:nor/>
                <m:sty m:val="p"/>
              </m:rPr>
              <w:rPr>
                <w:rFonts w:hint="default" w:ascii="Times New Roman" w:hAnsi="Times New Roman" w:cs="Times New Roman"/>
                <w:b w:val="0"/>
                <w:i w:val="0"/>
                <w:lang w:val="en-US" w:eastAsia="zh-CN"/>
              </w:rPr>
              <m:t>E</m:t>
            </m:r>
            <m:ctrlPr>
              <w:rPr>
                <w:rFonts w:hint="default" w:ascii="Cambria Math" w:hAnsi="Cambria Math" w:cs="Times New Roman"/>
                <w:i w:val="0"/>
                <w:iCs/>
                <w:lang w:val="en-US" w:eastAsia="zh-CN"/>
              </w:rPr>
            </m:ctrlPr>
          </m:den>
        </m:f>
        <m:r>
          <m:rPr>
            <m:nor/>
            <m:sty m:val="p"/>
          </m:rPr>
          <w:rPr>
            <w:rFonts w:hint="default" w:ascii="Times New Roman" w:hAnsi="Times New Roman" w:cs="Times New Roman"/>
            <w:b w:val="0"/>
            <w:i w:val="0"/>
            <w:lang w:val="en-US" w:eastAsia="zh-CN"/>
          </w:rPr>
          <m:t>−Y)</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RN</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R+</m:t>
        </m:r>
        <m:f>
          <m:fPr>
            <m:ctrlPr>
              <w:rPr>
                <w:rFonts w:hint="default" w:ascii="Cambria Math" w:hAnsi="Cambria Math" w:cs="Times New Roman"/>
                <w:i w:val="0"/>
                <w:iCs/>
                <w:lang w:val="en-US" w:eastAsia="zh-CN"/>
              </w:rPr>
            </m:ctrlPr>
          </m:fPr>
          <m:num>
            <m:r>
              <m:rPr>
                <m:nor/>
                <m:sty m:val="p"/>
              </m:rPr>
              <w:rPr>
                <w:rFonts w:hint="default" w:ascii="Times New Roman" w:hAnsi="Times New Roman" w:cs="Times New Roman"/>
                <w:b w:val="0"/>
                <w:i w:val="0"/>
                <w:lang w:val="en-US" w:eastAsia="zh-CN"/>
              </w:rPr>
              <m:t>Y</m:t>
            </m:r>
            <m:ctrlPr>
              <w:rPr>
                <w:rFonts w:hint="default" w:ascii="Cambria Math" w:hAnsi="Cambria Math" w:cs="Times New Roman"/>
                <w:i w:val="0"/>
                <w:iCs/>
                <w:lang w:val="en-US" w:eastAsia="zh-CN"/>
              </w:rPr>
            </m:ctrlPr>
          </m:num>
          <m:den>
            <m:r>
              <m:rPr>
                <m:nor/>
                <m:sty m:val="p"/>
              </m:rPr>
              <w:rPr>
                <w:rFonts w:hint="default" w:ascii="Times New Roman" w:hAnsi="Times New Roman" w:cs="Times New Roman"/>
                <w:b w:val="0"/>
                <w:i w:val="0"/>
                <w:lang w:val="en-US" w:eastAsia="zh-CN"/>
              </w:rPr>
              <m:t>E</m:t>
            </m:r>
            <m:ctrlPr>
              <w:rPr>
                <w:rFonts w:hint="default" w:ascii="Cambria Math" w:hAnsi="Cambria Math" w:cs="Times New Roman"/>
                <w:iCs/>
                <w:lang w:val="en-US" w:eastAsia="zh-CN"/>
              </w:rPr>
            </m:ctrlPr>
          </m:den>
        </m:f>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RS×RN</m:t>
        </m:r>
      </m:oMath>
      <w:r>
        <w:rPr>
          <w:rFonts w:hint="default" w:ascii="Times New Roman" w:hAnsi="Times New Roman" w:eastAsia="微软雅黑" w:cs="Times New Roman"/>
          <w:i w:val="0"/>
          <w:iCs/>
          <w:lang w:eastAsia="zh-CN"/>
        </w:rPr>
        <w:tab/>
      </w:r>
      <w:r>
        <w:rPr>
          <w:rFonts w:hint="default" w:ascii="Times New Roman" w:hAnsi="Times New Roman" w:cs="Times New Roman"/>
          <w:i w:val="0"/>
          <w:iCs/>
          <w:lang w:eastAsia="zh-CN"/>
        </w:rPr>
        <w:t>(</w:t>
      </w:r>
      <w:r>
        <w:rPr>
          <w:rFonts w:hint="default" w:ascii="Times New Roman" w:hAnsi="Times New Roman" w:cs="Times New Roman"/>
          <w:i w:val="0"/>
          <w:iCs/>
          <w:lang w:eastAsia="zh-CN"/>
        </w:rPr>
        <w:fldChar w:fldCharType="begin"/>
      </w:r>
      <w:r>
        <w:rPr>
          <w:rFonts w:hint="default" w:ascii="Times New Roman" w:hAnsi="Times New Roman" w:cs="Times New Roman"/>
          <w:i w:val="0"/>
          <w:iCs/>
          <w:lang w:eastAsia="zh-CN"/>
        </w:rPr>
        <w:instrText xml:space="preserve"> SEQ 公式 \* ARABIC </w:instrText>
      </w:r>
      <w:r>
        <w:rPr>
          <w:rFonts w:hint="default" w:ascii="Times New Roman" w:hAnsi="Times New Roman" w:cs="Times New Roman"/>
          <w:i w:val="0"/>
          <w:iCs/>
          <w:lang w:eastAsia="zh-CN"/>
        </w:rPr>
        <w:fldChar w:fldCharType="separate"/>
      </w:r>
      <w:r>
        <w:rPr>
          <w:rFonts w:hint="default" w:ascii="Times New Roman" w:hAnsi="Times New Roman" w:cs="Times New Roman"/>
          <w:i w:val="0"/>
          <w:iCs/>
          <w:lang w:eastAsia="zh-CN"/>
        </w:rPr>
        <w:t>13</w:t>
      </w:r>
      <w:r>
        <w:rPr>
          <w:rFonts w:hint="default" w:ascii="Times New Roman" w:hAnsi="Times New Roman" w:cs="Times New Roman"/>
          <w:i w:val="0"/>
          <w:iCs/>
          <w:lang w:eastAsia="zh-CN"/>
        </w:rPr>
        <w:fldChar w:fldCharType="end"/>
      </w:r>
      <w:r>
        <w:rPr>
          <w:rFonts w:hint="default" w:ascii="Times New Roman" w:hAnsi="Times New Roman" w:cs="Times New Roman"/>
          <w:i w:val="0"/>
          <w:iCs/>
          <w:lang w:eastAsia="zh-CN"/>
        </w:rPr>
        <w:t>)</w:t>
      </w:r>
    </w:p>
    <w:p w14:paraId="7965C6C3">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6B989355">
      <w:pPr>
        <w:pStyle w:val="39"/>
        <w:bidi w:val="0"/>
        <w:rPr>
          <w:rFonts w:hint="default" w:ascii="Times New Roman" w:hAnsi="Times New Roman" w:cs="Times New Roman"/>
          <w:b w:val="0"/>
          <w:i w:val="0"/>
          <w:iCs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Y</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神湾菠萝</w:t>
      </w:r>
      <w:r>
        <w:rPr>
          <w:rFonts w:hint="default" w:ascii="Times New Roman" w:hAnsi="Times New Roman" w:cs="Times New Roman"/>
          <w:b w:val="0"/>
          <w:i w:val="0"/>
          <w:iCs/>
          <w:kern w:val="2"/>
          <w:sz w:val="21"/>
          <w:szCs w:val="21"/>
          <w:lang w:val="en-US" w:eastAsia="zh-CN" w:bidi="ar-SA"/>
        </w:rPr>
        <w:t>经济</w:t>
      </w:r>
      <w:r>
        <w:rPr>
          <w:rFonts w:hint="default" w:ascii="Times New Roman" w:hAnsi="Times New Roman" w:cs="Times New Roman"/>
          <w:b w:val="0"/>
          <w:i w:val="0"/>
          <w:iCs w:val="0"/>
          <w:sz w:val="21"/>
          <w:szCs w:val="21"/>
          <w:lang w:val="en-US" w:eastAsia="zh-CN"/>
        </w:rPr>
        <w:t>产量（kg）；</w:t>
      </w:r>
    </w:p>
    <w:p w14:paraId="5089E93C">
      <w:pPr>
        <w:pStyle w:val="39"/>
        <w:bidi w:val="0"/>
        <w:rPr>
          <w:rFonts w:hint="default" w:ascii="Times New Roman" w:hAnsi="Times New Roman" w:cs="Times New Roman"/>
          <w:b w:val="0"/>
          <w:i w:val="0"/>
          <w:iCs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E</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神湾菠萝的收获指数（%）；</w:t>
      </w:r>
    </w:p>
    <w:p w14:paraId="3274EE82">
      <w:pPr>
        <w:pStyle w:val="39"/>
        <w:bidi w:val="0"/>
        <w:rPr>
          <w:rFonts w:hint="default" w:ascii="Times New Roman" w:hAnsi="Times New Roman" w:cs="Times New Roman"/>
          <w:b w:val="0"/>
          <w:i w:val="0"/>
          <w:iCs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RN</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神湾菠萝植株</w:t>
      </w:r>
      <w:r>
        <w:rPr>
          <w:rFonts w:hint="default" w:ascii="Times New Roman" w:hAnsi="Times New Roman" w:cs="Times New Roman"/>
          <w:b w:val="0"/>
          <w:i w:val="0"/>
          <w:iCs w:val="0"/>
          <w:sz w:val="21"/>
          <w:szCs w:val="21"/>
          <w:lang w:eastAsia="zh-CN"/>
        </w:rPr>
        <w:t>和根系含氮量（</w:t>
      </w:r>
      <w:r>
        <w:rPr>
          <w:rFonts w:hint="default" w:ascii="Times New Roman" w:hAnsi="Times New Roman" w:cs="Times New Roman"/>
          <w:b w:val="0"/>
          <w:i w:val="0"/>
          <w:iCs w:val="0"/>
          <w:sz w:val="21"/>
          <w:szCs w:val="21"/>
          <w:lang w:val="en-US" w:eastAsia="zh-CN"/>
        </w:rPr>
        <w:t>kg N/kg）；</w:t>
      </w:r>
    </w:p>
    <w:p w14:paraId="3863500B">
      <w:pPr>
        <w:pStyle w:val="39"/>
        <w:bidi w:val="0"/>
        <w:rPr>
          <w:rFonts w:hint="default" w:ascii="Times New Roman" w:hAnsi="Times New Roman" w:cs="Times New Roman"/>
          <w:b w:val="0"/>
          <w:i w:val="0"/>
          <w:iCs w:val="0"/>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R</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神湾菠萝植株</w:t>
      </w:r>
      <w:r>
        <w:rPr>
          <w:rFonts w:hint="default" w:ascii="Times New Roman" w:hAnsi="Times New Roman" w:cs="Times New Roman"/>
          <w:b w:val="0"/>
          <w:i w:val="0"/>
          <w:iCs w:val="0"/>
          <w:sz w:val="21"/>
          <w:szCs w:val="21"/>
          <w:lang w:eastAsia="zh-CN"/>
        </w:rPr>
        <w:t>还田量比例（</w:t>
      </w:r>
      <w:r>
        <w:rPr>
          <w:rFonts w:hint="default" w:ascii="Times New Roman" w:hAnsi="Times New Roman" w:cs="Times New Roman"/>
          <w:b w:val="0"/>
          <w:i w:val="0"/>
          <w:iCs w:val="0"/>
          <w:sz w:val="21"/>
          <w:szCs w:val="21"/>
          <w:lang w:val="en-US" w:eastAsia="zh-CN"/>
        </w:rPr>
        <w:t>%</w:t>
      </w:r>
      <w:r>
        <w:rPr>
          <w:rFonts w:hint="default" w:ascii="Times New Roman" w:hAnsi="Times New Roman" w:cs="Times New Roman"/>
          <w:b w:val="0"/>
          <w:i w:val="0"/>
          <w:iCs w:val="0"/>
          <w:sz w:val="21"/>
          <w:szCs w:val="21"/>
          <w:lang w:eastAsia="zh-CN"/>
        </w:rPr>
        <w:t>）；</w:t>
      </w:r>
    </w:p>
    <w:p w14:paraId="3CE0363E">
      <w:pPr>
        <w:pStyle w:val="39"/>
        <w:bidi w:val="0"/>
        <w:rPr>
          <w:rFonts w:hint="default" w:ascii="Times New Roman" w:hAnsi="Times New Roman" w:cs="Times New Roman"/>
          <w:b w:val="0"/>
          <w:i w:val="0"/>
          <w:iCs w:val="0"/>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RS</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神湾菠萝的根冠比，无量纲</w:t>
      </w:r>
      <w:r>
        <w:rPr>
          <w:rFonts w:hint="default" w:ascii="Times New Roman" w:hAnsi="Times New Roman" w:cs="Times New Roman"/>
          <w:b w:val="0"/>
          <w:i w:val="0"/>
          <w:iCs w:val="0"/>
          <w:sz w:val="21"/>
          <w:szCs w:val="21"/>
          <w:lang w:eastAsia="zh-CN"/>
        </w:rPr>
        <w:t>。</w:t>
      </w:r>
    </w:p>
    <w:p w14:paraId="00EF2D61">
      <w:pPr>
        <w:pStyle w:val="182"/>
        <w:bidi w:val="0"/>
        <w:rPr>
          <w:rFonts w:hint="default" w:ascii="Times New Roman" w:hAnsi="Times New Roman" w:cs="Times New Roman"/>
          <w:b w:val="0"/>
          <w:i w:val="0"/>
          <w:iCs w:val="0"/>
          <w:sz w:val="21"/>
          <w:szCs w:val="21"/>
          <w:lang w:val="en-US" w:eastAsia="zh-CN"/>
        </w:rPr>
      </w:pPr>
      <w:r>
        <w:rPr>
          <w:rFonts w:hint="eastAsia"/>
          <w:lang w:eastAsia="zh-CN"/>
        </w:rPr>
        <w:t>收获指数、残体含氮量与根冠比宜按同一干湿基准取值，并在核算报告中说明取值基准；缺省值可参照T/CGFA 012—2025中相近作物的取值，并说明技术代表性。</w:t>
      </w:r>
    </w:p>
    <w:p w14:paraId="1E650CE8">
      <w:pPr>
        <w:pStyle w:val="40"/>
        <w:bidi w:val="0"/>
      </w:pPr>
      <w:r>
        <w:t xml:space="preserve">农机耗能产生的 </w:t>
      </w:r>
      <w:r>
        <w:rPr>
          <w:rFonts w:hint="eastAsia"/>
          <w:lang w:val="en-US" w:eastAsia="zh-CN"/>
        </w:rPr>
        <w:t>GHG</w:t>
      </w:r>
      <w:r>
        <w:t xml:space="preserve"> 排放量</w:t>
      </w:r>
    </w:p>
    <w:p w14:paraId="62959CB5">
      <w:pPr>
        <w:pStyle w:val="39"/>
        <w:bidi w:val="0"/>
        <w:rPr>
          <w:rFonts w:ascii="宋体" w:hAnsi="宋体" w:eastAsia="宋体" w:cs="Times New Roman"/>
          <w:b w:val="0"/>
          <w:i w:val="0"/>
          <w:kern w:val="2"/>
          <w:sz w:val="21"/>
          <w:szCs w:val="21"/>
          <w:lang w:val="en-US" w:eastAsia="zh-CN" w:bidi="ar-SA"/>
        </w:rPr>
      </w:pPr>
      <w:r>
        <w:rPr>
          <w:rFonts w:ascii="宋体" w:hAnsi="宋体" w:eastAsia="宋体" w:cs="Times New Roman"/>
          <w:b w:val="0"/>
          <w:i w:val="0"/>
          <w:kern w:val="2"/>
          <w:sz w:val="21"/>
          <w:szCs w:val="21"/>
          <w:lang w:val="en-US" w:eastAsia="zh-CN" w:bidi="ar-SA"/>
        </w:rPr>
        <w:t>农机作业耗能排放按“耗电量×区域电网排放因子”加“化石燃料消耗×对应排放因子”计算</w:t>
      </w:r>
      <w:r>
        <w:rPr>
          <w:rFonts w:hint="eastAsia" w:ascii="宋体" w:hAnsi="宋体" w:cs="Times New Roman"/>
          <w:b w:val="0"/>
          <w:i w:val="0"/>
          <w:kern w:val="2"/>
          <w:sz w:val="21"/>
          <w:szCs w:val="21"/>
          <w:lang w:val="en-US" w:eastAsia="zh-CN" w:bidi="ar-SA"/>
        </w:rPr>
        <w:t>。计算公式如下：</w:t>
      </w:r>
    </w:p>
    <w:p w14:paraId="37161521">
      <w:pPr>
        <w:pStyle w:val="116"/>
        <w:bidi w:val="0"/>
        <w:rPr>
          <w:rFonts w:hint="default" w:ascii="Times New Roman" w:hAnsi="Times New Roman" w:cs="Times New Roman"/>
          <w:i w:val="0"/>
          <w:iCs w:val="0"/>
          <w:lang w:val="en-US" w:eastAsia="zh-CN"/>
        </w:rPr>
      </w:pPr>
      <w:r>
        <w:rPr>
          <w:rFonts w:hint="eastAsia"/>
          <w:i/>
          <w:iCs/>
          <w:lang w:val="en-US" w:eastAsia="zh-CN"/>
        </w:rPr>
        <w:tab/>
      </w:r>
      <m:oMath>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CE</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machinery</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nor/>
                <m:sty m:val="p"/>
              </m:rPr>
              <w:rPr>
                <w:rFonts w:hint="default" w:ascii="Times New Roman" w:hAnsi="Times New Roman" w:cs="Times New Roman"/>
                <w:b w:val="0"/>
                <w:i w:val="0"/>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E</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eastAsia="宋体" w:cs="Times New Roman"/>
                    <w:b w:val="0"/>
                    <w:i w:val="0"/>
                    <w:sz w:val="21"/>
                    <w:szCs w:val="21"/>
                  </w:rPr>
                  <m:t>electricity</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sSub>
              <m:sSubPr>
                <m:ctrlPr>
                  <w:rPr>
                    <w:rFonts w:hint="default" w:ascii="Cambria Math" w:hAnsi="Cambria Math" w:cs="Times New Roman"/>
                    <w:i w:val="0"/>
                    <w:iCs w:val="0"/>
                    <w:kern w:val="2"/>
                    <w:sz w:val="21"/>
                    <w:szCs w:val="21"/>
                    <w:lang w:val="en-US" w:bidi="ar-SA"/>
                  </w:rPr>
                </m:ctrlPr>
              </m:sSubPr>
              <m:e>
                <m:r>
                  <m:rPr>
                    <m:nor/>
                    <m:sty m:val="p"/>
                  </m:rPr>
                  <w:rPr>
                    <w:rFonts w:hint="default" w:ascii="Times New Roman" w:hAnsi="Times New Roman" w:cs="Times New Roman"/>
                    <w:b w:val="0"/>
                    <w:i w:val="0"/>
                    <w:kern w:val="2"/>
                    <w:sz w:val="21"/>
                    <w:szCs w:val="21"/>
                    <w:lang w:val="en-US" w:eastAsia="zh-CN" w:bidi="ar-SA"/>
                  </w:rPr>
                  <m:t>EF</m:t>
                </m:r>
                <m:ctrlPr>
                  <w:rPr>
                    <w:rFonts w:hint="default" w:ascii="Cambria Math" w:hAnsi="Cambria Math" w:cs="Times New Roman"/>
                    <w:i w:val="0"/>
                    <w:iCs w:val="0"/>
                    <w:kern w:val="2"/>
                    <w:sz w:val="21"/>
                    <w:szCs w:val="21"/>
                    <w:lang w:val="en-US" w:bidi="ar-SA"/>
                  </w:rPr>
                </m:ctrlPr>
              </m:e>
              <m:sub>
                <m:r>
                  <m:rPr>
                    <m:nor/>
                    <m:sty m:val="p"/>
                  </m:rPr>
                  <w:rPr>
                    <w:rFonts w:hint="default" w:ascii="Times New Roman" w:hAnsi="Times New Roman" w:eastAsia="宋体" w:cs="Times New Roman"/>
                    <w:b w:val="0"/>
                    <w:i w:val="0"/>
                    <w:sz w:val="21"/>
                    <w:szCs w:val="21"/>
                  </w:rPr>
                  <m:t>electricity</m:t>
                </m:r>
                <m:ctrlPr>
                  <w:rPr>
                    <w:rFonts w:hint="default" w:ascii="Cambria Math" w:hAnsi="Cambria Math" w:cs="Times New Roman"/>
                    <w:i w:val="0"/>
                    <w:iCs w:val="0"/>
                    <w:kern w:val="2"/>
                    <w:sz w:val="21"/>
                    <w:szCs w:val="21"/>
                    <w:lang w:val="en-US"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nor/>
                    <m:sty m:val="p"/>
                  </m:rPr>
                  <w:rPr>
                    <w:rFonts w:hint="default" w:ascii="Times New Roman" w:hAnsi="Times New Roman" w:cs="Times New Roman"/>
                    <w:b w:val="0"/>
                    <w:i w:val="0"/>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F</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fuel</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sSub>
                  <m:sSubPr>
                    <m:ctrlPr>
                      <w:rPr>
                        <w:rFonts w:hint="default" w:ascii="Cambria Math" w:hAnsi="Cambria Math" w:cs="Times New Roman"/>
                        <w:i w:val="0"/>
                        <w:iCs w:val="0"/>
                        <w:kern w:val="2"/>
                        <w:sz w:val="21"/>
                        <w:szCs w:val="21"/>
                        <w:lang w:val="en-US" w:bidi="ar-SA"/>
                      </w:rPr>
                    </m:ctrlPr>
                  </m:sSubPr>
                  <m:e>
                    <m:r>
                      <m:rPr>
                        <m:nor/>
                        <m:sty m:val="p"/>
                      </m:rPr>
                      <w:rPr>
                        <w:rFonts w:hint="default" w:ascii="Times New Roman" w:hAnsi="Times New Roman" w:cs="Times New Roman"/>
                        <w:b w:val="0"/>
                        <w:i w:val="0"/>
                        <w:kern w:val="2"/>
                        <w:sz w:val="21"/>
                        <w:szCs w:val="21"/>
                        <w:lang w:val="en-US" w:eastAsia="zh-CN" w:bidi="ar-SA"/>
                      </w:rPr>
                      <m:t>EF</m:t>
                    </m:r>
                    <m:ctrlPr>
                      <w:rPr>
                        <w:rFonts w:hint="default" w:ascii="Cambria Math" w:hAnsi="Cambria Math" w:cs="Times New Roman"/>
                        <w:i w:val="0"/>
                        <w:iCs w:val="0"/>
                        <w:kern w:val="2"/>
                        <w:sz w:val="21"/>
                        <w:szCs w:val="21"/>
                        <w:lang w:val="en-US" w:bidi="ar-SA"/>
                      </w:rPr>
                    </m:ctrlPr>
                  </m:e>
                  <m:sub>
                    <m:r>
                      <m:rPr>
                        <m:nor/>
                        <m:sty m:val="p"/>
                      </m:rPr>
                      <w:rPr>
                        <w:rFonts w:hint="default" w:ascii="Times New Roman" w:hAnsi="Times New Roman" w:cs="Times New Roman"/>
                        <w:b w:val="0"/>
                        <w:i w:val="0"/>
                        <w:kern w:val="2"/>
                        <w:sz w:val="21"/>
                        <w:szCs w:val="21"/>
                        <w:lang w:val="en-US" w:eastAsia="zh-CN" w:bidi="ar-SA"/>
                      </w:rPr>
                      <m:t>fuel</m:t>
                    </m:r>
                    <m:ctrlPr>
                      <w:rPr>
                        <w:rFonts w:hint="default" w:ascii="Cambria Math" w:hAnsi="Cambria Math" w:cs="Times New Roman"/>
                        <w:i w:val="0"/>
                        <w:iCs w:val="0"/>
                        <w:kern w:val="2"/>
                        <w:sz w:val="21"/>
                        <w:szCs w:val="21"/>
                        <w:lang w:val="en-US" w:bidi="ar-SA"/>
                      </w:rPr>
                    </m:ctrlPr>
                  </m:sub>
                </m:sSub>
                <m:r>
                  <m:rPr>
                    <m:nor/>
                    <m:sty m:val="p"/>
                  </m:rPr>
                  <w:rPr>
                    <w:rFonts w:hint="default" w:ascii="Times New Roman" w:hAnsi="Times New Roman" w:cs="Times New Roman"/>
                    <w:b w:val="0"/>
                    <w:i w:val="0"/>
                    <w:kern w:val="2"/>
                    <w:sz w:val="21"/>
                    <w:szCs w:val="21"/>
                    <w:lang w:val="en-US" w:eastAsia="zh-CN" w:bidi="ar-SA"/>
                  </w:rPr>
                  <m:t>)</m:t>
                </m:r>
                <m:ctrlPr>
                  <w:rPr>
                    <w:rFonts w:hint="default" w:ascii="Cambria Math" w:hAnsi="Cambria Math" w:cs="Times New Roman"/>
                    <w:i w:val="0"/>
                    <w:iCs w:val="0"/>
                    <w:kern w:val="2"/>
                    <w:sz w:val="21"/>
                    <w:szCs w:val="21"/>
                    <w:lang w:val="en-US" w:eastAsia="zh-CN" w:bidi="ar-SA"/>
                  </w:rPr>
                </m:ctrlPr>
              </m:e>
            </m:nary>
            <m:ctrlPr>
              <w:rPr>
                <w:rFonts w:hint="default" w:ascii="Cambria Math" w:hAnsi="Cambria Math" w:cs="Times New Roman"/>
                <w:i w:val="0"/>
                <w:iCs w:val="0"/>
                <w:kern w:val="2"/>
                <w:sz w:val="21"/>
                <w:szCs w:val="21"/>
                <w:lang w:val="en-US" w:eastAsia="zh-CN" w:bidi="ar-SA"/>
              </w:rPr>
            </m:ctrlPr>
          </m:e>
        </m:nary>
      </m:oMath>
      <w:r>
        <w:rPr>
          <w:rFonts w:hint="default" w:ascii="Times New Roman" w:hAnsi="Times New Roman" w:eastAsia="微软雅黑" w:cs="Times New Roman"/>
          <w:i w:val="0"/>
          <w:iCs w:val="0"/>
          <w:lang w:val="en-US" w:eastAsia="zh-CN"/>
        </w:rPr>
        <w:tab/>
      </w:r>
      <w:r>
        <w:rPr>
          <w:rFonts w:hint="default" w:ascii="Times New Roman" w:hAnsi="Times New Roman" w:cs="Times New Roman"/>
          <w:i w:val="0"/>
          <w:iCs w:val="0"/>
          <w:lang w:val="en-US" w:eastAsia="zh-CN"/>
        </w:rPr>
        <w:t>(</w:t>
      </w:r>
      <w:r>
        <w:rPr>
          <w:rFonts w:hint="default" w:ascii="Times New Roman" w:hAnsi="Times New Roman" w:cs="Times New Roman"/>
          <w:i w:val="0"/>
          <w:iCs w:val="0"/>
          <w:lang w:val="en-US" w:eastAsia="zh-CN"/>
        </w:rPr>
        <w:fldChar w:fldCharType="begin"/>
      </w:r>
      <w:r>
        <w:rPr>
          <w:rFonts w:hint="default" w:ascii="Times New Roman" w:hAnsi="Times New Roman" w:cs="Times New Roman"/>
          <w:i w:val="0"/>
          <w:iCs w:val="0"/>
          <w:lang w:val="en-US" w:eastAsia="zh-CN"/>
        </w:rPr>
        <w:instrText xml:space="preserve"> SEQ 公式 \* ARABIC </w:instrText>
      </w:r>
      <w:r>
        <w:rPr>
          <w:rFonts w:hint="default" w:ascii="Times New Roman" w:hAnsi="Times New Roman" w:cs="Times New Roman"/>
          <w:i w:val="0"/>
          <w:iCs w:val="0"/>
          <w:lang w:val="en-US" w:eastAsia="zh-CN"/>
        </w:rPr>
        <w:fldChar w:fldCharType="separate"/>
      </w:r>
      <w:r>
        <w:rPr>
          <w:rFonts w:hint="default" w:ascii="Times New Roman" w:hAnsi="Times New Roman" w:cs="Times New Roman"/>
          <w:i w:val="0"/>
          <w:iCs w:val="0"/>
          <w:lang w:val="en-US" w:eastAsia="zh-CN"/>
        </w:rPr>
        <w:t>14</w:t>
      </w:r>
      <w:r>
        <w:rPr>
          <w:rFonts w:hint="default" w:ascii="Times New Roman" w:hAnsi="Times New Roman" w:cs="Times New Roman"/>
          <w:i w:val="0"/>
          <w:iCs w:val="0"/>
          <w:lang w:val="en-US" w:eastAsia="zh-CN"/>
        </w:rPr>
        <w:fldChar w:fldCharType="end"/>
      </w:r>
      <w:r>
        <w:rPr>
          <w:rFonts w:hint="default" w:ascii="Times New Roman" w:hAnsi="Times New Roman" w:cs="Times New Roman"/>
          <w:i w:val="0"/>
          <w:iCs w:val="0"/>
          <w:lang w:val="en-US" w:eastAsia="zh-CN"/>
        </w:rPr>
        <w:t>)</w:t>
      </w:r>
    </w:p>
    <w:p w14:paraId="4E08CDCF">
      <w:pPr>
        <w:pStyle w:val="63"/>
        <w:rPr>
          <w:rFonts w:hint="default" w:ascii="Times New Roman" w:hAnsi="Times New Roman" w:cs="Times New Roman"/>
          <w:lang w:val="en-US" w:eastAsia="zh-CN"/>
        </w:rPr>
      </w:pPr>
      <w:r>
        <w:rPr>
          <w:rFonts w:hint="default" w:ascii="Times New Roman" w:hAnsi="Times New Roman" w:cs="Times New Roman"/>
          <w:lang w:val="en-US" w:eastAsia="zh-CN"/>
        </w:rPr>
        <w:t>式中：</w:t>
      </w:r>
    </w:p>
    <w:p w14:paraId="707C05EA">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农机</w:t>
      </w:r>
      <w:r>
        <w:rPr>
          <w:rFonts w:hint="default" w:ascii="Times New Roman" w:hAnsi="Times New Roman" w:cs="Times New Roman"/>
          <w:b w:val="0"/>
          <w:i w:val="0"/>
          <w:iCs w:val="0"/>
          <w:sz w:val="21"/>
          <w:szCs w:val="21"/>
          <w:lang w:val="en-US" w:eastAsia="zh-CN"/>
        </w:rPr>
        <w:t>作业</w:t>
      </w:r>
      <w:r>
        <w:rPr>
          <w:rFonts w:hint="default" w:ascii="Times New Roman" w:hAnsi="Times New Roman" w:cs="Times New Roman"/>
          <w:b w:val="0"/>
          <w:i w:val="0"/>
          <w:iCs/>
          <w:sz w:val="21"/>
          <w:szCs w:val="21"/>
          <w:lang w:val="en-US" w:eastAsia="zh-CN"/>
        </w:rPr>
        <w:t>耗电量（kWh）</w:t>
      </w:r>
      <w:r>
        <w:rPr>
          <w:rFonts w:hint="default" w:ascii="Times New Roman" w:hAnsi="Times New Roman" w:cs="Times New Roman"/>
          <w:b w:val="0"/>
          <w:i w:val="0"/>
          <w:iCs/>
          <w:sz w:val="21"/>
          <w:szCs w:val="21"/>
          <w:lang w:eastAsia="zh-CN"/>
        </w:rPr>
        <w:t>；</w:t>
      </w:r>
    </w:p>
    <w:p w14:paraId="3EA8DB04">
      <w:pPr>
        <w:pStyle w:val="39"/>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kern w:val="2"/>
          <w:sz w:val="21"/>
          <w:szCs w:val="21"/>
          <w:lang w:val="en-US" w:eastAsia="zh-CN" w:bidi="ar-SA"/>
        </w:rPr>
        <w:t>区域</w:t>
      </w:r>
      <w:r>
        <w:rPr>
          <w:rFonts w:hint="default" w:ascii="Times New Roman" w:hAnsi="Times New Roman" w:cs="Times New Roman"/>
          <w:b w:val="0"/>
          <w:i w:val="0"/>
          <w:iCs w:val="0"/>
          <w:sz w:val="21"/>
          <w:szCs w:val="21"/>
          <w:lang w:val="en-US" w:eastAsia="zh-CN"/>
        </w:rPr>
        <w:t>电网</w:t>
      </w:r>
      <w:r>
        <w:rPr>
          <w:rFonts w:hint="default" w:ascii="Times New Roman" w:hAnsi="Times New Roman" w:eastAsia="宋体" w:cs="Times New Roman"/>
          <w:b w:val="0"/>
          <w:i w:val="0"/>
          <w:iCs/>
          <w:kern w:val="2"/>
          <w:sz w:val="21"/>
          <w:szCs w:val="21"/>
          <w:lang w:val="en-US" w:eastAsia="zh-CN" w:bidi="ar-SA"/>
        </w:rPr>
        <w:t>排放因子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CO₂e/kW·h</w:t>
      </w:r>
      <w:r>
        <w:rPr>
          <w:rFonts w:hint="default" w:ascii="Times New Roman" w:hAnsi="Times New Roman" w:cs="Times New Roman"/>
          <w:b w:val="0"/>
          <w:i w:val="0"/>
          <w:iCs/>
          <w:kern w:val="2"/>
          <w:sz w:val="21"/>
          <w:szCs w:val="21"/>
          <w:lang w:val="en-US" w:eastAsia="zh-CN" w:bidi="ar-SA"/>
        </w:rPr>
        <w:t>），广东省取值为</w:t>
      </w:r>
      <w:r>
        <w:rPr>
          <w:rFonts w:hint="default" w:ascii="Times New Roman" w:hAnsi="Times New Roman" w:eastAsia="宋体" w:cs="Times New Roman"/>
          <w:b w:val="0"/>
          <w:i w:val="0"/>
          <w:iCs/>
          <w:kern w:val="2"/>
          <w:sz w:val="21"/>
          <w:szCs w:val="21"/>
          <w:lang w:val="en-US" w:eastAsia="zh-CN" w:bidi="ar-SA"/>
        </w:rPr>
        <w:t>0.4403</w:t>
      </w:r>
      <w:r>
        <w:rPr>
          <w:rFonts w:hint="default" w:ascii="Times New Roman" w:hAnsi="Times New Roman" w:cs="Times New Roman"/>
          <w:b w:val="0"/>
          <w:i w:val="0"/>
          <w:iCs/>
          <w:sz w:val="21"/>
          <w:szCs w:val="21"/>
          <w:lang w:eastAsia="zh-CN"/>
        </w:rPr>
        <w:t>；</w:t>
      </w:r>
    </w:p>
    <w:p w14:paraId="2876EC3D">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农机作业</w:t>
      </w:r>
      <w:r>
        <w:rPr>
          <w:rFonts w:hint="default" w:ascii="Times New Roman" w:hAnsi="Times New Roman" w:cs="Times New Roman"/>
          <w:b w:val="0"/>
          <w:i w:val="0"/>
          <w:iCs w:val="0"/>
          <w:sz w:val="21"/>
          <w:szCs w:val="21"/>
          <w:lang w:val="en-US" w:eastAsia="zh-CN"/>
        </w:rPr>
        <w:t>化石</w:t>
      </w:r>
      <w:r>
        <w:rPr>
          <w:rFonts w:hint="default" w:ascii="Times New Roman" w:hAnsi="Times New Roman" w:cs="Times New Roman"/>
          <w:b w:val="0"/>
          <w:i w:val="0"/>
          <w:iCs/>
          <w:sz w:val="21"/>
          <w:szCs w:val="21"/>
          <w:lang w:val="en-US" w:eastAsia="zh-CN"/>
        </w:rPr>
        <w:t>燃料消耗（kg或m³）</w:t>
      </w:r>
      <w:r>
        <w:rPr>
          <w:rFonts w:hint="default" w:ascii="Times New Roman" w:hAnsi="Times New Roman" w:cs="Times New Roman"/>
          <w:b w:val="0"/>
          <w:i w:val="0"/>
          <w:iCs/>
          <w:sz w:val="21"/>
          <w:szCs w:val="21"/>
          <w:lang w:eastAsia="zh-CN"/>
        </w:rPr>
        <w:t>；</w:t>
      </w:r>
    </w:p>
    <w:p w14:paraId="36DDA992">
      <w:pPr>
        <w:pStyle w:val="39"/>
        <w:bidi w:val="0"/>
        <w:rPr>
          <w:rFonts w:hint="eastAsia" w:ascii="宋体" w:hAnsi="宋体"/>
          <w:b w:val="0"/>
          <w:i w:val="0"/>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化石燃料</w:t>
      </w:r>
      <w:r>
        <w:rPr>
          <w:rFonts w:hint="default" w:ascii="Times New Roman" w:hAnsi="Times New Roman" w:cs="Times New Roman"/>
          <w:b w:val="0"/>
          <w:i w:val="0"/>
          <w:iCs w:val="0"/>
          <w:sz w:val="21"/>
          <w:szCs w:val="21"/>
          <w:lang w:val="en-US" w:eastAsia="zh-CN"/>
        </w:rPr>
        <w:t>排放</w:t>
      </w:r>
      <w:r>
        <w:rPr>
          <w:rFonts w:hint="default" w:ascii="Times New Roman" w:hAnsi="Times New Roman" w:eastAsia="宋体" w:cs="Times New Roman"/>
          <w:b w:val="0"/>
          <w:i w:val="0"/>
          <w:iCs/>
          <w:kern w:val="2"/>
          <w:sz w:val="21"/>
          <w:szCs w:val="21"/>
          <w:lang w:val="en-US" w:eastAsia="zh-CN" w:bidi="ar-SA"/>
        </w:rPr>
        <w:t>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w:t>
      </w:r>
      <w:r>
        <w:rPr>
          <w:rFonts w:hint="default" w:ascii="Times New Roman" w:hAnsi="Times New Roman" w:cs="Times New Roman"/>
          <w:b w:val="0"/>
          <w:i w:val="0"/>
          <w:iCs/>
          <w:kern w:val="2"/>
          <w:sz w:val="21"/>
          <w:szCs w:val="21"/>
          <w:lang w:val="en-US" w:eastAsia="zh-CN" w:bidi="ar-SA"/>
        </w:rPr>
        <w:t>k</w:t>
      </w:r>
      <w:r>
        <w:rPr>
          <w:rFonts w:hint="default" w:ascii="Times New Roman" w:hAnsi="Times New Roman" w:cs="Times New Roman"/>
          <w:b w:val="0"/>
          <w:i w:val="0"/>
          <w:kern w:val="2"/>
          <w:sz w:val="21"/>
          <w:szCs w:val="21"/>
          <w:lang w:val="en-US" w:eastAsia="zh-CN" w:bidi="ar-SA"/>
        </w:rPr>
        <w:t>g或m³），</w:t>
      </w:r>
      <w:r>
        <w:rPr>
          <w:rFonts w:hint="default" w:ascii="Times New Roman" w:hAnsi="Times New Roman" w:eastAsia="宋体" w:cs="Times New Roman"/>
          <w:b w:val="0"/>
          <w:i w:val="0"/>
          <w:kern w:val="2"/>
          <w:sz w:val="21"/>
          <w:szCs w:val="21"/>
          <w:lang w:val="en-US" w:eastAsia="zh-CN" w:bidi="ar-SA"/>
        </w:rPr>
        <w:t>见附录 B</w:t>
      </w:r>
      <w:r>
        <w:rPr>
          <w:rFonts w:hint="default" w:ascii="Times New Roman" w:hAnsi="Times New Roman" w:cs="Times New Roman"/>
          <w:b w:val="0"/>
          <w:i w:val="0"/>
          <w:sz w:val="21"/>
          <w:szCs w:val="21"/>
          <w:lang w:eastAsia="zh-CN"/>
        </w:rPr>
        <w:t>；</w:t>
      </w:r>
    </w:p>
    <w:p w14:paraId="32397522">
      <w:pPr>
        <w:pStyle w:val="40"/>
        <w:bidi w:val="0"/>
      </w:pPr>
      <w:r>
        <w:rPr>
          <w:rFonts w:hint="eastAsia"/>
        </w:rPr>
        <w:t>清除量与碳汇处理</w:t>
      </w:r>
    </w:p>
    <w:p w14:paraId="772B56F1">
      <w:pPr>
        <w:pStyle w:val="39"/>
        <w:bidi w:val="0"/>
        <w:rPr>
          <w:rFonts w:hint="default" w:ascii="Times New Roman" w:hAnsi="Times New Roman"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可纳入产品碳足迹核算的碳汇</w:t>
      </w:r>
      <w:r>
        <w:rPr>
          <w:rFonts w:hint="default" w:ascii="Times New Roman" w:hAnsi="Times New Roman" w:cs="Times New Roman"/>
          <w:b w:val="0"/>
          <w:i w:val="0"/>
          <w:kern w:val="2"/>
          <w:sz w:val="21"/>
          <w:szCs w:val="21"/>
          <w:lang w:val="en-US" w:eastAsia="zh-CN" w:bidi="ar-SA"/>
        </w:rPr>
        <w:t>，</w:t>
      </w:r>
      <w:r>
        <w:rPr>
          <w:rFonts w:hint="default" w:ascii="Times New Roman" w:hAnsi="Times New Roman" w:eastAsia="宋体" w:cs="Times New Roman"/>
          <w:b w:val="0"/>
          <w:i w:val="0"/>
          <w:kern w:val="2"/>
          <w:sz w:val="21"/>
          <w:szCs w:val="21"/>
          <w:lang w:val="en-US" w:eastAsia="zh-CN" w:bidi="ar-SA"/>
        </w:rPr>
        <w:t>包括三类：植株活体生物量碳（地上茎叶及地下根系固定的生物碳）、枯落物碳（凋落叶、死株、根茬残体所含碳）、土壤有机碳变化（ΔSOC，由</w:t>
      </w:r>
      <w:r>
        <w:rPr>
          <w:rFonts w:hint="default" w:ascii="Times New Roman" w:hAnsi="Times New Roman" w:cs="Times New Roman"/>
          <w:b w:val="0"/>
          <w:i w:val="0"/>
          <w:kern w:val="2"/>
          <w:sz w:val="21"/>
          <w:szCs w:val="21"/>
          <w:lang w:val="en-US" w:eastAsia="zh-CN" w:bidi="ar-SA"/>
        </w:rPr>
        <w:t>植株</w:t>
      </w:r>
      <w:r>
        <w:rPr>
          <w:rFonts w:hint="default" w:ascii="Times New Roman" w:hAnsi="Times New Roman" w:eastAsia="宋体" w:cs="Times New Roman"/>
          <w:b w:val="0"/>
          <w:i w:val="0"/>
          <w:kern w:val="2"/>
          <w:sz w:val="21"/>
          <w:szCs w:val="21"/>
          <w:lang w:val="en-US" w:eastAsia="zh-CN" w:bidi="ar-SA"/>
        </w:rPr>
        <w:t>或茎叶还田、有机肥施用等管理措施引起的土壤碳储量净变化）</w:t>
      </w:r>
      <w:r>
        <w:rPr>
          <w:rFonts w:hint="default" w:ascii="Times New Roman" w:hAnsi="Times New Roman" w:cs="Times New Roman"/>
          <w:b w:val="0"/>
          <w:i w:val="0"/>
          <w:kern w:val="2"/>
          <w:sz w:val="21"/>
          <w:szCs w:val="21"/>
          <w:lang w:val="en-US" w:eastAsia="zh-CN" w:bidi="ar-SA"/>
        </w:rPr>
        <w:t>。碳汇计算公式如下：</w:t>
      </w:r>
    </w:p>
    <w:p w14:paraId="741C218B">
      <w:pPr>
        <w:pStyle w:val="116"/>
        <w:bidi w:val="0"/>
        <w:ind w:firstLine="210" w:firstLineChars="100"/>
        <w:rPr>
          <w:rFonts w:hint="eastAsia"/>
          <w:lang w:val="en-US" w:eastAsia="zh-CN"/>
        </w:rPr>
      </w:pPr>
      <w:r>
        <w:rPr>
          <w:rFonts w:hint="eastAsia"/>
          <w:lang w:val="en-US" w:eastAsia="zh-CN"/>
        </w:rPr>
        <w:tab/>
      </w: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CS</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farmland</m:t>
            </m:r>
            <m:ctrlPr>
              <w:rPr>
                <w:rFonts w:hint="default" w:ascii="Cambria Math" w:hAnsi="Cambria Math" w:cs="Times New Roman"/>
                <w:i w:val="0"/>
                <w:iCs w:val="0"/>
                <w:lang w:val="en-US"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CS</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plant</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CS</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 xml:space="preserve">litter </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CS</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soil</m:t>
            </m:r>
            <m:ctrlPr>
              <w:rPr>
                <w:rFonts w:hint="default" w:ascii="Cambria Math" w:hAnsi="Cambria Math" w:eastAsia="宋体" w:cs="Times New Roman"/>
                <w:b w:val="0"/>
                <w:i w:val="0"/>
                <w:iCs w:val="0"/>
                <w:sz w:val="21"/>
              </w:rPr>
            </m:ctrlPr>
          </m:sub>
        </m:sSub>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15</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7687979A">
      <w:pPr>
        <w:pStyle w:val="63"/>
        <w:rPr>
          <w:rFonts w:hint="eastAsia" w:ascii="宋体" w:hAnsi="宋体"/>
          <w:b w:val="0"/>
          <w:i w:val="0"/>
          <w:sz w:val="21"/>
          <w:szCs w:val="21"/>
          <w:lang w:eastAsia="zh-CN"/>
        </w:rPr>
      </w:pPr>
      <w:r>
        <w:rPr>
          <w:rFonts w:hint="eastAsia"/>
          <w:lang w:val="en-US" w:eastAsia="zh-CN"/>
        </w:rPr>
        <w:t>式中：</w:t>
      </w:r>
    </w:p>
    <w:p w14:paraId="33E2D1F9">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kern w:val="2"/>
                <w:sz w:val="21"/>
                <w:szCs w:val="21"/>
                <w:lang w:val="en-US" w:eastAsia="zh-CN" w:bidi="ar-SA"/>
              </w:rPr>
              <m:t>CS</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plant</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植株</w:t>
      </w:r>
      <w:r>
        <w:rPr>
          <w:rFonts w:hint="default" w:ascii="Times New Roman" w:hAnsi="Times New Roman" w:cs="Times New Roman"/>
          <w:b w:val="0"/>
          <w:i w:val="0"/>
          <w:iCs/>
          <w:sz w:val="21"/>
          <w:szCs w:val="21"/>
          <w:lang w:eastAsia="zh-CN"/>
        </w:rPr>
        <w:t>碳汇量（kg CO</w:t>
      </w:r>
      <w:r>
        <w:rPr>
          <w:rFonts w:hint="default" w:ascii="Times New Roman" w:hAnsi="Times New Roman" w:cs="Times New Roman"/>
          <w:b w:val="0"/>
          <w:i w:val="0"/>
          <w:iCs/>
          <w:sz w:val="21"/>
          <w:szCs w:val="21"/>
          <w:vertAlign w:val="subscript"/>
          <w:lang w:eastAsia="zh-CN"/>
        </w:rPr>
        <w:t>2</w:t>
      </w:r>
      <w:r>
        <w:rPr>
          <w:rFonts w:hint="default" w:ascii="Times New Roman" w:hAnsi="Times New Roman" w:cs="Times New Roman"/>
          <w:b w:val="0"/>
          <w:i w:val="0"/>
          <w:iCs/>
          <w:sz w:val="21"/>
          <w:szCs w:val="21"/>
          <w:lang w:eastAsia="zh-CN"/>
        </w:rPr>
        <w:t>e）；</w:t>
      </w:r>
    </w:p>
    <w:p w14:paraId="36BAF446">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kern w:val="2"/>
                <w:sz w:val="21"/>
                <w:szCs w:val="21"/>
                <w:lang w:val="en-US" w:eastAsia="zh-CN" w:bidi="ar-SA"/>
              </w:rPr>
              <m:t>CS</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litter</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——枯枝落叶层碳汇量（kg CO</w:t>
      </w:r>
      <w:r>
        <w:rPr>
          <w:rFonts w:hint="default" w:ascii="Times New Roman" w:hAnsi="Times New Roman" w:cs="Times New Roman"/>
          <w:b w:val="0"/>
          <w:i w:val="0"/>
          <w:iCs/>
          <w:sz w:val="21"/>
          <w:szCs w:val="21"/>
          <w:vertAlign w:val="subscript"/>
          <w:lang w:eastAsia="zh-CN"/>
        </w:rPr>
        <w:t>2</w:t>
      </w:r>
      <w:r>
        <w:rPr>
          <w:rFonts w:hint="default" w:ascii="Times New Roman" w:hAnsi="Times New Roman" w:cs="Times New Roman"/>
          <w:b w:val="0"/>
          <w:i w:val="0"/>
          <w:iCs/>
          <w:sz w:val="21"/>
          <w:szCs w:val="21"/>
          <w:lang w:eastAsia="zh-CN"/>
        </w:rPr>
        <w:t>e）；</w:t>
      </w:r>
    </w:p>
    <w:p w14:paraId="7CE4EC5E">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kern w:val="2"/>
                <w:sz w:val="21"/>
                <w:szCs w:val="21"/>
                <w:lang w:val="en-US" w:eastAsia="zh-CN" w:bidi="ar-SA"/>
              </w:rPr>
              <m:t>CS</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soil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土壤</w:t>
      </w:r>
      <w:r>
        <w:rPr>
          <w:rFonts w:hint="default" w:ascii="Times New Roman" w:hAnsi="Times New Roman" w:cs="Times New Roman"/>
          <w:b w:val="0"/>
          <w:i w:val="0"/>
          <w:iCs/>
          <w:sz w:val="21"/>
          <w:szCs w:val="21"/>
          <w:lang w:eastAsia="zh-CN"/>
        </w:rPr>
        <w:t>碳汇量（kg CO</w:t>
      </w:r>
      <w:r>
        <w:rPr>
          <w:rFonts w:hint="default" w:ascii="Times New Roman" w:hAnsi="Times New Roman" w:cs="Times New Roman"/>
          <w:b w:val="0"/>
          <w:i w:val="0"/>
          <w:iCs/>
          <w:sz w:val="21"/>
          <w:szCs w:val="21"/>
          <w:vertAlign w:val="subscript"/>
          <w:lang w:eastAsia="zh-CN"/>
        </w:rPr>
        <w:t>2</w:t>
      </w:r>
      <w:r>
        <w:rPr>
          <w:rFonts w:hint="default" w:ascii="Times New Roman" w:hAnsi="Times New Roman" w:cs="Times New Roman"/>
          <w:b w:val="0"/>
          <w:i w:val="0"/>
          <w:iCs/>
          <w:sz w:val="21"/>
          <w:szCs w:val="21"/>
          <w:lang w:eastAsia="zh-CN"/>
        </w:rPr>
        <w:t>e）。</w:t>
      </w:r>
    </w:p>
    <w:p w14:paraId="2868DB03">
      <w:pPr>
        <w:pStyle w:val="39"/>
        <w:bidi w:val="0"/>
        <w:rPr>
          <w:rFonts w:hint="eastAsia" w:ascii="宋体" w:hAnsi="宋体" w:cs="Times New Roman"/>
          <w:b w:val="0"/>
          <w:i w:val="0"/>
          <w:kern w:val="2"/>
          <w:sz w:val="21"/>
          <w:szCs w:val="21"/>
          <w:lang w:val="en-US" w:eastAsia="zh-CN" w:bidi="ar-SA"/>
        </w:rPr>
      </w:pPr>
      <w:r>
        <w:rPr>
          <w:rFonts w:hint="eastAsia" w:ascii="宋体" w:hAnsi="宋体" w:cs="Times New Roman"/>
          <w:b w:val="0"/>
          <w:i w:val="0"/>
          <w:kern w:val="2"/>
          <w:sz w:val="21"/>
          <w:szCs w:val="21"/>
          <w:lang w:val="en-US" w:eastAsia="zh-CN" w:bidi="ar-SA"/>
        </w:rPr>
        <w:t>上述碳汇的计算与抵扣须符合以下明确边界：</w:t>
      </w:r>
    </w:p>
    <w:p w14:paraId="08AAC379">
      <w:pPr>
        <w:pStyle w:val="177"/>
        <w:numPr>
          <w:ilvl w:val="0"/>
          <w:numId w:val="37"/>
        </w:numPr>
        <w:bidi w:val="0"/>
        <w:rPr>
          <w:rFonts w:hint="default" w:ascii="Times New Roman" w:hAnsi="Times New Roman" w:cs="Times New Roman"/>
          <w:lang w:val="en-US" w:eastAsia="zh-CN"/>
        </w:rPr>
      </w:pPr>
      <w:r>
        <w:rPr>
          <w:rFonts w:hint="default" w:ascii="Times New Roman" w:hAnsi="Times New Roman" w:cs="Times New Roman"/>
          <w:lang w:val="en-US" w:eastAsia="zh-CN"/>
        </w:rPr>
        <w:t>植株生物量碳属临时碳储存，果实采收后随消费及残体分解在短期内释放回大气，净贡献约等于零，仅作信息项单独披露，不参与碳足迹抵扣。</w:t>
      </w:r>
    </w:p>
    <w:p w14:paraId="5CBFE71C">
      <w:pPr>
        <w:pStyle w:val="177"/>
        <w:numPr>
          <w:ilvl w:val="0"/>
          <w:numId w:val="37"/>
        </w:numPr>
        <w:bidi w:val="0"/>
        <w:rPr>
          <w:rFonts w:hint="default" w:ascii="Times New Roman" w:hAnsi="Times New Roman" w:cs="Times New Roman"/>
          <w:lang w:val="en-US" w:eastAsia="zh-CN"/>
        </w:rPr>
      </w:pPr>
      <w:r>
        <w:rPr>
          <w:rFonts w:hint="default" w:ascii="Times New Roman" w:hAnsi="Times New Roman" w:cs="Times New Roman"/>
          <w:lang w:val="en-US" w:eastAsia="zh-CN"/>
        </w:rPr>
        <w:t>枯落物（残株）碳须证明其进入稳定土壤有机碳库且经实测土壤有机碳净增加（ΔSOC&gt;0）方可计入清除量；神湾菠萝普遍覆地膜，地膜增温保湿加速枯落物矿化并阻隔还田，主张该项碳汇应提供不小于 3 年的定位实测证据，无证据时仅作披露、不抵扣。</w:t>
      </w:r>
    </w:p>
    <w:p w14:paraId="75827460">
      <w:pPr>
        <w:pStyle w:val="177"/>
        <w:numPr>
          <w:ilvl w:val="0"/>
          <w:numId w:val="37"/>
        </w:numPr>
        <w:bidi w:val="0"/>
        <w:rPr>
          <w:rFonts w:hint="default" w:ascii="Times New Roman" w:hAnsi="Times New Roman" w:cs="Times New Roman"/>
          <w:lang w:val="en-US" w:eastAsia="zh-CN"/>
        </w:rPr>
      </w:pPr>
      <w:r>
        <w:rPr>
          <w:rFonts w:hint="default" w:ascii="Times New Roman" w:hAnsi="Times New Roman" w:cs="Times New Roman"/>
          <w:lang w:val="en-US" w:eastAsia="zh-CN"/>
        </w:rPr>
        <w:t>土壤有机碳变化（ΔSOC）作为清除量计入，须同时满足：基于不小于 3 年的定位重复实测、采用等效土壤质量法校正、相对“一切照旧”基线 ΔSOC&gt;0、碳增量由特定管理措施改变带来（额外性）；因土地利用变化引起的碳变化不计入，连作导致土壤有机碳下降的不得计入。</w:t>
      </w:r>
    </w:p>
    <w:p w14:paraId="6E380DAA">
      <w:pPr>
        <w:pStyle w:val="177"/>
        <w:numPr>
          <w:ilvl w:val="0"/>
          <w:numId w:val="37"/>
        </w:numPr>
        <w:bidi w:val="0"/>
        <w:rPr>
          <w:rFonts w:hint="default" w:ascii="Times New Roman" w:hAnsi="Times New Roman" w:cs="Times New Roman"/>
          <w:lang w:val="en-US" w:eastAsia="zh-CN"/>
        </w:rPr>
      </w:pPr>
      <w:r>
        <w:rPr>
          <w:rFonts w:hint="default" w:ascii="Times New Roman" w:hAnsi="Times New Roman" w:cs="Times New Roman"/>
        </w:rPr>
        <w:t>单季或短期（不足 3 年）观测所得土壤碳升高，不构成净增证据，不得作为永久碳汇抵扣碳足迹。</w:t>
      </w:r>
    </w:p>
    <w:p w14:paraId="506422A4">
      <w:pPr>
        <w:pStyle w:val="177"/>
        <w:numPr>
          <w:ilvl w:val="0"/>
          <w:numId w:val="37"/>
        </w:numPr>
        <w:bidi w:val="0"/>
        <w:rPr>
          <w:rFonts w:hint="default" w:ascii="Times New Roman" w:hAnsi="Times New Roman" w:cs="Times New Roman"/>
          <w:lang w:val="en-US" w:eastAsia="zh-CN"/>
        </w:rPr>
      </w:pPr>
      <w:r>
        <w:rPr>
          <w:rFonts w:hint="default" w:ascii="Times New Roman" w:hAnsi="Times New Roman" w:cs="Times New Roman"/>
          <w:lang w:val="en-US" w:eastAsia="zh-CN"/>
        </w:rPr>
        <w:t>植株自然生长、呼吸同化与释放的碳属自然过程，不视为额外人为排放，不单独计入产品碳足迹；清除量仅限于满足上述实测与额外性要求的土壤有机碳净增加（ΔSOC＞0）。</w:t>
      </w:r>
    </w:p>
    <w:p w14:paraId="2F943998">
      <w:pPr>
        <w:pStyle w:val="41"/>
        <w:bidi w:val="0"/>
        <w:rPr>
          <w:rFonts w:hint="eastAsia"/>
          <w:lang w:eastAsia="zh-CN"/>
        </w:rPr>
      </w:pPr>
      <w:r>
        <w:rPr>
          <w:rFonts w:hint="eastAsia"/>
          <w:lang w:val="en-US" w:eastAsia="zh-CN"/>
        </w:rPr>
        <w:t>植株碳汇量</w:t>
      </w:r>
    </w:p>
    <w:p w14:paraId="11507CB4">
      <w:pPr>
        <w:pStyle w:val="39"/>
        <w:bidi w:val="0"/>
        <w:rPr>
          <w:rFonts w:hint="default"/>
          <w:lang w:val="en-US" w:eastAsia="zh-CN"/>
        </w:rPr>
      </w:pPr>
      <w:r>
        <w:rPr>
          <w:rFonts w:hint="eastAsia"/>
          <w:lang w:val="en-US" w:eastAsia="zh-CN"/>
        </w:rPr>
        <w:t>植株碳汇计算公式如下：</w:t>
      </w:r>
    </w:p>
    <w:p w14:paraId="43AF0687">
      <w:pPr>
        <w:pStyle w:val="116"/>
        <w:bidi w:val="0"/>
        <w:rPr>
          <w:rFonts w:hint="default" w:ascii="Times New Roman" w:hAnsi="Times New Roman" w:cs="Times New Roman"/>
          <w:i w:val="0"/>
          <w:iCs/>
          <w:lang w:val="en-US" w:eastAsia="zh-CN"/>
        </w:rPr>
      </w:pPr>
      <w:r>
        <w:rPr>
          <w:rFonts w:hint="eastAsia"/>
          <w:lang w:val="en-US" w:eastAsia="zh-CN"/>
        </w:rPr>
        <w:tab/>
      </w:r>
      <m:oMath>
        <m:sSub>
          <m:sSubPr>
            <m:ctrlPr>
              <w:rPr>
                <w:rFonts w:hint="default" w:ascii="Cambria Math" w:hAnsi="Cambria Math" w:cs="Times New Roman"/>
                <w:i w:val="0"/>
                <w:iCs/>
                <w:kern w:val="2"/>
                <w:sz w:val="21"/>
                <w:szCs w:val="21"/>
                <w:lang w:val="en-US" w:eastAsia="zh-CN" w:bidi="ar-SA"/>
              </w:rPr>
            </m:ctrlPr>
          </m:sSubPr>
          <m:e>
            <m:r>
              <m:rPr>
                <m:nor/>
                <m:sty m:val="p"/>
              </m:rPr>
              <w:rPr>
                <w:rFonts w:hint="default" w:ascii="Times New Roman" w:hAnsi="Times New Roman" w:cs="Times New Roman"/>
                <w:b w:val="0"/>
                <w:i w:val="0"/>
                <w:sz w:val="21"/>
                <w:szCs w:val="21"/>
                <w:lang w:val="en-US" w:eastAsia="zh-CN"/>
              </w:rPr>
              <m:t>CS</m:t>
            </m:r>
            <m:ctrlPr>
              <w:rPr>
                <w:rFonts w:hint="default" w:ascii="Cambria Math" w:hAnsi="Cambria Math" w:cs="Times New Roman"/>
                <w:i w:val="0"/>
                <w:iCs/>
                <w:kern w:val="2"/>
                <w:sz w:val="21"/>
                <w:szCs w:val="21"/>
                <w:lang w:val="en-US" w:eastAsia="zh-CN" w:bidi="ar-SA"/>
              </w:rPr>
            </m:ctrlPr>
          </m:e>
          <m:sub>
            <m:r>
              <m:rPr>
                <m:nor/>
                <m:sty m:val="p"/>
              </m:rPr>
              <w:rPr>
                <w:rFonts w:hint="default" w:ascii="Times New Roman" w:hAnsi="Times New Roman" w:cs="Times New Roman"/>
                <w:b w:val="0"/>
                <w:i w:val="0"/>
                <w:sz w:val="21"/>
                <w:szCs w:val="21"/>
                <w:lang w:val="en-US" w:eastAsia="zh-CN"/>
              </w:rPr>
              <m:t>plant</m:t>
            </m:r>
            <m:ctrlPr>
              <w:rPr>
                <w:rFonts w:hint="default" w:ascii="Cambria Math" w:hAnsi="Cambria Math" w:cs="Times New Roman"/>
                <w:i w:val="0"/>
                <w:iCs/>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kern w:val="2"/>
                <w:sz w:val="21"/>
                <w:szCs w:val="21"/>
                <w:lang w:val="en-US" w:eastAsia="zh-CN" w:bidi="ar-SA"/>
              </w:rPr>
            </m:ctrlPr>
          </m:naryPr>
          <m:sub>
            <m:ctrlPr>
              <w:rPr>
                <w:rFonts w:hint="default" w:ascii="Cambria Math" w:hAnsi="Cambria Math" w:cs="Times New Roman"/>
                <w:i w:val="0"/>
                <w:iCs/>
                <w:kern w:val="2"/>
                <w:sz w:val="21"/>
                <w:szCs w:val="21"/>
                <w:lang w:val="en-US" w:eastAsia="zh-CN" w:bidi="ar-SA"/>
              </w:rPr>
            </m:ctrlPr>
          </m:sub>
          <m:sup>
            <m:ctrlPr>
              <w:rPr>
                <w:rFonts w:hint="default" w:ascii="Cambria Math" w:hAnsi="Cambria Math" w:cs="Times New Roman"/>
                <w:i w:val="0"/>
                <w:iCs/>
                <w:kern w:val="2"/>
                <w:sz w:val="21"/>
                <w:szCs w:val="21"/>
                <w:lang w:val="en-US" w:eastAsia="zh-CN" w:bidi="ar-SA"/>
              </w:rPr>
            </m:ctrlPr>
          </m:sup>
          <m:e>
            <m:r>
              <m:rPr>
                <m:nor/>
                <m:sty m:val="p"/>
              </m:rPr>
              <w:rPr>
                <w:rFonts w:hint="default" w:ascii="Times New Roman" w:hAnsi="Times New Roman" w:cs="Times New Roman"/>
                <w:b w:val="0"/>
                <w:i w:val="0"/>
                <w:kern w:val="2"/>
                <w:sz w:val="21"/>
                <w:szCs w:val="21"/>
                <w:lang w:val="en-US" w:eastAsia="zh-CN" w:bidi="ar-SA"/>
              </w:rPr>
              <m:t>(</m:t>
            </m:r>
            <m:sSub>
              <m:sSubPr>
                <m:ctrlPr>
                  <w:rPr>
                    <w:rFonts w:hint="default" w:ascii="Cambria Math" w:hAnsi="Cambria Math" w:cs="Times New Roman"/>
                    <w:i w:val="0"/>
                    <w:iCs/>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B</m:t>
                </m:r>
                <m:ctrlPr>
                  <w:rPr>
                    <w:rFonts w:hint="default" w:ascii="Cambria Math" w:hAnsi="Cambria Math" w:cs="Times New Roman"/>
                    <w:i w:val="0"/>
                    <w:iCs/>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organ</m:t>
                </m:r>
                <m:ctrlPr>
                  <w:rPr>
                    <w:rFonts w:hint="default" w:ascii="Cambria Math" w:hAnsi="Cambria Math" w:cs="Times New Roman"/>
                    <w:i w:val="0"/>
                    <w:iCs/>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r>
              <m:rPr>
                <m:nor/>
                <m:sty m:val="p"/>
              </m:rPr>
              <w:rPr>
                <w:rFonts w:hint="default" w:ascii="Times New Roman" w:hAnsi="Times New Roman" w:cs="Times New Roman"/>
                <w:b w:val="0"/>
                <w:i w:val="0"/>
                <w:kern w:val="2"/>
                <w:sz w:val="21"/>
                <w:szCs w:val="21"/>
                <w:lang w:val="en-US" w:eastAsia="zh-CN" w:bidi="ar-SA"/>
              </w:rPr>
              <m:t>C)</m:t>
            </m:r>
            <m:r>
              <m:rPr>
                <m:nor/>
                <m:sty m:val="p"/>
              </m:rPr>
              <w:rPr>
                <w:rFonts w:hint="default" w:ascii="Times New Roman" w:hAnsi="Times New Roman" w:cs="Times New Roman"/>
                <w:b w:val="0"/>
                <w:i w:val="0"/>
                <w:kern w:val="2"/>
                <w:sz w:val="21"/>
                <w:szCs w:val="21"/>
                <w:lang w:val="en-US" w:bidi="ar-SA"/>
              </w:rPr>
              <m:t>×</m:t>
            </m:r>
            <m:r>
              <m:rPr>
                <m:nor/>
                <m:sty m:val="p"/>
              </m:rPr>
              <w:rPr>
                <w:rFonts w:hint="default" w:ascii="Times New Roman" w:hAnsi="Times New Roman" w:cs="Times New Roman"/>
                <w:b w:val="0"/>
                <w:i w:val="0"/>
                <w:kern w:val="2"/>
                <w:sz w:val="21"/>
                <w:szCs w:val="21"/>
                <w:lang w:val="en-US" w:eastAsia="zh-CN" w:bidi="ar-SA"/>
              </w:rPr>
              <m:t>44/12</m:t>
            </m:r>
            <m:ctrlPr>
              <w:rPr>
                <w:rFonts w:hint="default" w:ascii="Cambria Math" w:hAnsi="Cambria Math" w:cs="Times New Roman"/>
                <w:i w:val="0"/>
                <w:iCs/>
                <w:kern w:val="2"/>
                <w:sz w:val="21"/>
                <w:szCs w:val="21"/>
                <w:lang w:val="en-US" w:eastAsia="zh-CN" w:bidi="ar-SA"/>
              </w:rPr>
            </m:ctrlPr>
          </m:e>
        </m:nary>
      </m:oMath>
      <w:r>
        <w:rPr>
          <w:rFonts w:hint="default" w:ascii="Times New Roman" w:hAnsi="Times New Roman" w:eastAsia="微软雅黑" w:cs="Times New Roman"/>
          <w:i w:val="0"/>
          <w:iCs/>
          <w:lang w:val="en-US" w:eastAsia="zh-CN"/>
        </w:rPr>
        <w:tab/>
      </w:r>
      <w:r>
        <w:rPr>
          <w:rFonts w:hint="default" w:ascii="Times New Roman" w:hAnsi="Times New Roman" w:cs="Times New Roman"/>
          <w:i w:val="0"/>
          <w:iCs/>
          <w:lang w:val="en-US" w:eastAsia="zh-CN"/>
        </w:rPr>
        <w:t>(</w:t>
      </w:r>
      <w:r>
        <w:rPr>
          <w:rFonts w:hint="default" w:ascii="Times New Roman" w:hAnsi="Times New Roman" w:cs="Times New Roman"/>
          <w:i w:val="0"/>
          <w:iCs/>
          <w:lang w:val="en-US" w:eastAsia="zh-CN"/>
        </w:rPr>
        <w:fldChar w:fldCharType="begin"/>
      </w:r>
      <w:r>
        <w:rPr>
          <w:rFonts w:hint="default" w:ascii="Times New Roman" w:hAnsi="Times New Roman" w:cs="Times New Roman"/>
          <w:i w:val="0"/>
          <w:iCs/>
          <w:lang w:val="en-US" w:eastAsia="zh-CN"/>
        </w:rPr>
        <w:instrText xml:space="preserve"> SEQ 公式 \* ARABIC </w:instrText>
      </w:r>
      <w:r>
        <w:rPr>
          <w:rFonts w:hint="default" w:ascii="Times New Roman" w:hAnsi="Times New Roman" w:cs="Times New Roman"/>
          <w:i w:val="0"/>
          <w:iCs/>
          <w:lang w:val="en-US" w:eastAsia="zh-CN"/>
        </w:rPr>
        <w:fldChar w:fldCharType="separate"/>
      </w:r>
      <w:r>
        <w:rPr>
          <w:rFonts w:hint="default" w:ascii="Times New Roman" w:hAnsi="Times New Roman" w:cs="Times New Roman"/>
          <w:i w:val="0"/>
          <w:iCs/>
          <w:lang w:val="en-US" w:eastAsia="zh-CN"/>
        </w:rPr>
        <w:t>16</w:t>
      </w:r>
      <w:r>
        <w:rPr>
          <w:rFonts w:hint="default" w:ascii="Times New Roman" w:hAnsi="Times New Roman" w:cs="Times New Roman"/>
          <w:i w:val="0"/>
          <w:iCs/>
          <w:lang w:val="en-US" w:eastAsia="zh-CN"/>
        </w:rPr>
        <w:fldChar w:fldCharType="end"/>
      </w:r>
      <w:r>
        <w:rPr>
          <w:rFonts w:hint="default" w:ascii="Times New Roman" w:hAnsi="Times New Roman" w:cs="Times New Roman"/>
          <w:i w:val="0"/>
          <w:iCs/>
          <w:lang w:val="en-US" w:eastAsia="zh-CN"/>
        </w:rPr>
        <w:t>)</w:t>
      </w:r>
    </w:p>
    <w:p w14:paraId="16DFD832">
      <w:pPr>
        <w:pStyle w:val="63"/>
        <w:rPr>
          <w:rFonts w:hint="default" w:ascii="Times New Roman" w:hAnsi="Times New Roman" w:cs="Times New Roman"/>
          <w:lang w:val="en-US" w:eastAsia="zh-CN"/>
        </w:rPr>
      </w:pPr>
      <w:r>
        <w:rPr>
          <w:rFonts w:hint="default" w:ascii="Times New Roman" w:hAnsi="Times New Roman" w:cs="Times New Roman"/>
          <w:lang w:val="en-US" w:eastAsia="zh-CN"/>
        </w:rPr>
        <w:t>式中：</w:t>
      </w:r>
    </w:p>
    <w:p w14:paraId="0B497214">
      <w:pPr>
        <w:pStyle w:val="39"/>
        <w:bidi w:val="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eastAsia="宋体" w:cs="Times New Roman"/>
                <w:i w:val="0"/>
                <w:iCs/>
                <w:sz w:val="21"/>
                <w:szCs w:val="21"/>
              </w:rPr>
            </m:ctrlPr>
          </m:sSubPr>
          <m:e>
            <m:r>
              <m:rPr>
                <m:nor/>
                <m:sty m:val="p"/>
              </m:rPr>
              <w:rPr>
                <w:rFonts w:hint="default" w:ascii="Times New Roman" w:hAnsi="Times New Roman" w:eastAsia="宋体" w:cs="Times New Roman"/>
                <w:b w:val="0"/>
                <w:i w:val="0"/>
                <w:sz w:val="21"/>
                <w:szCs w:val="21"/>
                <w:lang w:val="en-US" w:eastAsia="zh-CN"/>
              </w:rPr>
              <m:t>B</m:t>
            </m:r>
            <m:ctrlPr>
              <w:rPr>
                <w:rFonts w:hint="default" w:ascii="Cambria Math" w:hAnsi="Cambria Math" w:eastAsia="宋体" w:cs="Times New Roman"/>
                <w:i w:val="0"/>
                <w:iCs/>
                <w:sz w:val="21"/>
                <w:szCs w:val="21"/>
              </w:rPr>
            </m:ctrlPr>
          </m:e>
          <m:sub>
            <m:r>
              <m:rPr>
                <m:nor/>
                <m:sty m:val="p"/>
              </m:rPr>
              <w:rPr>
                <w:rFonts w:hint="default" w:ascii="Times New Roman" w:hAnsi="Times New Roman" w:eastAsia="宋体" w:cs="Times New Roman"/>
                <w:b w:val="0"/>
                <w:i w:val="0"/>
                <w:sz w:val="21"/>
                <w:szCs w:val="21"/>
                <w:lang w:val="en-US" w:eastAsia="zh-CN"/>
              </w:rPr>
              <m:t>organ</m:t>
            </m:r>
            <m:ctrlPr>
              <w:rPr>
                <w:rFonts w:hint="default" w:ascii="Cambria Math" w:hAnsi="Cambria Math" w:eastAsia="宋体" w:cs="Times New Roman"/>
                <w:i w:val="0"/>
                <w:iCs/>
                <w:sz w:val="21"/>
                <w:szCs w:val="21"/>
              </w:rPr>
            </m:ctrlPr>
          </m:sub>
        </m:sSub>
      </m:oMath>
      <w:r>
        <w:rPr>
          <w:rFonts w:hint="default" w:ascii="Times New Roman" w:hAnsi="Times New Roman" w:eastAsia="宋体" w:cs="Times New Roman"/>
          <w:b w:val="0"/>
          <w:i w:val="0"/>
          <w:iCs/>
          <w:sz w:val="21"/>
          <w:szCs w:val="21"/>
          <w:lang w:eastAsia="zh-CN"/>
        </w:rPr>
        <w:t>——</w:t>
      </w:r>
      <w:r>
        <w:rPr>
          <w:rFonts w:hint="default" w:ascii="Times New Roman" w:hAnsi="Times New Roman" w:eastAsia="宋体" w:cs="Times New Roman"/>
          <w:b w:val="0"/>
          <w:i w:val="0"/>
          <w:iCs/>
          <w:sz w:val="21"/>
          <w:szCs w:val="21"/>
          <w:lang w:val="en-US" w:eastAsia="zh-CN"/>
        </w:rPr>
        <w:t>植株不同器官的总生物量（kg）；</w:t>
      </w:r>
    </w:p>
    <w:p w14:paraId="0998A770">
      <w:pPr>
        <w:pStyle w:val="39"/>
        <w:bidi w:val="0"/>
        <w:rPr>
          <w:rFonts w:hint="default" w:ascii="Times New Roman" w:hAnsi="Times New Roman" w:eastAsia="宋体" w:cs="Times New Roman"/>
          <w:b w:val="0"/>
          <w:i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C</m:t>
        </m:r>
      </m:oMath>
      <w:r>
        <w:rPr>
          <w:rFonts w:hint="default" w:ascii="Times New Roman" w:hAnsi="Times New Roman" w:eastAsia="宋体" w:cs="Times New Roman"/>
          <w:b w:val="0"/>
          <w:i w:val="0"/>
          <w:iCs/>
          <w:sz w:val="21"/>
          <w:szCs w:val="21"/>
          <w:lang w:eastAsia="zh-CN"/>
        </w:rPr>
        <w:t>——植株</w:t>
      </w:r>
      <w:r>
        <w:rPr>
          <w:rFonts w:hint="default" w:ascii="Times New Roman" w:hAnsi="Times New Roman" w:eastAsia="宋体" w:cs="Times New Roman"/>
          <w:b w:val="0"/>
          <w:i w:val="0"/>
          <w:sz w:val="21"/>
          <w:szCs w:val="21"/>
          <w:lang w:eastAsia="zh-CN"/>
        </w:rPr>
        <w:t>不同器官的</w:t>
      </w:r>
      <w:r>
        <w:rPr>
          <w:rFonts w:hint="default" w:ascii="Times New Roman" w:hAnsi="Times New Roman" w:eastAsia="宋体" w:cs="Times New Roman"/>
          <w:b w:val="0"/>
          <w:i w:val="0"/>
          <w:sz w:val="21"/>
          <w:szCs w:val="21"/>
          <w:lang w:val="en-US" w:eastAsia="zh-CN"/>
        </w:rPr>
        <w:t>含碳率（干重比）；</w:t>
      </w:r>
    </w:p>
    <w:p w14:paraId="471A16A0">
      <w:pPr>
        <w:pStyle w:val="39"/>
        <w:bidi w:val="0"/>
        <w:rPr>
          <w:rFonts w:hint="default" w:ascii="Times New Roman" w:hAnsi="Times New Roman" w:eastAsia="宋体" w:cs="Times New Roman"/>
          <w:b w:val="0"/>
          <w:i w:val="0"/>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44/12</m:t>
        </m:r>
      </m:oMath>
      <w:r>
        <w:rPr>
          <w:rFonts w:hint="default" w:ascii="Times New Roman" w:hAnsi="Times New Roman" w:eastAsia="宋体" w:cs="Times New Roman"/>
          <w:b w:val="0"/>
          <w:i w:val="0"/>
          <w:sz w:val="21"/>
          <w:szCs w:val="21"/>
          <w:lang w:eastAsia="zh-CN"/>
        </w:rPr>
        <w:t>——CO</w:t>
      </w:r>
      <w:r>
        <w:rPr>
          <w:rFonts w:hint="default" w:ascii="Times New Roman" w:hAnsi="Times New Roman" w:eastAsia="宋体" w:cs="Times New Roman"/>
          <w:b w:val="0"/>
          <w:i w:val="0"/>
          <w:sz w:val="21"/>
          <w:szCs w:val="21"/>
          <w:vertAlign w:val="subscript"/>
          <w:lang w:eastAsia="zh-CN"/>
        </w:rPr>
        <w:t>2</w:t>
      </w:r>
      <w:r>
        <w:rPr>
          <w:rFonts w:hint="default" w:ascii="Times New Roman" w:hAnsi="Times New Roman" w:eastAsia="宋体" w:cs="Times New Roman"/>
          <w:b w:val="0"/>
          <w:i w:val="0"/>
          <w:sz w:val="21"/>
          <w:szCs w:val="21"/>
          <w:vertAlign w:val="baseline"/>
          <w:lang w:val="en-US" w:eastAsia="zh-CN"/>
        </w:rPr>
        <w:t xml:space="preserve"> </w:t>
      </w:r>
      <w:r>
        <w:rPr>
          <w:rFonts w:hint="default" w:ascii="Times New Roman" w:hAnsi="Times New Roman" w:eastAsia="宋体" w:cs="Times New Roman"/>
          <w:b w:val="0"/>
          <w:i w:val="0"/>
          <w:sz w:val="21"/>
          <w:szCs w:val="21"/>
          <w:lang w:eastAsia="zh-CN"/>
        </w:rPr>
        <w:t>与</w:t>
      </w:r>
      <w:r>
        <w:rPr>
          <w:rFonts w:hint="default" w:ascii="Times New Roman" w:hAnsi="Times New Roman" w:eastAsia="宋体" w:cs="Times New Roman"/>
          <w:b w:val="0"/>
          <w:i w:val="0"/>
          <w:sz w:val="21"/>
          <w:szCs w:val="21"/>
          <w:lang w:val="en-US" w:eastAsia="zh-CN"/>
        </w:rPr>
        <w:t xml:space="preserve"> </w:t>
      </w:r>
      <w:r>
        <w:rPr>
          <w:rFonts w:hint="default" w:ascii="Times New Roman" w:hAnsi="Times New Roman" w:eastAsia="宋体" w:cs="Times New Roman"/>
          <w:b w:val="0"/>
          <w:i w:val="0"/>
          <w:sz w:val="21"/>
          <w:szCs w:val="21"/>
          <w:lang w:eastAsia="zh-CN"/>
        </w:rPr>
        <w:t>C</w:t>
      </w:r>
      <w:r>
        <w:rPr>
          <w:rFonts w:hint="default" w:ascii="Times New Roman" w:hAnsi="Times New Roman" w:eastAsia="宋体" w:cs="Times New Roman"/>
          <w:b w:val="0"/>
          <w:i w:val="0"/>
          <w:sz w:val="21"/>
          <w:szCs w:val="21"/>
          <w:lang w:val="en-US" w:eastAsia="zh-CN"/>
        </w:rPr>
        <w:t xml:space="preserve"> </w:t>
      </w:r>
      <w:r>
        <w:rPr>
          <w:rFonts w:hint="default" w:ascii="Times New Roman" w:hAnsi="Times New Roman" w:eastAsia="宋体" w:cs="Times New Roman"/>
          <w:b w:val="0"/>
          <w:i w:val="0"/>
          <w:sz w:val="21"/>
          <w:szCs w:val="21"/>
          <w:lang w:eastAsia="zh-CN"/>
        </w:rPr>
        <w:t>的</w:t>
      </w:r>
      <w:r>
        <w:rPr>
          <w:rFonts w:hint="default"/>
          <w:lang w:val="en-US" w:eastAsia="zh-CN"/>
        </w:rPr>
        <w:t>分子</w:t>
      </w:r>
      <w:r>
        <w:rPr>
          <w:rFonts w:hint="default" w:ascii="Times New Roman" w:hAnsi="Times New Roman" w:eastAsia="宋体" w:cs="Times New Roman"/>
          <w:b w:val="0"/>
          <w:i w:val="0"/>
          <w:sz w:val="21"/>
          <w:szCs w:val="21"/>
          <w:lang w:eastAsia="zh-CN"/>
        </w:rPr>
        <w:t>量之比。</w:t>
      </w:r>
    </w:p>
    <w:p w14:paraId="7619FBFB">
      <w:pPr>
        <w:pStyle w:val="39"/>
        <w:bidi w:val="0"/>
        <w:rPr>
          <w:rFonts w:hint="eastAsia" w:ascii="宋体" w:hAnsi="宋体"/>
          <w:b w:val="0"/>
          <w:i w:val="0"/>
          <w:sz w:val="21"/>
          <w:szCs w:val="21"/>
          <w:lang w:eastAsia="zh-CN"/>
        </w:rPr>
      </w:pPr>
      <w:r>
        <w:rPr>
          <w:rFonts w:hint="eastAsia" w:ascii="宋体" w:hAnsi="宋体"/>
          <w:b w:val="0"/>
          <w:i w:val="0"/>
          <w:sz w:val="21"/>
          <w:szCs w:val="21"/>
          <w:lang w:eastAsia="zh-CN"/>
        </w:rPr>
        <w:t>神湾菠萝植株生物量可</w:t>
      </w:r>
      <w:r>
        <w:rPr>
          <w:rFonts w:hint="eastAsia"/>
          <w:lang w:val="en-US" w:eastAsia="zh-CN"/>
        </w:rPr>
        <w:t>采用</w:t>
      </w:r>
      <w:r>
        <w:rPr>
          <w:rFonts w:hint="eastAsia" w:ascii="宋体" w:hAnsi="宋体"/>
          <w:b w:val="0"/>
          <w:i w:val="0"/>
          <w:sz w:val="21"/>
          <w:szCs w:val="21"/>
          <w:lang w:eastAsia="zh-CN"/>
        </w:rPr>
        <w:t>直接监测法或模型模拟法获取。具备田间实地监测条件时，优先采用直接监测法，按整株取样、分器官、烘干至恒重的方式测定生物量；不具备实地监测条件时，可参考草地碳汇计量相关标准的全收获法核算逻辑进行估算</w:t>
      </w:r>
      <w:r>
        <w:rPr>
          <w:rFonts w:hint="eastAsia" w:ascii="宋体" w:hAnsi="宋体" w:eastAsia="宋体" w:cs="宋体"/>
          <w:b w:val="0"/>
          <w:i w:val="0"/>
          <w:sz w:val="21"/>
          <w:szCs w:val="21"/>
          <w:lang w:eastAsia="zh-CN"/>
        </w:rPr>
        <w:t>并注明不确定性</w:t>
      </w:r>
      <w:r>
        <w:rPr>
          <w:rFonts w:hint="eastAsia" w:ascii="宋体" w:hAnsi="宋体"/>
          <w:b w:val="0"/>
          <w:i w:val="0"/>
          <w:sz w:val="21"/>
          <w:szCs w:val="21"/>
          <w:lang w:eastAsia="zh-CN"/>
        </w:rPr>
        <w:t>。</w:t>
      </w:r>
    </w:p>
    <w:p w14:paraId="1021A73C">
      <w:pPr>
        <w:pStyle w:val="39"/>
        <w:bidi w:val="0"/>
        <w:rPr>
          <w:rFonts w:hint="eastAsia" w:ascii="宋体" w:hAnsi="宋体"/>
          <w:b w:val="0"/>
          <w:i w:val="0"/>
          <w:sz w:val="21"/>
          <w:szCs w:val="21"/>
          <w:lang w:eastAsia="zh-CN"/>
        </w:rPr>
      </w:pPr>
      <w:r>
        <w:rPr>
          <w:rFonts w:hint="eastAsia" w:ascii="宋体" w:hAnsi="宋体"/>
          <w:b w:val="0"/>
          <w:i w:val="0"/>
          <w:sz w:val="21"/>
          <w:szCs w:val="21"/>
          <w:lang w:eastAsia="zh-CN"/>
        </w:rPr>
        <w:t>直接监测法</w:t>
      </w:r>
    </w:p>
    <w:p w14:paraId="58617392">
      <w:pPr>
        <w:pStyle w:val="39"/>
        <w:bidi w:val="0"/>
        <w:rPr>
          <w:rFonts w:hint="default" w:ascii="Times New Roman" w:hAnsi="Times New Roman" w:cs="Times New Roman"/>
          <w:b w:val="0"/>
          <w:i w:val="0"/>
          <w:sz w:val="21"/>
          <w:szCs w:val="21"/>
          <w:lang w:eastAsia="zh-CN"/>
        </w:rPr>
      </w:pPr>
      <w:r>
        <w:rPr>
          <w:rFonts w:hint="default" w:ascii="Times New Roman" w:hAnsi="Times New Roman" w:cs="Times New Roman"/>
          <w:b w:val="0"/>
          <w:i w:val="0"/>
          <w:sz w:val="21"/>
          <w:szCs w:val="21"/>
          <w:lang w:eastAsia="zh-CN"/>
        </w:rPr>
        <w:t>生物量的计算可以采用平均值法计算，即通过田间实地监测不同器官的生物量，根据</w:t>
      </w:r>
      <w:r>
        <w:rPr>
          <w:rFonts w:hint="default" w:ascii="Times New Roman" w:hAnsi="Times New Roman" w:cs="Times New Roman"/>
          <w:b w:val="0"/>
          <w:i w:val="0"/>
          <w:sz w:val="21"/>
          <w:szCs w:val="21"/>
          <w:lang w:val="en-US" w:eastAsia="zh-CN"/>
        </w:rPr>
        <w:t>菠萝植株数量</w:t>
      </w:r>
      <w:r>
        <w:rPr>
          <w:rFonts w:hint="default" w:ascii="Times New Roman" w:hAnsi="Times New Roman" w:cs="Times New Roman"/>
          <w:b w:val="0"/>
          <w:i w:val="0"/>
          <w:sz w:val="21"/>
          <w:szCs w:val="21"/>
          <w:lang w:eastAsia="zh-CN"/>
        </w:rPr>
        <w:t>计算不同器官</w:t>
      </w:r>
      <w:r>
        <w:rPr>
          <w:rFonts w:hint="default" w:ascii="宋体" w:hAnsi="宋体"/>
          <w:b w:val="0"/>
          <w:i w:val="0"/>
          <w:sz w:val="21"/>
          <w:szCs w:val="21"/>
          <w:lang w:eastAsia="zh-CN"/>
        </w:rPr>
        <w:t>单位</w:t>
      </w:r>
      <w:r>
        <w:rPr>
          <w:rFonts w:hint="default" w:ascii="Times New Roman" w:hAnsi="Times New Roman" w:cs="Times New Roman"/>
          <w:b w:val="0"/>
          <w:i w:val="0"/>
          <w:sz w:val="21"/>
          <w:szCs w:val="21"/>
          <w:lang w:eastAsia="zh-CN"/>
        </w:rPr>
        <w:t>面积的生物量。</w:t>
      </w:r>
      <w:r>
        <w:rPr>
          <w:rFonts w:hint="default" w:ascii="Times New Roman" w:hAnsi="Times New Roman" w:cs="Times New Roman"/>
          <w:b w:val="0"/>
          <w:i w:val="0"/>
          <w:sz w:val="21"/>
          <w:szCs w:val="21"/>
          <w:lang w:val="en-US" w:eastAsia="zh-CN"/>
        </w:rPr>
        <w:t>计算公式如下</w:t>
      </w:r>
      <w:r>
        <w:rPr>
          <w:rFonts w:hint="default" w:ascii="Times New Roman" w:hAnsi="Times New Roman" w:cs="Times New Roman"/>
          <w:b w:val="0"/>
          <w:i w:val="0"/>
          <w:sz w:val="21"/>
          <w:szCs w:val="21"/>
          <w:lang w:eastAsia="zh-CN"/>
        </w:rPr>
        <w:t>：</w:t>
      </w:r>
    </w:p>
    <w:p w14:paraId="5D2B181B">
      <w:pPr>
        <w:pStyle w:val="116"/>
        <w:bidi w:val="0"/>
        <w:rPr>
          <w:rFonts w:hint="default" w:ascii="Times New Roman" w:hAnsi="Times New Roman" w:cs="Times New Roman"/>
          <w:lang w:eastAsia="zh-CN"/>
        </w:rPr>
      </w:pPr>
      <w:r>
        <w:rPr>
          <w:rFonts w:hint="default" w:ascii="Times New Roman" w:hAnsi="Times New Roman" w:cs="Times New Roman"/>
          <w:lang w:eastAsia="zh-CN"/>
        </w:rPr>
        <w:tab/>
      </w:r>
      <m:oMath>
        <m:sSub>
          <m:sSubPr>
            <m:ctrlPr>
              <w:rPr>
                <w:rFonts w:hint="default" w:ascii="Cambria Math" w:hAnsi="Cambria Math" w:cs="Times New Roman"/>
                <w:i w:val="0"/>
                <w:iCs/>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B</m:t>
            </m:r>
            <m:ctrlPr>
              <w:rPr>
                <w:rFonts w:hint="default" w:ascii="Cambria Math" w:hAnsi="Cambria Math" w:cs="Times New Roman"/>
                <w:i w:val="0"/>
                <w:iCs/>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organ</m:t>
            </m:r>
            <m:ctrlPr>
              <w:rPr>
                <w:rFonts w:hint="default" w:ascii="Cambria Math" w:hAnsi="Cambria Math" w:cs="Times New Roman"/>
                <w:i w:val="0"/>
                <w:iCs/>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kern w:val="2"/>
                <w:sz w:val="21"/>
                <w:szCs w:val="21"/>
                <w:lang w:val="en-US" w:eastAsia="zh-CN" w:bidi="ar-SA"/>
              </w:rPr>
            </m:ctrlPr>
          </m:naryPr>
          <m:sub>
            <m:ctrlPr>
              <w:rPr>
                <w:rFonts w:hint="default" w:ascii="Cambria Math" w:hAnsi="Cambria Math" w:cs="Times New Roman"/>
                <w:i w:val="0"/>
                <w:iCs/>
                <w:kern w:val="2"/>
                <w:sz w:val="21"/>
                <w:szCs w:val="21"/>
                <w:lang w:val="en-US" w:eastAsia="zh-CN" w:bidi="ar-SA"/>
              </w:rPr>
            </m:ctrlPr>
          </m:sub>
          <m:sup>
            <m:ctrlPr>
              <w:rPr>
                <w:rFonts w:hint="default" w:ascii="Cambria Math" w:hAnsi="Cambria Math" w:cs="Times New Roman"/>
                <w:i w:val="0"/>
                <w:iCs/>
                <w:kern w:val="2"/>
                <w:sz w:val="21"/>
                <w:szCs w:val="21"/>
                <w:lang w:val="en-US" w:eastAsia="zh-CN" w:bidi="ar-SA"/>
              </w:rPr>
            </m:ctrlPr>
          </m:sup>
          <m:e>
            <m:sSub>
              <m:sSubPr>
                <m:ctrlPr>
                  <w:rPr>
                    <w:rFonts w:hint="default" w:ascii="Cambria Math" w:hAnsi="Cambria Math" w:cs="Times New Roman"/>
                    <w:i w:val="0"/>
                    <w:iCs/>
                    <w:kern w:val="2"/>
                    <w:sz w:val="21"/>
                    <w:szCs w:val="21"/>
                    <w:lang w:val="en-US" w:eastAsia="zh-CN" w:bidi="ar-SA"/>
                  </w:rPr>
                </m:ctrlPr>
              </m:sSubPr>
              <m:e>
                <m:r>
                  <m:rPr>
                    <m:nor/>
                    <m:sty m:val="p"/>
                  </m:rPr>
                  <w:rPr>
                    <w:rFonts w:hint="default" w:ascii="Cambria Math" w:hAnsi="Cambria Math" w:cs="Times New Roman"/>
                    <w:i w:val="0"/>
                    <w:iCs/>
                    <w:kern w:val="2"/>
                    <w:sz w:val="21"/>
                    <w:szCs w:val="21"/>
                    <w:lang w:val="en-US" w:eastAsia="zh-CN" w:bidi="ar-SA"/>
                  </w:rPr>
                  <m:t>(</m:t>
                </m:r>
                <m:r>
                  <m:rPr>
                    <m:nor/>
                    <m:sty m:val="p"/>
                  </m:rPr>
                  <w:rPr>
                    <w:rFonts w:hint="default" w:ascii="Times New Roman" w:hAnsi="Times New Roman" w:cs="Times New Roman"/>
                    <w:b w:val="0"/>
                    <w:i w:val="0"/>
                    <w:kern w:val="2"/>
                    <w:sz w:val="21"/>
                    <w:szCs w:val="21"/>
                    <w:lang w:val="en-US" w:eastAsia="zh-CN" w:bidi="ar-SA"/>
                  </w:rPr>
                  <m:t>B</m:t>
                </m:r>
                <m:ctrlPr>
                  <w:rPr>
                    <w:rFonts w:hint="default" w:ascii="Cambria Math" w:hAnsi="Cambria Math" w:cs="Times New Roman"/>
                    <w:i w:val="0"/>
                    <w:iCs/>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plant</m:t>
                </m:r>
                <m:ctrlPr>
                  <w:rPr>
                    <w:rFonts w:hint="default" w:ascii="Cambria Math" w:hAnsi="Cambria Math" w:cs="Times New Roman"/>
                    <w:i w:val="0"/>
                    <w:iCs/>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sSub>
              <m:sSubPr>
                <m:ctrlPr>
                  <w:rPr>
                    <w:rFonts w:hint="default" w:ascii="Cambria Math" w:hAnsi="Cambria Math" w:cs="Times New Roman"/>
                    <w:i w:val="0"/>
                    <w:iCs/>
                    <w:kern w:val="2"/>
                    <w:sz w:val="21"/>
                    <w:szCs w:val="21"/>
                    <w:lang w:val="en-US" w:bidi="ar-SA"/>
                  </w:rPr>
                </m:ctrlPr>
              </m:sSubPr>
              <m:e>
                <m:r>
                  <m:rPr>
                    <m:nor/>
                    <m:sty m:val="p"/>
                  </m:rPr>
                  <w:rPr>
                    <w:rFonts w:hint="default" w:ascii="Times New Roman" w:hAnsi="Times New Roman" w:cs="Times New Roman"/>
                    <w:b w:val="0"/>
                    <w:i w:val="0"/>
                    <w:kern w:val="2"/>
                    <w:sz w:val="21"/>
                    <w:szCs w:val="21"/>
                    <w:lang w:val="en-US" w:eastAsia="zh-CN" w:bidi="ar-SA"/>
                  </w:rPr>
                  <m:t>N</m:t>
                </m:r>
                <m:ctrlPr>
                  <w:rPr>
                    <w:rFonts w:hint="default" w:ascii="Cambria Math" w:hAnsi="Cambria Math" w:cs="Times New Roman"/>
                    <w:i w:val="0"/>
                    <w:iCs/>
                    <w:kern w:val="2"/>
                    <w:sz w:val="21"/>
                    <w:szCs w:val="21"/>
                    <w:lang w:val="en-US" w:bidi="ar-SA"/>
                  </w:rPr>
                </m:ctrlPr>
              </m:e>
              <m:sub>
                <m:r>
                  <m:rPr>
                    <m:nor/>
                    <m:sty m:val="p"/>
                  </m:rPr>
                  <w:rPr>
                    <w:rFonts w:hint="default" w:ascii="Times New Roman" w:hAnsi="Times New Roman" w:cs="Times New Roman"/>
                    <w:b w:val="0"/>
                    <w:i w:val="0"/>
                    <w:kern w:val="2"/>
                    <w:sz w:val="21"/>
                    <w:szCs w:val="21"/>
                    <w:lang w:val="en-US" w:eastAsia="zh-CN" w:bidi="ar-SA"/>
                  </w:rPr>
                  <m:t>plant</m:t>
                </m:r>
                <m:ctrlPr>
                  <w:rPr>
                    <w:rFonts w:hint="default" w:ascii="Cambria Math" w:hAnsi="Cambria Math" w:cs="Times New Roman"/>
                    <w:i w:val="0"/>
                    <w:iCs/>
                    <w:kern w:val="2"/>
                    <w:sz w:val="21"/>
                    <w:szCs w:val="21"/>
                    <w:lang w:val="en-US" w:bidi="ar-SA"/>
                  </w:rPr>
                </m:ctrlPr>
              </m:sub>
            </m:sSub>
            <m:r>
              <m:rPr>
                <m:sty m:val="p"/>
              </m:rPr>
              <w:rPr>
                <w:rFonts w:hint="default" w:ascii="Cambria Math" w:hAnsi="Cambria Math" w:cs="Times New Roman"/>
                <w:kern w:val="2"/>
                <w:sz w:val="21"/>
                <w:szCs w:val="21"/>
                <w:lang w:val="en-US" w:eastAsia="zh-CN" w:bidi="ar-SA"/>
              </w:rPr>
              <m:t>)</m:t>
            </m:r>
            <m:ctrlPr>
              <w:rPr>
                <w:rFonts w:hint="default" w:ascii="Cambria Math" w:hAnsi="Cambria Math" w:cs="Times New Roman"/>
                <w:i w:val="0"/>
                <w:iCs/>
                <w:kern w:val="2"/>
                <w:sz w:val="21"/>
                <w:szCs w:val="21"/>
                <w:lang w:val="en-US" w:eastAsia="zh-CN" w:bidi="ar-SA"/>
              </w:rPr>
            </m:ctrlPr>
          </m:e>
        </m:nary>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17</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23A4BAF0">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55C50C4D">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B</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plant</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——单株不同</w:t>
      </w:r>
      <w:r>
        <w:rPr>
          <w:rFonts w:hint="default" w:ascii="Times New Roman" w:hAnsi="Times New Roman" w:cs="Times New Roman"/>
          <w:b w:val="0"/>
          <w:i w:val="0"/>
          <w:iCs/>
          <w:sz w:val="21"/>
          <w:szCs w:val="21"/>
          <w:lang w:val="en-US" w:eastAsia="zh-CN"/>
        </w:rPr>
        <w:t>器官</w:t>
      </w:r>
      <w:r>
        <w:rPr>
          <w:rFonts w:hint="default" w:ascii="Times New Roman" w:hAnsi="Times New Roman" w:cs="Times New Roman"/>
          <w:b w:val="0"/>
          <w:i w:val="0"/>
          <w:iCs/>
          <w:sz w:val="21"/>
          <w:szCs w:val="21"/>
          <w:lang w:eastAsia="zh-CN"/>
        </w:rPr>
        <w:t>的生物量（kg/</w:t>
      </w:r>
      <w:r>
        <w:rPr>
          <w:rFonts w:hint="default" w:ascii="Times New Roman" w:hAnsi="Times New Roman" w:cs="Times New Roman"/>
          <w:b w:val="0"/>
          <w:i w:val="0"/>
          <w:iCs/>
          <w:sz w:val="21"/>
          <w:szCs w:val="21"/>
          <w:lang w:val="en-US" w:eastAsia="zh-CN"/>
        </w:rPr>
        <w:t>株</w:t>
      </w:r>
      <w:r>
        <w:rPr>
          <w:rFonts w:hint="default" w:ascii="Times New Roman" w:hAnsi="Times New Roman" w:cs="Times New Roman"/>
          <w:b w:val="0"/>
          <w:i w:val="0"/>
          <w:iCs/>
          <w:sz w:val="21"/>
          <w:szCs w:val="21"/>
          <w:lang w:eastAsia="zh-CN"/>
        </w:rPr>
        <w:t>）；</w:t>
      </w:r>
    </w:p>
    <w:p w14:paraId="705B0E00">
      <w:pPr>
        <w:pStyle w:val="39"/>
        <w:bidi w:val="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N</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plant</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神湾菠萝植株数量</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株</w:t>
      </w:r>
      <w:r>
        <w:rPr>
          <w:rFonts w:hint="default" w:ascii="Times New Roman" w:hAnsi="Times New Roman" w:cs="Times New Roman"/>
          <w:b w:val="0"/>
          <w:i w:val="0"/>
          <w:iCs/>
          <w:sz w:val="21"/>
          <w:szCs w:val="21"/>
          <w:lang w:eastAsia="zh-CN"/>
        </w:rPr>
        <w:t>）。</w:t>
      </w:r>
    </w:p>
    <w:p w14:paraId="2C2AE8E8">
      <w:pPr>
        <w:pStyle w:val="41"/>
        <w:bidi w:val="0"/>
        <w:rPr>
          <w:rFonts w:hint="eastAsia"/>
          <w:lang w:val="en-US" w:eastAsia="zh-CN"/>
        </w:rPr>
      </w:pPr>
      <w:r>
        <w:rPr>
          <w:rFonts w:hint="eastAsia"/>
          <w:lang w:val="en-US" w:eastAsia="zh-CN"/>
        </w:rPr>
        <w:t>枯落物碳汇量</w:t>
      </w:r>
    </w:p>
    <w:p w14:paraId="430C0F0B">
      <w:pPr>
        <w:pStyle w:val="39"/>
        <w:bidi w:val="0"/>
        <w:rPr>
          <w:rFonts w:hint="default" w:ascii="Times New Roman" w:hAnsi="Times New Roman" w:eastAsia="宋体" w:cs="Times New Roman"/>
          <w:b w:val="0"/>
          <w:i w:val="0"/>
          <w:sz w:val="21"/>
          <w:szCs w:val="21"/>
          <w:lang w:val="en-US" w:eastAsia="zh-CN"/>
        </w:rPr>
      </w:pPr>
      <w:r>
        <w:rPr>
          <w:rFonts w:hint="default" w:ascii="Times New Roman" w:hAnsi="Times New Roman" w:eastAsia="宋体" w:cs="Times New Roman"/>
          <w:b w:val="0"/>
          <w:i w:val="0"/>
          <w:sz w:val="21"/>
          <w:szCs w:val="21"/>
          <w:lang w:val="en-US" w:eastAsia="zh-CN"/>
        </w:rPr>
        <w:t>枯落物（凋落叶、死株、收获</w:t>
      </w:r>
      <w:r>
        <w:rPr>
          <w:rFonts w:hint="default" w:ascii="Times New Roman" w:hAnsi="Times New Roman" w:cs="Times New Roman"/>
          <w:b w:val="0"/>
          <w:i w:val="0"/>
          <w:sz w:val="21"/>
          <w:szCs w:val="21"/>
          <w:lang w:val="en-US" w:eastAsia="zh-CN"/>
        </w:rPr>
        <w:t>残留</w:t>
      </w:r>
      <w:r>
        <w:rPr>
          <w:rFonts w:hint="default" w:ascii="Times New Roman" w:hAnsi="Times New Roman" w:eastAsia="宋体" w:cs="Times New Roman"/>
          <w:b w:val="0"/>
          <w:i w:val="0"/>
          <w:sz w:val="21"/>
          <w:szCs w:val="21"/>
          <w:lang w:val="en-US" w:eastAsia="zh-CN"/>
        </w:rPr>
        <w:t>根茬）分解时绝大部分碳以二氧化碳形式释放，仅极小比例进入稳定土壤有机碳库。</w:t>
      </w:r>
      <w:r>
        <w:rPr>
          <w:rFonts w:hint="default" w:ascii="Times New Roman" w:hAnsi="Times New Roman" w:cs="Times New Roman"/>
          <w:b w:val="0"/>
          <w:i w:val="0"/>
          <w:sz w:val="21"/>
          <w:szCs w:val="21"/>
          <w:lang w:val="en-US" w:eastAsia="zh-CN"/>
        </w:rPr>
        <w:t>枯落物碳汇计算公式如下：</w:t>
      </w:r>
    </w:p>
    <w:p w14:paraId="7A32E8D7">
      <w:pPr>
        <w:pStyle w:val="116"/>
        <w:bidi w:val="0"/>
        <w:rPr>
          <w:rFonts w:hint="default" w:ascii="Times New Roman" w:hAnsi="Times New Roman" w:cs="Times New Roman"/>
          <w:lang w:val="en-US" w:eastAsia="zh-CN"/>
        </w:rPr>
      </w:pPr>
      <w:r>
        <w:rPr>
          <w:rFonts w:hint="default" w:ascii="Times New Roman" w:hAnsi="Times New Roman" w:cs="Times New Roman"/>
          <w:lang w:val="en-US" w:eastAsia="zh-CN"/>
        </w:rPr>
        <w:tab/>
      </w:r>
      <m:oMath>
        <m:sSub>
          <m:sSubPr>
            <m:ctrlPr>
              <w:rPr>
                <w:rFonts w:hint="default" w:ascii="Cambria Math" w:hAnsi="Cambria Math" w:cs="Times New Roman"/>
                <w:i w:val="0"/>
                <w:iCs/>
                <w:lang w:val="en-US"/>
              </w:rPr>
            </m:ctrlPr>
          </m:sSubPr>
          <m:e>
            <m:r>
              <m:rPr>
                <m:nor/>
                <m:sty m:val="p"/>
              </m:rPr>
              <w:rPr>
                <w:rFonts w:hint="default" w:ascii="Times New Roman" w:hAnsi="Times New Roman" w:cs="Times New Roman"/>
                <w:b w:val="0"/>
                <w:i w:val="0"/>
                <w:lang w:val="en-US" w:eastAsia="zh-CN"/>
              </w:rPr>
              <m:t>CS</m:t>
            </m:r>
            <m:ctrlPr>
              <w:rPr>
                <w:rFonts w:hint="default" w:ascii="Cambria Math" w:hAnsi="Cambria Math" w:cs="Times New Roman"/>
                <w:i w:val="0"/>
                <w:iCs/>
                <w:lang w:val="en-US"/>
              </w:rPr>
            </m:ctrlPr>
          </m:e>
          <m:sub>
            <m:r>
              <m:rPr>
                <m:nor/>
                <m:sty m:val="p"/>
              </m:rPr>
              <w:rPr>
                <w:rFonts w:hint="default" w:ascii="Times New Roman" w:hAnsi="Times New Roman" w:cs="Times New Roman"/>
                <w:b w:val="0"/>
                <w:i w:val="0"/>
                <w:lang w:val="en-US" w:eastAsia="zh-CN"/>
              </w:rPr>
              <m:t>litter</m:t>
            </m:r>
            <m:ctrlPr>
              <w:rPr>
                <w:rFonts w:hint="default" w:ascii="Cambria Math" w:hAnsi="Cambria Math" w:cs="Times New Roman"/>
                <w:i w:val="0"/>
                <w:iCs/>
                <w:lang w:val="en-US"/>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b w:val="0"/>
                <w:i w:val="0"/>
                <w:lang w:val="en-US" w:eastAsia="zh-CN"/>
              </w:rPr>
            </m:ctrlPr>
          </m:sSubPr>
          <m:e>
            <m:r>
              <m:rPr>
                <m:nor/>
                <m:sty m:val="p"/>
              </m:rPr>
              <w:rPr>
                <w:rFonts w:hint="default" w:ascii="Times New Roman" w:hAnsi="Times New Roman" w:cs="Times New Roman"/>
                <w:b w:val="0"/>
                <w:i w:val="0"/>
                <w:lang w:val="en-US" w:eastAsia="zh-CN"/>
              </w:rPr>
              <m:t>B</m:t>
            </m:r>
            <m:ctrlPr>
              <w:rPr>
                <w:rFonts w:hint="default" w:ascii="Cambria Math" w:hAnsi="Cambria Math" w:cs="Times New Roman"/>
                <w:b w:val="0"/>
                <w:i w:val="0"/>
                <w:lang w:val="en-US" w:eastAsia="zh-CN"/>
              </w:rPr>
            </m:ctrlPr>
          </m:e>
          <m:sub>
            <m:r>
              <m:rPr>
                <m:nor/>
                <m:sty m:val="p"/>
              </m:rPr>
              <w:rPr>
                <w:rFonts w:hint="default" w:ascii="Times New Roman" w:hAnsi="Times New Roman" w:cs="Times New Roman"/>
                <w:b w:val="0"/>
                <w:i w:val="0"/>
                <w:lang w:val="en-US" w:eastAsia="zh-CN"/>
              </w:rPr>
              <m:t>litter,t1</m:t>
            </m:r>
            <m:ctrlPr>
              <w:rPr>
                <w:rFonts w:hint="default" w:ascii="Cambria Math" w:hAnsi="Cambria Math" w:cs="Times New Roman"/>
                <w:b w:val="0"/>
                <w:i w:val="0"/>
                <w:lang w:val="en-US" w:eastAsia="zh-CN"/>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b w:val="0"/>
                <w:i w:val="0"/>
                <w:lang w:val="en-US" w:eastAsia="zh-CN"/>
              </w:rPr>
            </m:ctrlPr>
          </m:sSubPr>
          <m:e>
            <m:r>
              <m:rPr>
                <m:nor/>
                <m:sty m:val="p"/>
              </m:rPr>
              <w:rPr>
                <w:rFonts w:hint="default" w:ascii="Times New Roman" w:hAnsi="Times New Roman" w:cs="Times New Roman"/>
                <w:b w:val="0"/>
                <w:i w:val="0"/>
                <w:lang w:val="en-US" w:eastAsia="zh-CN"/>
              </w:rPr>
              <m:t>B</m:t>
            </m:r>
            <m:ctrlPr>
              <w:rPr>
                <w:rFonts w:hint="default" w:ascii="Cambria Math" w:hAnsi="Cambria Math" w:cs="Times New Roman"/>
                <w:b w:val="0"/>
                <w:i w:val="0"/>
                <w:lang w:val="en-US" w:eastAsia="zh-CN"/>
              </w:rPr>
            </m:ctrlPr>
          </m:e>
          <m:sub>
            <m:r>
              <m:rPr>
                <m:nor/>
                <m:sty m:val="p"/>
              </m:rPr>
              <w:rPr>
                <w:rFonts w:hint="default" w:ascii="Times New Roman" w:hAnsi="Times New Roman" w:cs="Times New Roman"/>
                <w:b w:val="0"/>
                <w:i w:val="0"/>
                <w:lang w:val="en-US" w:eastAsia="zh-CN"/>
              </w:rPr>
              <m:t>litter,t0</m:t>
            </m:r>
            <m:ctrlPr>
              <w:rPr>
                <w:rFonts w:hint="default" w:ascii="Cambria Math" w:hAnsi="Cambria Math" w:cs="Times New Roman"/>
                <w:b w:val="0"/>
                <w:lang w:val="en-US" w:eastAsia="zh-CN"/>
              </w:rPr>
            </m:ctrlPr>
          </m:sub>
        </m:sSub>
        <m:r>
          <m:rPr>
            <m:nor/>
            <m:sty m:val="p"/>
          </m:rPr>
          <w:rPr>
            <w:rFonts w:hint="default" w:ascii="Times New Roman" w:hAnsi="Times New Roman" w:cs="Times New Roman"/>
            <w:b w:val="0"/>
            <w:i w:val="0"/>
            <w:lang w:val="en-US"/>
          </w:rPr>
          <m:t>×</m:t>
        </m:r>
        <m:sSup>
          <m:sSupPr>
            <m:ctrlPr>
              <w:rPr>
                <w:rFonts w:hint="default" w:ascii="Cambria Math" w:hAnsi="Cambria Math" w:cs="Times New Roman"/>
                <w:lang w:val="en-US"/>
              </w:rPr>
            </m:ctrlPr>
          </m:sSupPr>
          <m:e>
            <m:r>
              <m:rPr>
                <m:nor/>
                <m:sty m:val="p"/>
              </m:rPr>
              <w:rPr>
                <w:rFonts w:hint="default" w:ascii="Times New Roman" w:hAnsi="Times New Roman" w:cs="Times New Roman"/>
                <w:b w:val="0"/>
                <w:i w:val="0"/>
                <w:lang w:val="en-US" w:eastAsia="zh-CN"/>
              </w:rPr>
              <m:t>e</m:t>
            </m:r>
            <m:ctrlPr>
              <w:rPr>
                <w:rFonts w:hint="default" w:ascii="Cambria Math" w:hAnsi="Cambria Math" w:cs="Times New Roman"/>
                <w:lang w:val="en-US"/>
              </w:rPr>
            </m:ctrlPr>
          </m:e>
          <m:sup>
            <m:r>
              <m:rPr>
                <m:nor/>
                <m:sty m:val="p"/>
              </m:rPr>
              <w:rPr>
                <w:rFonts w:hint="default" w:ascii="Times New Roman" w:hAnsi="Times New Roman" w:cs="Times New Roman"/>
                <w:b w:val="0"/>
                <w:i w:val="0"/>
                <w:lang w:val="en-US" w:eastAsia="zh-CN"/>
              </w:rPr>
              <m:t>−k</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n</m:t>
            </m:r>
            <m:ctrlPr>
              <w:rPr>
                <w:rFonts w:hint="default" w:ascii="Cambria Math" w:hAnsi="Cambria Math" w:cs="Times New Roman"/>
                <w:lang w:val="en-US"/>
              </w:rPr>
            </m:ctrlPr>
          </m:sup>
        </m:sSup>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i w:val="0"/>
                <w:iCs/>
                <w:lang w:val="en-US" w:eastAsia="zh-CN"/>
              </w:rPr>
            </m:ctrlPr>
          </m:sSubPr>
          <m:e>
            <m:r>
              <m:rPr>
                <m:nor/>
                <m:sty m:val="p"/>
              </m:rPr>
              <w:rPr>
                <w:rFonts w:hint="default" w:ascii="Times New Roman" w:hAnsi="Times New Roman" w:cs="Times New Roman"/>
                <w:b w:val="0"/>
                <w:i w:val="0"/>
                <w:lang w:val="en-US" w:eastAsia="zh-CN"/>
              </w:rPr>
              <m:t>C</m:t>
            </m:r>
            <m:ctrlPr>
              <w:rPr>
                <w:rFonts w:hint="default" w:ascii="Cambria Math" w:hAnsi="Cambria Math" w:cs="Times New Roman"/>
                <w:i w:val="0"/>
                <w:iCs/>
                <w:lang w:val="en-US" w:eastAsia="zh-CN"/>
              </w:rPr>
            </m:ctrlPr>
          </m:e>
          <m:sub>
            <m:r>
              <m:rPr>
                <m:nor/>
                <m:sty m:val="p"/>
              </m:rPr>
              <w:rPr>
                <w:rFonts w:hint="default" w:ascii="Times New Roman" w:hAnsi="Times New Roman" w:cs="Times New Roman"/>
                <w:b w:val="0"/>
                <w:i w:val="0"/>
                <w:lang w:val="en-US" w:eastAsia="zh-CN"/>
              </w:rPr>
              <m:t>litter</m:t>
            </m:r>
            <m:ctrlPr>
              <w:rPr>
                <w:rFonts w:hint="default" w:ascii="Cambria Math" w:hAnsi="Cambria Math" w:cs="Times New Roman"/>
                <w:i w:val="0"/>
                <w:iCs/>
                <w:lang w:val="en-US" w:eastAsia="zh-CN"/>
              </w:rPr>
            </m:ctrlPr>
          </m:sub>
        </m:sSub>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44/12</m:t>
        </m:r>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18</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01E2D951">
      <w:pPr>
        <w:pStyle w:val="63"/>
        <w:rPr>
          <w:rFonts w:hint="default" w:ascii="Times New Roman" w:hAnsi="Times New Roman" w:cs="Times New Roman"/>
          <w:lang w:val="en-US" w:eastAsia="zh-CN"/>
        </w:rPr>
      </w:pPr>
      <w:r>
        <w:rPr>
          <w:rFonts w:hint="default" w:ascii="Times New Roman" w:hAnsi="Times New Roman" w:cs="Times New Roman"/>
          <w:lang w:val="en-US" w:eastAsia="zh-CN"/>
        </w:rPr>
        <w:t>式中：</w:t>
      </w:r>
    </w:p>
    <w:p w14:paraId="3B14E55C">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B</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litter,t1</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核算期末枯落物干物质储量</w:t>
      </w:r>
      <w:r>
        <w:rPr>
          <w:rFonts w:hint="default" w:ascii="Times New Roman" w:hAnsi="Times New Roman" w:cs="Times New Roman"/>
          <w:b w:val="0"/>
          <w:i w:val="0"/>
          <w:iCs/>
          <w:sz w:val="21"/>
          <w:szCs w:val="21"/>
          <w:lang w:eastAsia="zh-CN"/>
        </w:rPr>
        <w:t>（kg）；</w:t>
      </w:r>
    </w:p>
    <w:p w14:paraId="40462D3B">
      <w:pPr>
        <w:pStyle w:val="39"/>
        <w:bidi w:val="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B</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litter,t0</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核算期初枯落物干物质储量</w:t>
      </w:r>
      <w:r>
        <w:rPr>
          <w:rFonts w:hint="default" w:ascii="Times New Roman" w:hAnsi="Times New Roman" w:cs="Times New Roman"/>
          <w:b w:val="0"/>
          <w:i w:val="0"/>
          <w:iCs/>
          <w:sz w:val="21"/>
          <w:szCs w:val="21"/>
          <w:lang w:eastAsia="zh-CN"/>
        </w:rPr>
        <w:t>（kg）；</w:t>
      </w:r>
    </w:p>
    <w:p w14:paraId="399DC8B0">
      <w:pPr>
        <w:pStyle w:val="39"/>
        <w:bidi w:val="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litter</m:t>
            </m:r>
            <m:ctrlPr>
              <w:rPr>
                <w:rFonts w:hint="default" w:ascii="Cambria Math" w:hAnsi="Cambria Math" w:cs="Times New Roman"/>
                <w:i w:val="0"/>
                <w:iCs/>
                <w:sz w:val="21"/>
                <w:szCs w:val="21"/>
                <w:lang w:val="en-US" w:eastAsia="zh-CN"/>
              </w:rPr>
            </m:ctrlPr>
          </m:sub>
        </m:sSub>
      </m:oMath>
      <w:r>
        <w:rPr>
          <w:rFonts w:hint="default" w:ascii="Times New Roman" w:hAnsi="Times New Roman" w:eastAsia="宋体" w:cs="Times New Roman"/>
          <w:b w:val="0"/>
          <w:i w:val="0"/>
          <w:iCs/>
          <w:sz w:val="21"/>
          <w:szCs w:val="21"/>
          <w:lang w:eastAsia="zh-CN"/>
        </w:rPr>
        <w:t>——</w:t>
      </w:r>
      <w:r>
        <w:rPr>
          <w:rFonts w:hint="default" w:ascii="Times New Roman" w:hAnsi="Times New Roman" w:cs="Times New Roman"/>
          <w:b w:val="0"/>
          <w:i w:val="0"/>
          <w:iCs/>
          <w:sz w:val="21"/>
          <w:szCs w:val="21"/>
          <w:lang w:val="en-US" w:eastAsia="zh-CN"/>
        </w:rPr>
        <w:t>残</w:t>
      </w:r>
      <w:r>
        <w:rPr>
          <w:rFonts w:hint="default" w:ascii="Times New Roman" w:hAnsi="Times New Roman" w:eastAsia="宋体" w:cs="Times New Roman"/>
          <w:b w:val="0"/>
          <w:i w:val="0"/>
          <w:iCs/>
          <w:sz w:val="21"/>
          <w:szCs w:val="21"/>
          <w:lang w:eastAsia="zh-CN"/>
        </w:rPr>
        <w:t>株</w:t>
      </w:r>
      <w:r>
        <w:rPr>
          <w:rFonts w:hint="default" w:ascii="Times New Roman" w:hAnsi="Times New Roman" w:eastAsia="宋体" w:cs="Times New Roman"/>
          <w:b w:val="0"/>
          <w:i w:val="0"/>
          <w:iCs/>
          <w:sz w:val="21"/>
          <w:szCs w:val="21"/>
          <w:lang w:val="en-US" w:eastAsia="zh-CN"/>
        </w:rPr>
        <w:t>含碳率（干重比）；</w:t>
      </w:r>
    </w:p>
    <w:p w14:paraId="012D208E">
      <w:pPr>
        <w:pStyle w:val="39"/>
        <w:bidi w:val="0"/>
        <w:rPr>
          <w:rFonts w:hint="default" w:ascii="Times New Roman" w:hAnsi="Times New Roman" w:eastAsia="宋体" w:cs="Times New Roman"/>
          <w:b w:val="0"/>
          <w:i w:val="0"/>
          <w:iCs/>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k</m:t>
        </m:r>
      </m:oMath>
      <w:r>
        <w:rPr>
          <w:rFonts w:hint="default" w:ascii="Times New Roman" w:hAnsi="Times New Roman" w:eastAsia="宋体" w:cs="Times New Roman"/>
          <w:b w:val="0"/>
          <w:i w:val="0"/>
          <w:iCs w:val="0"/>
          <w:sz w:val="21"/>
          <w:szCs w:val="21"/>
          <w:lang w:eastAsia="zh-CN"/>
        </w:rPr>
        <w:t>——枯</w:t>
      </w:r>
      <w:r>
        <w:rPr>
          <w:rFonts w:hint="default" w:ascii="Times New Roman" w:hAnsi="Times New Roman" w:eastAsia="宋体" w:cs="Times New Roman"/>
          <w:b w:val="0"/>
          <w:i w:val="0"/>
          <w:iCs/>
          <w:sz w:val="21"/>
          <w:szCs w:val="21"/>
          <w:lang w:eastAsia="zh-CN"/>
        </w:rPr>
        <w:t>落物</w:t>
      </w:r>
      <w:r>
        <w:rPr>
          <w:rFonts w:hint="default" w:ascii="Times New Roman" w:hAnsi="Times New Roman" w:cs="Times New Roman"/>
          <w:b w:val="0"/>
          <w:i w:val="0"/>
          <w:sz w:val="21"/>
          <w:szCs w:val="21"/>
          <w:lang w:eastAsia="zh-CN"/>
        </w:rPr>
        <w:t>分解</w:t>
      </w:r>
      <w:r>
        <w:rPr>
          <w:rFonts w:hint="default" w:ascii="Times New Roman" w:hAnsi="Times New Roman" w:eastAsia="宋体" w:cs="Times New Roman"/>
          <w:b w:val="0"/>
          <w:i w:val="0"/>
          <w:iCs/>
          <w:sz w:val="21"/>
          <w:szCs w:val="21"/>
          <w:lang w:eastAsia="zh-CN"/>
        </w:rPr>
        <w:t>常数</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lang w:eastAsia="zh-CN"/>
        </w:rPr>
        <w:t>一般为0.3-0.6，温暖湿润地区为0.5-0.6，寒冷干燥地区为0.3-0.4</w:t>
      </w:r>
      <w:r>
        <w:rPr>
          <w:rFonts w:hint="default" w:ascii="Times New Roman" w:hAnsi="Times New Roman" w:cs="Times New Roman"/>
          <w:b w:val="0"/>
          <w:i w:val="0"/>
          <w:iCs/>
          <w:sz w:val="21"/>
          <w:szCs w:val="21"/>
          <w:lang w:eastAsia="zh-CN"/>
        </w:rPr>
        <w:t>）；</w:t>
      </w:r>
    </w:p>
    <w:p w14:paraId="6FA80BA5">
      <w:pPr>
        <w:pStyle w:val="39"/>
        <w:bidi w:val="0"/>
        <w:rPr>
          <w:rFonts w:hint="default" w:ascii="Times New Roman" w:hAnsi="Times New Roman" w:cs="Times New Roman"/>
          <w:b w:val="0"/>
          <w:i w:val="0"/>
          <w:iCs w:val="0"/>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n</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核算周期年数（a）</w:t>
      </w:r>
      <w:r>
        <w:rPr>
          <w:rFonts w:hint="default" w:ascii="Times New Roman" w:hAnsi="Times New Roman" w:cs="Times New Roman"/>
          <w:b w:val="0"/>
          <w:i w:val="0"/>
          <w:iCs w:val="0"/>
          <w:sz w:val="21"/>
          <w:szCs w:val="21"/>
          <w:lang w:eastAsia="zh-CN"/>
        </w:rPr>
        <w:t>。</w:t>
      </w:r>
    </w:p>
    <w:p w14:paraId="6BE5CCB3">
      <w:pPr>
        <w:pStyle w:val="41"/>
        <w:bidi w:val="0"/>
        <w:rPr>
          <w:rFonts w:hint="eastAsia"/>
          <w:lang w:val="en-US" w:eastAsia="zh-CN"/>
        </w:rPr>
      </w:pPr>
      <w:r>
        <w:rPr>
          <w:rFonts w:hint="eastAsia"/>
          <w:lang w:val="en-US" w:eastAsia="zh-CN"/>
        </w:rPr>
        <w:t>土壤碳汇量</w:t>
      </w:r>
    </w:p>
    <w:p w14:paraId="7EC95FD2">
      <w:pPr>
        <w:pStyle w:val="39"/>
        <w:rPr>
          <w:rFonts w:hint="default"/>
          <w:lang w:val="en-US" w:eastAsia="zh-CN"/>
        </w:rPr>
      </w:pPr>
      <w:r>
        <w:rPr>
          <w:rFonts w:hint="eastAsia"/>
          <w:lang w:val="en-US" w:eastAsia="zh-CN"/>
        </w:rPr>
        <w:t>植株或茎叶还田、有机肥施用等管理措施可能引起土壤有机碳储量变化。土壤碳汇计算公式如下：</w:t>
      </w:r>
    </w:p>
    <w:p w14:paraId="46099498">
      <w:pPr>
        <w:pStyle w:val="116"/>
        <w:bidi w:val="0"/>
        <w:rPr>
          <w:rFonts w:hint="default" w:ascii="Times New Roman" w:hAnsi="Times New Roman" w:cs="Times New Roman"/>
          <w:lang w:val="en-US" w:eastAsia="zh-CN"/>
        </w:rPr>
      </w:pPr>
      <w:r>
        <w:rPr>
          <w:rFonts w:hint="eastAsia"/>
          <w:lang w:val="en-US" w:eastAsia="zh-CN"/>
        </w:rPr>
        <w:tab/>
      </w:r>
      <m:oMath>
        <m:sSub>
          <m:sSubPr>
            <m:ctrlPr>
              <w:rPr>
                <w:rFonts w:hint="default" w:ascii="Cambria Math" w:hAnsi="Cambria Math" w:cs="Times New Roman"/>
                <w:i w:val="0"/>
                <w:iCs/>
                <w:lang w:val="en-US"/>
              </w:rPr>
            </m:ctrlPr>
          </m:sSubPr>
          <m:e>
            <m:r>
              <m:rPr>
                <m:nor/>
                <m:sty m:val="p"/>
              </m:rPr>
              <w:rPr>
                <w:rFonts w:hint="default" w:ascii="Times New Roman" w:hAnsi="Times New Roman" w:cs="Times New Roman"/>
                <w:b w:val="0"/>
                <w:i w:val="0"/>
                <w:lang w:val="en-US" w:eastAsia="zh-CN"/>
              </w:rPr>
              <m:t>CS</m:t>
            </m:r>
            <m:ctrlPr>
              <w:rPr>
                <w:rFonts w:hint="default" w:ascii="Cambria Math" w:hAnsi="Cambria Math" w:cs="Times New Roman"/>
                <w:i w:val="0"/>
                <w:iCs/>
                <w:lang w:val="en-US"/>
              </w:rPr>
            </m:ctrlPr>
          </m:e>
          <m:sub>
            <m:r>
              <m:rPr>
                <m:nor/>
                <m:sty m:val="p"/>
              </m:rPr>
              <w:rPr>
                <w:rFonts w:hint="default" w:ascii="Times New Roman" w:hAnsi="Times New Roman" w:cs="Times New Roman"/>
                <w:b w:val="0"/>
                <w:i w:val="0"/>
                <w:lang w:val="en-US" w:eastAsia="zh-CN"/>
              </w:rPr>
              <m:t>soil</m:t>
            </m:r>
            <m:ctrlPr>
              <w:rPr>
                <w:rFonts w:hint="default" w:ascii="Cambria Math" w:hAnsi="Cambria Math" w:cs="Times New Roman"/>
                <w:i w:val="0"/>
                <w:iCs/>
                <w:lang w:val="en-US"/>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i w:val="0"/>
                <w:iCs/>
                <w:lang w:val="en-US" w:eastAsia="zh-CN"/>
              </w:rPr>
            </m:ctrlPr>
          </m:sSubPr>
          <m:e>
            <m:r>
              <m:rPr>
                <m:nor/>
                <m:sty m:val="p"/>
              </m:rPr>
              <w:rPr>
                <w:rFonts w:hint="default" w:ascii="Times New Roman" w:hAnsi="Times New Roman" w:cs="Times New Roman"/>
                <w:b w:val="0"/>
                <w:i w:val="0"/>
                <w:lang w:val="en-US" w:eastAsia="zh-CN"/>
              </w:rPr>
              <m:t>r</m:t>
            </m:r>
            <m:ctrlPr>
              <w:rPr>
                <w:rFonts w:hint="default" w:ascii="Cambria Math" w:hAnsi="Cambria Math" w:cs="Times New Roman"/>
                <w:i w:val="0"/>
                <w:iCs/>
                <w:lang w:val="en-US" w:eastAsia="zh-CN"/>
              </w:rPr>
            </m:ctrlPr>
          </m:e>
          <m:sub>
            <m:r>
              <m:rPr>
                <m:nor/>
                <m:sty m:val="p"/>
              </m:rPr>
              <w:rPr>
                <w:rFonts w:hint="default" w:ascii="Times New Roman" w:hAnsi="Times New Roman" w:cs="Times New Roman"/>
                <w:b w:val="0"/>
                <w:i w:val="0"/>
                <w:lang w:val="en-US" w:eastAsia="zh-CN"/>
              </w:rPr>
              <m:t>SOC</m:t>
            </m:r>
            <m:ctrlPr>
              <w:rPr>
                <w:rFonts w:hint="default" w:ascii="Cambria Math" w:hAnsi="Cambria Math" w:cs="Times New Roman"/>
                <w:i w:val="0"/>
                <w:iCs/>
                <w:lang w:val="en-US" w:eastAsia="zh-CN"/>
              </w:rPr>
            </m:ctrlPr>
          </m:sub>
        </m:sSub>
        <m:r>
          <m:rPr>
            <m:nor/>
            <m:sty m:val="p"/>
          </m:rPr>
          <w:rPr>
            <w:rFonts w:hint="default" w:ascii="Times New Roman" w:hAnsi="Times New Roman" w:cs="Times New Roman"/>
            <w:b w:val="0"/>
            <w:i w:val="0"/>
            <w:lang w:val="en-US" w:eastAsia="zh-CN"/>
          </w:rPr>
          <m:t>×n</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44/12</m:t>
        </m:r>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19</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69488D95">
      <w:pPr>
        <w:pStyle w:val="63"/>
        <w:rPr>
          <w:rFonts w:hint="default" w:ascii="Times New Roman" w:hAnsi="Times New Roman" w:cs="Times New Roman"/>
          <w:lang w:val="en-US" w:eastAsia="zh-CN"/>
        </w:rPr>
      </w:pPr>
      <w:r>
        <w:rPr>
          <w:rFonts w:hint="default" w:ascii="Times New Roman" w:hAnsi="Times New Roman" w:cs="Times New Roman"/>
          <w:lang w:val="en-US" w:eastAsia="zh-CN"/>
        </w:rPr>
        <w:t>式中：</w:t>
      </w:r>
    </w:p>
    <w:p w14:paraId="5B479AC6">
      <w:pPr>
        <w:pStyle w:val="39"/>
        <w:bidi w:val="0"/>
        <w:rPr>
          <w:rFonts w:hint="default" w:ascii="Times New Roman" w:hAnsi="Times New Roman" w:cs="Times New Roman"/>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CS</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soil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——土壤碳汇量（</w:t>
      </w:r>
      <w:r>
        <w:rPr>
          <w:rFonts w:hint="default" w:ascii="Times New Roman" w:hAnsi="Times New Roman" w:cs="Times New Roman"/>
          <w:b w:val="0"/>
          <w:i w:val="0"/>
          <w:iCs/>
          <w:sz w:val="21"/>
          <w:szCs w:val="21"/>
          <w:lang w:val="en-US" w:eastAsia="zh-CN"/>
        </w:rPr>
        <w:t>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val="en-US" w:eastAsia="zh-CN"/>
        </w:rPr>
        <w:t>e）</w:t>
      </w:r>
      <w:r>
        <w:rPr>
          <w:rFonts w:hint="default" w:ascii="Times New Roman" w:hAnsi="Times New Roman" w:cs="Times New Roman"/>
          <w:b w:val="0"/>
          <w:i w:val="0"/>
          <w:iCs/>
          <w:sz w:val="21"/>
          <w:szCs w:val="21"/>
          <w:lang w:eastAsia="zh-CN"/>
        </w:rPr>
        <w:t>；</w:t>
      </w:r>
    </w:p>
    <w:p w14:paraId="609FC68A">
      <w:pPr>
        <w:pStyle w:val="39"/>
        <w:bidi w:val="0"/>
        <w:rPr>
          <w:rFonts w:hint="default" w:ascii="Times New Roman" w:hAnsi="Times New Roman" w:cs="Times New Roman"/>
          <w:b w:val="0"/>
          <w:i w:val="0"/>
          <w:iCs w:val="0"/>
          <w:sz w:val="21"/>
          <w:szCs w:val="21"/>
          <w:lang w:eastAsia="zh-CN"/>
        </w:rPr>
      </w:pPr>
      <m:oMath>
        <m:sSub>
          <m:sSubPr>
            <m:ctrlPr>
              <w:rPr>
                <w:rFonts w:hint="default" w:ascii="Cambria Math" w:hAnsi="Cambria Math" w:cs="Times New Roman"/>
                <w:b w:val="0"/>
                <w:i w:val="0"/>
                <w:sz w:val="21"/>
                <w:szCs w:val="21"/>
              </w:rPr>
            </m:ctrlPr>
          </m:sSubPr>
          <m:e>
            <m:r>
              <m:rPr>
                <m:nor/>
                <m:sty m:val="p"/>
              </m:rPr>
              <w:rPr>
                <w:rFonts w:hint="default" w:ascii="Times New Roman" w:hAnsi="Times New Roman" w:cs="Times New Roman"/>
                <w:b w:val="0"/>
                <w:i w:val="0"/>
                <w:sz w:val="21"/>
                <w:szCs w:val="21"/>
                <w:lang w:val="en-US" w:eastAsia="zh-CN"/>
              </w:rPr>
              <m:t>r</m:t>
            </m:r>
            <m:ctrlPr>
              <w:rPr>
                <w:rFonts w:hint="default" w:ascii="Cambria Math" w:hAnsi="Cambria Math" w:cs="Times New Roman"/>
                <w:b w:val="0"/>
                <w:i w:val="0"/>
                <w:sz w:val="21"/>
                <w:szCs w:val="21"/>
              </w:rPr>
            </m:ctrlPr>
          </m:e>
          <m:sub>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b w:val="0"/>
                <w:i w:val="0"/>
                <w:sz w:val="21"/>
                <w:szCs w:val="21"/>
              </w:rPr>
            </m:ctrlPr>
          </m:sub>
        </m:sSub>
      </m:oMath>
      <w:r>
        <w:rPr>
          <w:rFonts w:hint="default" w:ascii="Times New Roman" w:hAnsi="Times New Roman" w:cs="Times New Roman"/>
          <w:b w:val="0"/>
          <w:i w:val="0"/>
          <w:sz w:val="21"/>
          <w:szCs w:val="21"/>
          <w:lang w:eastAsia="zh-CN"/>
        </w:rPr>
        <w:t>——</w:t>
      </w:r>
      <w:r>
        <w:rPr>
          <w:rFonts w:hint="default" w:ascii="Times New Roman" w:hAnsi="Times New Roman" w:cs="Times New Roman"/>
          <w:b w:val="0"/>
          <w:i w:val="0"/>
          <w:iCs/>
          <w:sz w:val="21"/>
          <w:szCs w:val="21"/>
          <w:lang w:val="en-US" w:eastAsia="zh-CN"/>
        </w:rPr>
        <w:t>年土壤</w:t>
      </w:r>
      <w:r>
        <w:rPr>
          <w:rFonts w:hint="default" w:ascii="Times New Roman" w:hAnsi="Times New Roman" w:cs="Times New Roman"/>
          <w:b w:val="0"/>
          <w:i w:val="0"/>
          <w:sz w:val="21"/>
          <w:szCs w:val="21"/>
          <w:lang w:val="en-US" w:eastAsia="zh-CN"/>
        </w:rPr>
        <w:t>有机</w:t>
      </w:r>
      <w:r>
        <w:rPr>
          <w:rFonts w:hint="default" w:ascii="Times New Roman" w:hAnsi="Times New Roman" w:cs="Times New Roman"/>
          <w:b w:val="0"/>
          <w:i w:val="0"/>
          <w:iCs/>
          <w:sz w:val="21"/>
          <w:szCs w:val="21"/>
          <w:lang w:val="en-US" w:eastAsia="zh-CN"/>
        </w:rPr>
        <w:t>碳净变化速率（kg C/a）</w:t>
      </w:r>
      <w:r>
        <w:rPr>
          <w:rFonts w:hint="default" w:ascii="Times New Roman" w:hAnsi="Times New Roman" w:cs="Times New Roman"/>
          <w:b w:val="0"/>
          <w:i w:val="0"/>
          <w:iCs w:val="0"/>
          <w:sz w:val="21"/>
          <w:szCs w:val="21"/>
          <w:lang w:eastAsia="zh-CN"/>
        </w:rPr>
        <w:t>。</w:t>
      </w:r>
    </w:p>
    <w:p w14:paraId="05398CC3">
      <w:pPr>
        <w:pStyle w:val="39"/>
        <w:bidi w:val="0"/>
        <w:rPr>
          <w:rFonts w:hint="default" w:ascii="宋体" w:hAnsi="宋体"/>
          <w:b w:val="0"/>
          <w:i w:val="0"/>
          <w:sz w:val="21"/>
          <w:szCs w:val="21"/>
          <w:lang w:val="en-US" w:eastAsia="zh-CN"/>
        </w:rPr>
      </w:pPr>
      <w:r>
        <w:rPr>
          <w:rFonts w:hint="eastAsia" w:ascii="宋体" w:hAnsi="宋体"/>
          <w:b w:val="0"/>
          <w:i w:val="0"/>
          <w:iCs/>
          <w:sz w:val="21"/>
          <w:szCs w:val="21"/>
          <w:lang w:val="en-US" w:eastAsia="zh-CN"/>
        </w:rPr>
        <w:t>年土壤有机碳净</w:t>
      </w:r>
      <w:r>
        <w:rPr>
          <w:rFonts w:hint="eastAsia" w:ascii="Times New Roman" w:hAnsi="Times New Roman" w:cs="Times New Roman"/>
          <w:b w:val="0"/>
          <w:i w:val="0"/>
          <w:sz w:val="21"/>
          <w:szCs w:val="21"/>
          <w:lang w:val="en-US" w:eastAsia="zh-CN"/>
        </w:rPr>
        <w:t>变化</w:t>
      </w:r>
      <w:r>
        <w:rPr>
          <w:rFonts w:hint="eastAsia" w:ascii="宋体" w:hAnsi="宋体"/>
          <w:b w:val="0"/>
          <w:i w:val="0"/>
          <w:iCs/>
          <w:sz w:val="21"/>
          <w:szCs w:val="21"/>
          <w:lang w:val="en-US" w:eastAsia="zh-CN"/>
        </w:rPr>
        <w:t>速率计算公式如下：</w:t>
      </w:r>
    </w:p>
    <w:p w14:paraId="64E1904E">
      <w:pPr>
        <w:pStyle w:val="116"/>
        <w:bidi w:val="0"/>
        <w:rPr>
          <w:rFonts w:hint="default" w:ascii="Times New Roman" w:hAnsi="Times New Roman" w:cs="Times New Roman"/>
          <w:lang w:eastAsia="zh-CN"/>
        </w:rPr>
      </w:pPr>
      <w:r>
        <w:rPr>
          <w:rFonts w:hint="eastAsia"/>
          <w:lang w:eastAsia="zh-CN"/>
        </w:rPr>
        <w:tab/>
      </w:r>
      <m:oMath>
        <m:sSub>
          <m:sSubPr>
            <m:ctrlPr>
              <w:rPr>
                <w:rFonts w:hint="default" w:ascii="Cambria Math" w:hAnsi="Cambria Math" w:cs="Times New Roman"/>
                <w:i w:val="0"/>
                <w:iCs/>
                <w:lang w:val="en-US"/>
              </w:rPr>
            </m:ctrlPr>
          </m:sSubPr>
          <m:e>
            <m:r>
              <m:rPr>
                <m:nor/>
                <m:sty m:val="p"/>
              </m:rPr>
              <w:rPr>
                <w:rFonts w:hint="default" w:ascii="Times New Roman" w:hAnsi="Times New Roman" w:cs="Times New Roman"/>
                <w:b w:val="0"/>
                <w:i w:val="0"/>
                <w:lang w:val="en-US" w:eastAsia="zh-CN"/>
              </w:rPr>
              <m:t>r</m:t>
            </m:r>
            <m:ctrlPr>
              <w:rPr>
                <w:rFonts w:hint="default" w:ascii="Cambria Math" w:hAnsi="Cambria Math" w:cs="Times New Roman"/>
                <w:i w:val="0"/>
                <w:iCs/>
                <w:lang w:val="en-US"/>
              </w:rPr>
            </m:ctrlPr>
          </m:e>
          <m:sub>
            <m:r>
              <m:rPr>
                <m:nor/>
                <m:sty m:val="p"/>
              </m:rPr>
              <w:rPr>
                <w:rFonts w:hint="default" w:ascii="Times New Roman" w:hAnsi="Times New Roman" w:cs="Times New Roman"/>
                <w:b w:val="0"/>
                <w:i w:val="0"/>
                <w:lang w:val="en-US" w:eastAsia="zh-CN"/>
              </w:rPr>
              <m:t>SOC</m:t>
            </m:r>
            <m:ctrlPr>
              <w:rPr>
                <w:rFonts w:hint="default" w:ascii="Cambria Math" w:hAnsi="Cambria Math" w:cs="Times New Roman"/>
                <w:i w:val="0"/>
                <w:iCs/>
                <w:lang w:val="en-US"/>
              </w:rPr>
            </m:ctrlPr>
          </m:sub>
        </m:sSub>
        <m:r>
          <m:rPr>
            <m:nor/>
            <m:sty m:val="p"/>
          </m:rPr>
          <w:rPr>
            <w:rFonts w:hint="default" w:ascii="Times New Roman" w:hAnsi="Times New Roman" w:cs="Times New Roman"/>
            <w:b w:val="0"/>
            <w:i w:val="0"/>
            <w:lang w:val="en-US" w:eastAsia="zh-CN"/>
          </w:rPr>
          <m:t>=∆SOC/</m:t>
        </m:r>
        <m:sSub>
          <m:sSubPr>
            <m:ctrlPr>
              <w:rPr>
                <w:rFonts w:hint="default" w:ascii="Times New Roman" w:hAnsi="Times New Roman" w:cs="Times New Roman"/>
                <w:b w:val="0"/>
                <w:i w:val="0"/>
                <w:lang w:val="en-US" w:eastAsia="zh-CN"/>
              </w:rPr>
            </m:ctrlPr>
          </m:sSubPr>
          <m:e>
            <m:r>
              <m:rPr>
                <m:nor/>
                <m:sty m:val="p"/>
              </m:rPr>
              <w:rPr>
                <w:rFonts w:hint="default" w:ascii="Times New Roman" w:hAnsi="Times New Roman" w:cs="Times New Roman"/>
                <w:b w:val="0"/>
                <w:i w:val="0"/>
                <w:lang w:val="en-US" w:eastAsia="zh-CN"/>
              </w:rPr>
              <m:t>n</m:t>
            </m:r>
            <m:ctrlPr>
              <w:rPr>
                <w:rFonts w:hint="default" w:ascii="Times New Roman" w:hAnsi="Times New Roman" w:cs="Times New Roman"/>
                <w:b w:val="0"/>
                <w:i w:val="0"/>
                <w:lang w:val="en-US" w:eastAsia="zh-CN"/>
              </w:rPr>
            </m:ctrlPr>
          </m:e>
          <m:sub>
            <m:r>
              <m:rPr>
                <m:nor/>
                <m:sty m:val="p"/>
              </m:rPr>
              <w:rPr>
                <w:rFonts w:hint="default" w:ascii="Times New Roman" w:hAnsi="Times New Roman" w:cs="Times New Roman"/>
                <w:b w:val="0"/>
                <w:i w:val="0"/>
                <w:lang w:val="en-US" w:eastAsia="zh-CN"/>
              </w:rPr>
              <m:t>SOC</m:t>
            </m:r>
            <m:ctrlPr>
              <w:rPr>
                <w:rFonts w:hint="default" w:ascii="Times New Roman" w:hAnsi="Times New Roman" w:cs="Times New Roman"/>
                <w:b w:val="0"/>
                <w:i w:val="0"/>
                <w:lang w:val="en-US" w:eastAsia="zh-CN"/>
              </w:rPr>
            </m:ctrlPr>
          </m:sub>
        </m:sSub>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20</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105AA763">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204865D6">
      <w:pPr>
        <w:pStyle w:val="39"/>
        <w:bidi w:val="0"/>
        <w:rPr>
          <w:rFonts w:hint="default" w:ascii="Times New Roman" w:hAnsi="Times New Roman" w:cs="Times New Roman"/>
          <w:b w:val="0"/>
          <w:i w:val="0"/>
          <w:iCs/>
          <w:sz w:val="21"/>
          <w:szCs w:val="21"/>
          <w:lang w:eastAsia="zh-CN"/>
        </w:rPr>
      </w:pPr>
      <m:oMath>
        <m:r>
          <m:rPr>
            <m:nor/>
            <m:sty m:val="p"/>
          </m:rPr>
          <w:rPr>
            <w:rFonts w:hint="default" w:ascii="Times New Roman" w:hAnsi="Times New Roman" w:cs="Times New Roman"/>
            <w:b w:val="0"/>
            <w:i w:val="0"/>
            <w:sz w:val="21"/>
            <w:szCs w:val="21"/>
          </w:rPr>
          <m:t>∆</m:t>
        </m:r>
        <m:r>
          <m:rPr>
            <m:nor/>
            <m:sty m:val="p"/>
          </m:rPr>
          <w:rPr>
            <w:rFonts w:hint="default" w:ascii="Times New Roman" w:hAnsi="Times New Roman" w:cs="Times New Roman"/>
            <w:b w:val="0"/>
            <w:i w:val="0"/>
            <w:sz w:val="21"/>
            <w:szCs w:val="21"/>
            <w:lang w:val="en-US" w:eastAsia="zh-CN"/>
          </w:rPr>
          <m:t>SOC</m:t>
        </m:r>
      </m:oMath>
      <w:r>
        <w:rPr>
          <w:rFonts w:hint="default" w:ascii="Times New Roman" w:hAnsi="Times New Roman" w:cs="Times New Roman"/>
          <w:b w:val="0"/>
          <w:i w:val="0"/>
          <w:sz w:val="21"/>
          <w:szCs w:val="21"/>
          <w:lang w:eastAsia="zh-CN"/>
        </w:rPr>
        <w:t>——</w:t>
      </w:r>
      <w:r>
        <w:rPr>
          <w:rFonts w:hint="default" w:ascii="Times New Roman" w:hAnsi="Times New Roman" w:cs="Times New Roman"/>
          <w:b w:val="0"/>
          <w:i w:val="0"/>
          <w:iCs/>
          <w:sz w:val="21"/>
          <w:szCs w:val="21"/>
          <w:lang w:eastAsia="zh-CN"/>
        </w:rPr>
        <w:t>监测期内土壤</w:t>
      </w:r>
      <w:r>
        <w:rPr>
          <w:rFonts w:hint="default" w:ascii="Times New Roman" w:hAnsi="Times New Roman" w:cs="Times New Roman"/>
          <w:b w:val="0"/>
          <w:i w:val="0"/>
          <w:sz w:val="21"/>
          <w:szCs w:val="21"/>
          <w:lang w:eastAsia="zh-CN"/>
        </w:rPr>
        <w:t>有机</w:t>
      </w:r>
      <w:r>
        <w:rPr>
          <w:rFonts w:hint="default" w:ascii="Times New Roman" w:hAnsi="Times New Roman" w:cs="Times New Roman"/>
          <w:b w:val="0"/>
          <w:i w:val="0"/>
          <w:iCs/>
          <w:sz w:val="21"/>
          <w:szCs w:val="21"/>
          <w:lang w:eastAsia="zh-CN"/>
        </w:rPr>
        <w:t>碳储量变化（</w:t>
      </w:r>
      <w:r>
        <w:rPr>
          <w:rFonts w:hint="default" w:ascii="Times New Roman" w:hAnsi="Times New Roman" w:cs="Times New Roman"/>
          <w:b w:val="0"/>
          <w:i w:val="0"/>
          <w:iCs/>
          <w:sz w:val="21"/>
          <w:szCs w:val="21"/>
          <w:lang w:val="en-US" w:eastAsia="zh-CN"/>
        </w:rPr>
        <w:t>kg</w:t>
      </w:r>
      <w:r>
        <w:rPr>
          <w:rFonts w:hint="default" w:ascii="Times New Roman" w:hAnsi="Times New Roman" w:cs="Times New Roman"/>
          <w:b w:val="0"/>
          <w:i w:val="0"/>
          <w:iCs/>
          <w:sz w:val="21"/>
          <w:szCs w:val="21"/>
          <w:lang w:eastAsia="zh-CN"/>
        </w:rPr>
        <w:t xml:space="preserve"> C），结果为正表示净固碳，为负表示净释放；</w:t>
      </w:r>
    </w:p>
    <w:p w14:paraId="1496C7AF">
      <w:pPr>
        <w:pStyle w:val="39"/>
        <w:bidi w:val="0"/>
        <w:rPr>
          <w:rFonts w:hint="default" w:ascii="Times New Roman" w:hAnsi="Times New Roman" w:cs="Times New Roman"/>
          <w:b w:val="0"/>
          <w:i w:val="0"/>
          <w:iCs/>
          <w:sz w:val="21"/>
          <w:szCs w:val="21"/>
          <w:lang w:val="en-US" w:eastAsia="zh-CN"/>
        </w:rPr>
      </w:pPr>
      <m:oMath>
        <m:sSub>
          <m:sSubPr>
            <m:ctrlPr>
              <w:rPr>
                <w:rFonts w:hint="default" w:ascii="Times New Roman" w:hAnsi="Times New Roman" w:cs="Times New Roman"/>
                <w:b w:val="0"/>
                <w:i w:val="0"/>
                <w:sz w:val="21"/>
                <w:szCs w:val="21"/>
                <w:lang w:val="en-US" w:eastAsia="zh-CN"/>
              </w:rPr>
            </m:ctrlPr>
          </m:sSubPr>
          <m:e>
            <m:r>
              <m:rPr>
                <m:nor/>
                <m:sty m:val="p"/>
              </m:rPr>
              <w:rPr>
                <w:rFonts w:hint="eastAsia" w:ascii="Times New Roman" w:hAnsi="Times New Roman" w:cs="Times New Roman"/>
                <w:b w:val="0"/>
                <w:i w:val="0"/>
                <w:sz w:val="21"/>
                <w:szCs w:val="21"/>
                <w:lang w:val="en-US" w:eastAsia="zh-CN"/>
              </w:rPr>
              <m:t>n</m:t>
            </m:r>
            <m:ctrlPr>
              <w:rPr>
                <w:rFonts w:hint="default" w:ascii="Times New Roman" w:hAnsi="Times New Roman" w:cs="Times New Roman"/>
                <w:b w:val="0"/>
                <w:i w:val="0"/>
                <w:sz w:val="21"/>
                <w:szCs w:val="21"/>
                <w:lang w:val="en-US" w:eastAsia="zh-CN"/>
              </w:rPr>
            </m:ctrlPr>
          </m:e>
          <m:sub>
            <m:r>
              <m:rPr>
                <m:nor/>
                <m:sty m:val="p"/>
              </m:rPr>
              <w:rPr>
                <w:rFonts w:hint="default" w:ascii="Times New Roman" w:hAnsi="Times New Roman" w:cs="Times New Roman"/>
                <w:b w:val="0"/>
                <w:i w:val="0"/>
                <w:sz w:val="21"/>
                <w:szCs w:val="21"/>
                <w:lang w:val="en-US" w:eastAsia="zh-CN"/>
              </w:rPr>
              <m:t>SOC</m:t>
            </m:r>
            <m:ctrlPr>
              <w:rPr>
                <w:rFonts w:hint="default" w:ascii="Times New Roman" w:hAnsi="Times New Roman" w:cs="Times New Roman"/>
                <w:b w:val="0"/>
                <w:i w:val="0"/>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定位</w:t>
      </w:r>
      <w:r>
        <w:rPr>
          <w:rFonts w:hint="default" w:ascii="Times New Roman" w:hAnsi="Times New Roman" w:cs="Times New Roman"/>
          <w:b w:val="0"/>
          <w:i w:val="0"/>
          <w:sz w:val="21"/>
          <w:szCs w:val="21"/>
          <w:lang w:val="en-US" w:eastAsia="zh-CN"/>
        </w:rPr>
        <w:t>监测</w:t>
      </w:r>
      <w:r>
        <w:rPr>
          <w:rFonts w:hint="default" w:ascii="Times New Roman" w:hAnsi="Times New Roman" w:cs="Times New Roman"/>
          <w:b w:val="0"/>
          <w:i w:val="0"/>
          <w:iCs/>
          <w:sz w:val="21"/>
          <w:szCs w:val="21"/>
          <w:lang w:val="en-US" w:eastAsia="zh-CN"/>
        </w:rPr>
        <w:t>年数（a），应不小于3。</w:t>
      </w:r>
    </w:p>
    <w:p w14:paraId="292093B3">
      <w:pPr>
        <w:pStyle w:val="39"/>
        <w:bidi w:val="0"/>
        <w:rPr>
          <w:rFonts w:hint="default" w:ascii="Times New Roman" w:hAnsi="Times New Roman" w:cs="Times New Roman"/>
          <w:b w:val="0"/>
          <w:i w:val="0"/>
          <w:sz w:val="21"/>
          <w:szCs w:val="21"/>
          <w:lang w:val="en-US" w:eastAsia="zh-CN"/>
        </w:rPr>
      </w:pPr>
      <w:r>
        <w:rPr>
          <w:rFonts w:hint="default" w:ascii="Times New Roman" w:hAnsi="Times New Roman" w:cs="Times New Roman"/>
          <w:b w:val="0"/>
          <w:i w:val="0"/>
          <w:sz w:val="21"/>
          <w:szCs w:val="21"/>
          <w:lang w:val="en-US" w:eastAsia="zh-CN"/>
        </w:rPr>
        <w:t>土壤有机碳变化量计算公式如下：</w:t>
      </w:r>
    </w:p>
    <w:p w14:paraId="0B36F173">
      <w:pPr>
        <w:pStyle w:val="116"/>
        <w:bidi w:val="0"/>
        <w:rPr>
          <w:rFonts w:hint="default" w:ascii="Times New Roman" w:hAnsi="Times New Roman" w:cs="Times New Roman"/>
          <w:lang w:eastAsia="zh-CN"/>
        </w:rPr>
      </w:pPr>
      <w:r>
        <w:rPr>
          <w:rFonts w:hint="default" w:ascii="Times New Roman" w:hAnsi="Times New Roman" w:cs="Times New Roman"/>
          <w:lang w:eastAsia="zh-CN"/>
        </w:rPr>
        <w:tab/>
      </w:r>
      <m:oMath>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SOC=</m:t>
        </m:r>
        <m:sSub>
          <m:sSubPr>
            <m:ctrlPr>
              <w:rPr>
                <w:rFonts w:hint="default" w:ascii="Cambria Math" w:hAnsi="Cambria Math" w:cs="Times New Roman"/>
                <w:lang w:val="en-US" w:eastAsia="zh-CN"/>
              </w:rPr>
            </m:ctrlPr>
          </m:sSubPr>
          <m:e>
            <m:r>
              <m:rPr>
                <m:nor/>
                <m:sty m:val="p"/>
              </m:rPr>
              <w:rPr>
                <w:rFonts w:hint="default" w:ascii="Times New Roman" w:hAnsi="Times New Roman" w:cs="Times New Roman"/>
                <w:b w:val="0"/>
                <w:i w:val="0"/>
                <w:lang w:val="en-US" w:eastAsia="zh-CN"/>
              </w:rPr>
              <m:t>SOC</m:t>
            </m:r>
            <m:ctrlPr>
              <w:rPr>
                <w:rFonts w:hint="default" w:ascii="Cambria Math" w:hAnsi="Cambria Math" w:cs="Times New Roman"/>
                <w:lang w:val="en-US" w:eastAsia="zh-CN"/>
              </w:rPr>
            </m:ctrlPr>
          </m:e>
          <m:sub>
            <m:r>
              <m:rPr>
                <m:nor/>
                <m:sty m:val="p"/>
              </m:rPr>
              <w:rPr>
                <w:rFonts w:hint="default" w:ascii="Times New Roman" w:hAnsi="Times New Roman" w:cs="Times New Roman"/>
                <w:b w:val="0"/>
                <w:i w:val="0"/>
                <w:lang w:val="en-US" w:eastAsia="zh-CN"/>
              </w:rPr>
              <m:t>stock,f</m:t>
            </m:r>
            <m:ctrlPr>
              <w:rPr>
                <w:rFonts w:hint="default" w:ascii="Cambria Math" w:hAnsi="Cambria Math" w:cs="Times New Roman"/>
                <w:lang w:val="en-US" w:eastAsia="zh-CN"/>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lang w:val="en-US" w:eastAsia="zh-CN"/>
              </w:rPr>
            </m:ctrlPr>
          </m:sSubPr>
          <m:e>
            <m:r>
              <m:rPr>
                <m:nor/>
                <m:sty m:val="p"/>
              </m:rPr>
              <w:rPr>
                <w:rFonts w:hint="default" w:ascii="Times New Roman" w:hAnsi="Times New Roman" w:cs="Times New Roman"/>
                <w:b w:val="0"/>
                <w:i w:val="0"/>
                <w:lang w:val="en-US" w:eastAsia="zh-CN"/>
              </w:rPr>
              <m:t>SOC</m:t>
            </m:r>
            <m:ctrlPr>
              <w:rPr>
                <w:rFonts w:hint="default" w:ascii="Cambria Math" w:hAnsi="Cambria Math" w:cs="Times New Roman"/>
                <w:lang w:val="en-US" w:eastAsia="zh-CN"/>
              </w:rPr>
            </m:ctrlPr>
          </m:e>
          <m:sub>
            <m:r>
              <m:rPr>
                <m:nor/>
                <m:sty m:val="p"/>
              </m:rPr>
              <w:rPr>
                <w:rFonts w:hint="default" w:ascii="Times New Roman" w:hAnsi="Times New Roman" w:cs="Times New Roman"/>
                <w:b w:val="0"/>
                <w:i w:val="0"/>
                <w:lang w:val="en-US" w:eastAsia="zh-CN"/>
              </w:rPr>
              <m:t>stock,0</m:t>
            </m:r>
            <m:ctrlPr>
              <w:rPr>
                <w:rFonts w:hint="default" w:ascii="Cambria Math" w:hAnsi="Cambria Math" w:cs="Times New Roman"/>
                <w:lang w:val="en-US" w:eastAsia="zh-CN"/>
              </w:rPr>
            </m:ctrlPr>
          </m:sub>
        </m:sSub>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21</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1D265433">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42955683">
      <w:pPr>
        <w:pStyle w:val="39"/>
        <w:bidi w:val="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stock,f</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监测</w:t>
      </w:r>
      <w:r>
        <w:rPr>
          <w:rFonts w:hint="default" w:ascii="Times New Roman" w:hAnsi="Times New Roman" w:cs="Times New Roman"/>
          <w:b w:val="0"/>
          <w:i w:val="0"/>
          <w:sz w:val="21"/>
          <w:szCs w:val="21"/>
          <w:lang w:val="en-US" w:eastAsia="zh-CN"/>
        </w:rPr>
        <w:t>期末</w:t>
      </w:r>
      <w:r>
        <w:rPr>
          <w:rFonts w:hint="default" w:ascii="Times New Roman" w:hAnsi="Times New Roman" w:cs="Times New Roman"/>
          <w:b w:val="0"/>
          <w:i w:val="0"/>
          <w:iCs/>
          <w:sz w:val="21"/>
          <w:szCs w:val="21"/>
          <w:lang w:val="en-US" w:eastAsia="zh-CN"/>
        </w:rPr>
        <w:t>的土壤有机碳储量（kg C）；</w:t>
      </w:r>
    </w:p>
    <w:p w14:paraId="4596E73F">
      <w:pPr>
        <w:pStyle w:val="39"/>
        <w:bidi w:val="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stock,0</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——监测期初的土壤有机碳储量（kg C）。</w:t>
      </w:r>
    </w:p>
    <w:p w14:paraId="7F24867D">
      <w:pPr>
        <w:pStyle w:val="39"/>
        <w:bidi w:val="0"/>
        <w:rPr>
          <w:rFonts w:hint="default" w:ascii="Times New Roman" w:hAnsi="Times New Roman" w:cs="Times New Roman"/>
          <w:lang w:val="en-US" w:eastAsia="zh-CN"/>
        </w:rPr>
      </w:pPr>
      <w:r>
        <w:rPr>
          <w:rFonts w:hint="default" w:ascii="Times New Roman" w:hAnsi="Times New Roman" w:cs="Times New Roman"/>
          <w:lang w:val="en-US" w:eastAsia="zh-CN"/>
        </w:rPr>
        <w:t>土壤有机碳储量计算</w:t>
      </w:r>
      <w:r>
        <w:rPr>
          <w:rFonts w:hint="default" w:ascii="Times New Roman" w:hAnsi="Times New Roman" w:cs="Times New Roman"/>
          <w:b w:val="0"/>
          <w:i w:val="0"/>
          <w:sz w:val="21"/>
          <w:szCs w:val="21"/>
          <w:lang w:val="en-US" w:eastAsia="zh-CN"/>
        </w:rPr>
        <w:t>公式</w:t>
      </w:r>
      <w:r>
        <w:rPr>
          <w:rFonts w:hint="default" w:ascii="Times New Roman" w:hAnsi="Times New Roman" w:cs="Times New Roman"/>
          <w:lang w:val="en-US" w:eastAsia="zh-CN"/>
        </w:rPr>
        <w:t>如下：</w:t>
      </w:r>
    </w:p>
    <w:p w14:paraId="265D049F">
      <w:pPr>
        <w:pStyle w:val="116"/>
        <w:bidi w:val="0"/>
        <w:rPr>
          <w:rFonts w:hint="default" w:ascii="Times New Roman" w:hAnsi="Times New Roman" w:cs="Times New Roman"/>
          <w:i w:val="0"/>
          <w:iCs/>
          <w:lang w:val="en-US" w:eastAsia="zh-CN"/>
        </w:rPr>
      </w:pPr>
      <w:r>
        <w:rPr>
          <w:rFonts w:hint="default" w:ascii="Times New Roman" w:hAnsi="Times New Roman" w:cs="Times New Roman"/>
          <w:lang w:val="en-US" w:eastAsia="zh-CN"/>
        </w:rPr>
        <w:tab/>
      </w:r>
      <m:oMath>
        <m:sSub>
          <m:sSubPr>
            <m:ctrlPr>
              <w:rPr>
                <w:rFonts w:hint="default" w:ascii="Cambria Math" w:hAnsi="Cambria Math" w:cs="Times New Roman"/>
                <w:i w:val="0"/>
                <w:iCs/>
                <w:lang w:val="en-US"/>
              </w:rPr>
            </m:ctrlPr>
          </m:sSubPr>
          <m:e>
            <m:r>
              <m:rPr>
                <m:nor/>
                <m:sty m:val="p"/>
              </m:rPr>
              <w:rPr>
                <w:rFonts w:hint="default" w:ascii="Times New Roman" w:hAnsi="Times New Roman" w:cs="Times New Roman"/>
                <w:b w:val="0"/>
                <w:i w:val="0"/>
                <w:lang w:val="en-US" w:eastAsia="zh-CN"/>
              </w:rPr>
              <m:t>SOC</m:t>
            </m:r>
            <m:ctrlPr>
              <w:rPr>
                <w:rFonts w:hint="default" w:ascii="Cambria Math" w:hAnsi="Cambria Math" w:cs="Times New Roman"/>
                <w:i w:val="0"/>
                <w:iCs/>
                <w:lang w:val="en-US"/>
              </w:rPr>
            </m:ctrlPr>
          </m:e>
          <m:sub>
            <m:r>
              <m:rPr>
                <m:nor/>
                <m:sty m:val="p"/>
              </m:rPr>
              <w:rPr>
                <w:rFonts w:hint="default" w:ascii="Times New Roman" w:hAnsi="Times New Roman" w:cs="Times New Roman"/>
                <w:b w:val="0"/>
                <w:i w:val="0"/>
                <w:lang w:val="en-US" w:eastAsia="zh-CN"/>
              </w:rPr>
              <m:t>stock</m:t>
            </m:r>
            <m:ctrlPr>
              <w:rPr>
                <w:rFonts w:hint="default" w:ascii="Cambria Math" w:hAnsi="Cambria Math" w:cs="Times New Roman"/>
                <w:i w:val="0"/>
                <w:iCs/>
                <w:lang w:val="en-US"/>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i w:val="0"/>
                <w:iCs/>
                <w:lang w:val="en-US" w:eastAsia="zh-CN"/>
              </w:rPr>
            </m:ctrlPr>
          </m:sSubPr>
          <m:e>
            <m:r>
              <m:rPr>
                <m:nor/>
                <m:sty m:val="p"/>
              </m:rPr>
              <w:rPr>
                <w:rFonts w:hint="default" w:ascii="Times New Roman" w:hAnsi="Times New Roman" w:cs="Times New Roman"/>
                <w:b w:val="0"/>
                <w:i w:val="0"/>
                <w:lang w:val="en-US" w:eastAsia="zh-CN"/>
              </w:rPr>
              <m:t>SOC</m:t>
            </m:r>
            <m:ctrlPr>
              <w:rPr>
                <w:rFonts w:hint="default" w:ascii="Cambria Math" w:hAnsi="Cambria Math" w:cs="Times New Roman"/>
                <w:i w:val="0"/>
                <w:iCs/>
                <w:lang w:val="en-US" w:eastAsia="zh-CN"/>
              </w:rPr>
            </m:ctrlPr>
          </m:e>
          <m:sub>
            <m:r>
              <m:rPr>
                <m:nor/>
                <m:sty m:val="p"/>
              </m:rPr>
              <w:rPr>
                <w:rFonts w:hint="default" w:ascii="Times New Roman" w:hAnsi="Times New Roman" w:cs="Times New Roman"/>
                <w:b w:val="0"/>
                <w:i w:val="0"/>
                <w:lang w:val="en-US" w:eastAsia="zh-CN"/>
              </w:rPr>
              <m:t>C</m:t>
            </m:r>
            <m:ctrlPr>
              <w:rPr>
                <w:rFonts w:hint="default" w:ascii="Cambria Math" w:hAnsi="Cambria Math" w:cs="Times New Roman"/>
                <w:i w:val="0"/>
                <w:iCs/>
                <w:lang w:val="en-US" w:eastAsia="zh-CN"/>
              </w:rPr>
            </m:ctrlPr>
          </m:sub>
        </m:sSub>
        <m:r>
          <m:rPr>
            <m:nor/>
            <m:sty m:val="p"/>
          </m:rPr>
          <w:rPr>
            <w:rFonts w:hint="default" w:ascii="Times New Roman" w:hAnsi="Times New Roman" w:cs="Times New Roman"/>
            <w:b w:val="0"/>
            <w:i w:val="0"/>
            <w:lang w:val="en-US" w:eastAsia="zh-CN"/>
          </w:rPr>
          <m:t>×BD×D×A</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0.01</m:t>
        </m:r>
      </m:oMath>
      <w:r>
        <w:rPr>
          <w:rFonts w:hint="default" w:ascii="Times New Roman" w:hAnsi="Times New Roman" w:eastAsia="微软雅黑" w:cs="Times New Roman"/>
          <w:i w:val="0"/>
          <w:iCs/>
          <w:lang w:val="en-US" w:eastAsia="zh-CN"/>
        </w:rPr>
        <w:tab/>
      </w:r>
      <w:r>
        <w:rPr>
          <w:rFonts w:hint="default" w:ascii="Times New Roman" w:hAnsi="Times New Roman" w:cs="Times New Roman"/>
          <w:i w:val="0"/>
          <w:iCs/>
          <w:lang w:val="en-US" w:eastAsia="zh-CN"/>
        </w:rPr>
        <w:t>(</w:t>
      </w:r>
      <w:r>
        <w:rPr>
          <w:rFonts w:hint="default" w:ascii="Times New Roman" w:hAnsi="Times New Roman" w:cs="Times New Roman"/>
          <w:i w:val="0"/>
          <w:iCs/>
          <w:lang w:val="en-US" w:eastAsia="zh-CN"/>
        </w:rPr>
        <w:fldChar w:fldCharType="begin"/>
      </w:r>
      <w:r>
        <w:rPr>
          <w:rFonts w:hint="default" w:ascii="Times New Roman" w:hAnsi="Times New Roman" w:cs="Times New Roman"/>
          <w:i w:val="0"/>
          <w:iCs/>
          <w:lang w:val="en-US" w:eastAsia="zh-CN"/>
        </w:rPr>
        <w:instrText xml:space="preserve"> SEQ 公式 \* ARABIC </w:instrText>
      </w:r>
      <w:r>
        <w:rPr>
          <w:rFonts w:hint="default" w:ascii="Times New Roman" w:hAnsi="Times New Roman" w:cs="Times New Roman"/>
          <w:i w:val="0"/>
          <w:iCs/>
          <w:lang w:val="en-US" w:eastAsia="zh-CN"/>
        </w:rPr>
        <w:fldChar w:fldCharType="separate"/>
      </w:r>
      <w:r>
        <w:rPr>
          <w:rFonts w:hint="default" w:ascii="Times New Roman" w:hAnsi="Times New Roman" w:cs="Times New Roman"/>
          <w:i w:val="0"/>
          <w:iCs/>
          <w:lang w:val="en-US" w:eastAsia="zh-CN"/>
        </w:rPr>
        <w:t>22</w:t>
      </w:r>
      <w:r>
        <w:rPr>
          <w:rFonts w:hint="default" w:ascii="Times New Roman" w:hAnsi="Times New Roman" w:cs="Times New Roman"/>
          <w:i w:val="0"/>
          <w:iCs/>
          <w:lang w:val="en-US" w:eastAsia="zh-CN"/>
        </w:rPr>
        <w:fldChar w:fldCharType="end"/>
      </w:r>
      <w:r>
        <w:rPr>
          <w:rFonts w:hint="default" w:ascii="Times New Roman" w:hAnsi="Times New Roman" w:cs="Times New Roman"/>
          <w:i w:val="0"/>
          <w:iCs/>
          <w:lang w:val="en-US" w:eastAsia="zh-CN"/>
        </w:rPr>
        <w:t>)</w:t>
      </w:r>
    </w:p>
    <w:p w14:paraId="05E6C018">
      <w:pPr>
        <w:pStyle w:val="63"/>
        <w:rPr>
          <w:rFonts w:hint="default" w:ascii="Times New Roman" w:hAnsi="Times New Roman" w:cs="Times New Roman"/>
          <w:lang w:val="en-US" w:eastAsia="zh-CN"/>
        </w:rPr>
      </w:pPr>
      <w:r>
        <w:rPr>
          <w:rFonts w:hint="default" w:ascii="Times New Roman" w:hAnsi="Times New Roman" w:cs="Times New Roman"/>
          <w:lang w:val="en-US" w:eastAsia="zh-CN"/>
        </w:rPr>
        <w:t>式中：</w:t>
      </w:r>
    </w:p>
    <w:p w14:paraId="34DD2D0F">
      <w:pPr>
        <w:pStyle w:val="39"/>
        <w:bidi w:val="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——土壤有机碳</w:t>
      </w:r>
      <w:r>
        <w:rPr>
          <w:rFonts w:hint="default" w:ascii="Times New Roman" w:hAnsi="Times New Roman" w:cs="Times New Roman"/>
          <w:b w:val="0"/>
          <w:i w:val="0"/>
          <w:sz w:val="21"/>
          <w:szCs w:val="21"/>
          <w:lang w:eastAsia="zh-CN"/>
        </w:rPr>
        <w:t>储量</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kg C）</w:t>
      </w:r>
      <w:r>
        <w:rPr>
          <w:rFonts w:hint="default" w:ascii="Times New Roman" w:hAnsi="Times New Roman" w:cs="Times New Roman"/>
          <w:b w:val="0"/>
          <w:i w:val="0"/>
          <w:iCs/>
          <w:sz w:val="21"/>
          <w:szCs w:val="21"/>
          <w:lang w:eastAsia="zh-CN"/>
        </w:rPr>
        <w:t>；</w:t>
      </w:r>
    </w:p>
    <w:p w14:paraId="7C46CDAB">
      <w:pPr>
        <w:pStyle w:val="39"/>
        <w:bidi w:val="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C</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——土壤有机碳储</w:t>
      </w:r>
      <w:r>
        <w:rPr>
          <w:rFonts w:hint="default" w:ascii="Times New Roman" w:hAnsi="Times New Roman" w:cs="Times New Roman"/>
          <w:b w:val="0"/>
          <w:i w:val="0"/>
          <w:iCs/>
          <w:sz w:val="21"/>
          <w:szCs w:val="21"/>
          <w:lang w:val="en-US" w:eastAsia="zh-CN"/>
        </w:rPr>
        <w:t>含量</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g/kg）</w:t>
      </w:r>
      <w:r>
        <w:rPr>
          <w:rFonts w:hint="default" w:ascii="Times New Roman" w:hAnsi="Times New Roman" w:cs="Times New Roman"/>
          <w:b w:val="0"/>
          <w:i w:val="0"/>
          <w:iCs/>
          <w:sz w:val="21"/>
          <w:szCs w:val="21"/>
          <w:lang w:eastAsia="zh-CN"/>
        </w:rPr>
        <w:t>；</w:t>
      </w:r>
    </w:p>
    <w:p w14:paraId="64505907">
      <w:pPr>
        <w:pStyle w:val="39"/>
        <w:bidi w:val="0"/>
        <w:rPr>
          <w:rFonts w:hint="default" w:ascii="Times New Roman" w:hAnsi="Times New Roman" w:eastAsia="宋体" w:cs="Times New Roman"/>
          <w:b w:val="0"/>
          <w:i w:val="0"/>
          <w:iCs/>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BD</m:t>
        </m:r>
      </m:oMath>
      <w:r>
        <w:rPr>
          <w:rFonts w:hint="default" w:ascii="Times New Roman" w:hAnsi="Times New Roman" w:cs="Times New Roman"/>
          <w:b w:val="0"/>
          <w:i w:val="0"/>
          <w:iCs/>
          <w:sz w:val="21"/>
          <w:szCs w:val="21"/>
          <w:lang w:eastAsia="zh-CN"/>
        </w:rPr>
        <w:t>——土壤</w:t>
      </w:r>
      <w:r>
        <w:rPr>
          <w:rFonts w:hint="default" w:ascii="Times New Roman" w:hAnsi="Times New Roman" w:cs="Times New Roman"/>
          <w:b w:val="0"/>
          <w:i w:val="0"/>
          <w:iCs/>
          <w:sz w:val="21"/>
          <w:szCs w:val="21"/>
          <w:lang w:val="en-US" w:eastAsia="zh-CN"/>
        </w:rPr>
        <w:t>容重</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g/cm³）</w:t>
      </w:r>
      <w:r>
        <w:rPr>
          <w:rFonts w:hint="default" w:ascii="Times New Roman" w:hAnsi="Times New Roman" w:cs="Times New Roman"/>
          <w:b w:val="0"/>
          <w:i w:val="0"/>
          <w:iCs/>
          <w:sz w:val="21"/>
          <w:szCs w:val="21"/>
          <w:lang w:eastAsia="zh-CN"/>
        </w:rPr>
        <w:t>；</w:t>
      </w:r>
    </w:p>
    <w:p w14:paraId="46A769EA">
      <w:pPr>
        <w:pStyle w:val="39"/>
        <w:bidi w:val="0"/>
        <w:rPr>
          <w:rFonts w:hint="default" w:ascii="Times New Roman" w:hAnsi="Times New Roman" w:cs="Times New Roman"/>
          <w:b w:val="0"/>
          <w:i w:val="0"/>
          <w:iCs/>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D</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计算</w:t>
      </w:r>
      <w:r>
        <w:rPr>
          <w:rFonts w:hint="default" w:ascii="Times New Roman" w:hAnsi="Times New Roman" w:cs="Times New Roman"/>
          <w:b w:val="0"/>
          <w:i w:val="0"/>
          <w:sz w:val="21"/>
          <w:szCs w:val="21"/>
          <w:lang w:val="en-US" w:eastAsia="zh-CN"/>
        </w:rPr>
        <w:t>土层</w:t>
      </w:r>
      <w:r>
        <w:rPr>
          <w:rFonts w:hint="default" w:ascii="Times New Roman" w:hAnsi="Times New Roman" w:cs="Times New Roman"/>
          <w:b w:val="0"/>
          <w:i w:val="0"/>
          <w:iCs/>
          <w:sz w:val="21"/>
          <w:szCs w:val="21"/>
          <w:lang w:val="en-US" w:eastAsia="zh-CN"/>
        </w:rPr>
        <w:t>深度</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cm），取0cm～20cm或0cm～30cm</w:t>
      </w:r>
      <w:r>
        <w:rPr>
          <w:rFonts w:hint="default" w:ascii="Times New Roman" w:hAnsi="Times New Roman" w:cs="Times New Roman"/>
          <w:b w:val="0"/>
          <w:i w:val="0"/>
          <w:iCs/>
          <w:sz w:val="21"/>
          <w:szCs w:val="21"/>
          <w:lang w:eastAsia="zh-CN"/>
        </w:rPr>
        <w:t>；</w:t>
      </w:r>
    </w:p>
    <w:p w14:paraId="1E60A9CB">
      <w:pPr>
        <w:pStyle w:val="39"/>
        <w:bidi w:val="0"/>
        <w:rPr>
          <w:rFonts w:hint="default" w:ascii="Times New Roman" w:hAnsi="Times New Roman" w:cs="Times New Roman"/>
          <w:b w:val="0"/>
          <w:i w:val="0"/>
          <w:iCs/>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A</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种植面积</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m²）</w:t>
      </w:r>
      <w:r>
        <w:rPr>
          <w:rFonts w:hint="default" w:ascii="Times New Roman" w:hAnsi="Times New Roman" w:cs="Times New Roman"/>
          <w:b w:val="0"/>
          <w:i w:val="0"/>
          <w:iCs/>
          <w:sz w:val="21"/>
          <w:szCs w:val="21"/>
          <w:lang w:eastAsia="zh-CN"/>
        </w:rPr>
        <w:t>；</w:t>
      </w:r>
    </w:p>
    <w:p w14:paraId="5C5EC0D1">
      <w:pPr>
        <w:pStyle w:val="39"/>
        <w:bidi w:val="0"/>
        <w:rPr>
          <w:rFonts w:hint="default" w:ascii="Times New Roman" w:hAnsi="Times New Roman" w:cs="Times New Roman"/>
          <w:b w:val="0"/>
          <w:i w:val="0"/>
          <w:iCs/>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0.01</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单位</w:t>
      </w:r>
      <w:r>
        <w:rPr>
          <w:rFonts w:hint="default" w:ascii="Times New Roman" w:hAnsi="Times New Roman" w:cs="Times New Roman"/>
          <w:b w:val="0"/>
          <w:i w:val="0"/>
          <w:sz w:val="21"/>
          <w:szCs w:val="21"/>
          <w:lang w:val="en-US" w:eastAsia="zh-CN"/>
        </w:rPr>
        <w:t>换算</w:t>
      </w:r>
      <w:r>
        <w:rPr>
          <w:rFonts w:hint="default" w:ascii="Times New Roman" w:hAnsi="Times New Roman" w:cs="Times New Roman"/>
          <w:b w:val="0"/>
          <w:i w:val="0"/>
          <w:iCs/>
          <w:sz w:val="21"/>
          <w:szCs w:val="21"/>
          <w:lang w:val="en-US" w:eastAsia="zh-CN"/>
        </w:rPr>
        <w:t>系数。</w:t>
      </w:r>
    </w:p>
    <w:p w14:paraId="264BD457">
      <w:pPr>
        <w:pStyle w:val="38"/>
        <w:bidi w:val="0"/>
      </w:pPr>
      <w:bookmarkStart w:id="76" w:name="_Toc27139"/>
      <w:r>
        <w:rPr>
          <w:rFonts w:hint="eastAsia"/>
          <w:lang w:val="en-US" w:eastAsia="zh-CN"/>
        </w:rPr>
        <w:t>包装</w:t>
      </w:r>
      <w:r>
        <w:t>阶段</w:t>
      </w:r>
      <w:bookmarkEnd w:id="76"/>
      <w:r>
        <w:rPr>
          <w:rFonts w:hint="eastAsia"/>
          <w:lang w:val="en-US" w:eastAsia="zh-CN"/>
        </w:rPr>
        <w:t xml:space="preserve"> GHG 排放量</w:t>
      </w:r>
    </w:p>
    <w:p w14:paraId="3D483800">
      <w:pPr>
        <w:pStyle w:val="39"/>
        <w:bidi w:val="0"/>
        <w:rPr>
          <w:rFonts w:hint="default" w:ascii="Times New Roman" w:hAnsi="Times New Roman"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包装阶段</w:t>
      </w:r>
      <w:r>
        <w:rPr>
          <w:rFonts w:hint="eastAsia" w:ascii="Times New Roman" w:hAnsi="Times New Roman" w:cs="Times New Roman"/>
          <w:b w:val="0"/>
          <w:i w:val="0"/>
          <w:kern w:val="2"/>
          <w:sz w:val="21"/>
          <w:szCs w:val="21"/>
          <w:lang w:val="en-US" w:eastAsia="zh-CN" w:bidi="ar-SA"/>
        </w:rPr>
        <w:t xml:space="preserve"> GHG </w:t>
      </w:r>
      <w:r>
        <w:rPr>
          <w:rFonts w:hint="default" w:ascii="Times New Roman" w:hAnsi="Times New Roman" w:eastAsia="宋体" w:cs="Times New Roman"/>
          <w:b w:val="0"/>
          <w:i w:val="0"/>
          <w:kern w:val="2"/>
          <w:sz w:val="21"/>
          <w:szCs w:val="21"/>
          <w:lang w:val="en-US" w:eastAsia="zh-CN" w:bidi="ar-SA"/>
        </w:rPr>
        <w:t>排放</w:t>
      </w:r>
      <w:r>
        <w:rPr>
          <w:rFonts w:hint="eastAsia" w:ascii="Times New Roman" w:hAnsi="Times New Roman" w:cs="Times New Roman"/>
          <w:b w:val="0"/>
          <w:i w:val="0"/>
          <w:kern w:val="2"/>
          <w:sz w:val="21"/>
          <w:szCs w:val="21"/>
          <w:lang w:val="en-US" w:eastAsia="zh-CN" w:bidi="ar-SA"/>
        </w:rPr>
        <w:t>主要为</w:t>
      </w:r>
      <w:r>
        <w:rPr>
          <w:rFonts w:hint="default" w:ascii="Times New Roman" w:hAnsi="Times New Roman" w:eastAsia="宋体" w:cs="Times New Roman"/>
          <w:b w:val="0"/>
          <w:i w:val="0"/>
          <w:kern w:val="2"/>
          <w:sz w:val="21"/>
          <w:szCs w:val="21"/>
          <w:lang w:val="en-US" w:eastAsia="zh-CN" w:bidi="ar-SA"/>
        </w:rPr>
        <w:t>包装作业耗能</w:t>
      </w:r>
      <w:r>
        <w:rPr>
          <w:rFonts w:hint="default" w:ascii="Times New Roman" w:hAnsi="Times New Roman" w:cs="Times New Roman"/>
          <w:b w:val="0"/>
          <w:i w:val="0"/>
          <w:kern w:val="2"/>
          <w:sz w:val="21"/>
          <w:szCs w:val="21"/>
          <w:lang w:val="en-US" w:eastAsia="zh-CN" w:bidi="ar-SA"/>
        </w:rPr>
        <w:t>。包装作业分为人工包装或机器包装，人工包装不产生温室气体排放，机器包装根据</w:t>
      </w:r>
      <w:r>
        <w:rPr>
          <w:rFonts w:hint="default" w:ascii="Times New Roman" w:hAnsi="Times New Roman" w:cs="Times New Roman"/>
          <w:b w:val="0"/>
          <w:i w:val="0"/>
          <w:iCs/>
          <w:sz w:val="21"/>
          <w:szCs w:val="21"/>
          <w:lang w:val="en-US" w:eastAsia="zh-CN"/>
        </w:rPr>
        <w:t>耗能</w:t>
      </w:r>
      <w:r>
        <w:rPr>
          <w:rFonts w:hint="default" w:ascii="Times New Roman" w:hAnsi="Times New Roman" w:cs="Times New Roman"/>
          <w:b w:val="0"/>
          <w:i w:val="0"/>
          <w:kern w:val="2"/>
          <w:sz w:val="21"/>
          <w:szCs w:val="21"/>
          <w:lang w:val="en-US" w:eastAsia="zh-CN" w:bidi="ar-SA"/>
        </w:rPr>
        <w:t>计算温室气体排放量。计算公式如下：</w:t>
      </w:r>
    </w:p>
    <w:p w14:paraId="5D798CD5">
      <w:pPr>
        <w:pStyle w:val="116"/>
        <w:bidi w:val="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ab/>
      </w:r>
      <m:oMath>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CE</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machinery,package</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nor/>
                <m:sty m:val="p"/>
              </m:rPr>
              <w:rPr>
                <w:rFonts w:hint="default" w:ascii="Times New Roman" w:hAnsi="Times New Roman" w:cs="Times New Roman"/>
                <w:b w:val="0"/>
                <w:i w:val="0"/>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E</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eastAsia="宋体" w:cs="Times New Roman"/>
                    <w:b w:val="0"/>
                    <w:i w:val="0"/>
                    <w:sz w:val="21"/>
                    <w:szCs w:val="21"/>
                  </w:rPr>
                  <m:t>electricity</m:t>
                </m:r>
                <m:r>
                  <m:rPr>
                    <m:nor/>
                    <m:sty m:val="p"/>
                  </m:rPr>
                  <w:rPr>
                    <w:rFonts w:hint="default" w:ascii="Times New Roman" w:hAnsi="Times New Roman" w:cs="Times New Roman"/>
                    <w:b w:val="0"/>
                    <w:i w:val="0"/>
                    <w:sz w:val="21"/>
                    <w:szCs w:val="21"/>
                    <w:lang w:val="en-US" w:eastAsia="zh-CN"/>
                  </w:rPr>
                  <m:t>,package</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sSub>
              <m:sSubPr>
                <m:ctrlPr>
                  <w:rPr>
                    <w:rFonts w:hint="default" w:ascii="Cambria Math" w:hAnsi="Cambria Math" w:cs="Times New Roman"/>
                    <w:i w:val="0"/>
                    <w:iCs w:val="0"/>
                    <w:kern w:val="2"/>
                    <w:sz w:val="21"/>
                    <w:szCs w:val="21"/>
                    <w:lang w:val="en-US" w:bidi="ar-SA"/>
                  </w:rPr>
                </m:ctrlPr>
              </m:sSubPr>
              <m:e>
                <m:r>
                  <m:rPr>
                    <m:nor/>
                    <m:sty m:val="p"/>
                  </m:rPr>
                  <w:rPr>
                    <w:rFonts w:hint="default" w:ascii="Times New Roman" w:hAnsi="Times New Roman" w:cs="Times New Roman"/>
                    <w:b w:val="0"/>
                    <w:i w:val="0"/>
                    <w:kern w:val="2"/>
                    <w:sz w:val="21"/>
                    <w:szCs w:val="21"/>
                    <w:lang w:val="en-US" w:eastAsia="zh-CN" w:bidi="ar-SA"/>
                  </w:rPr>
                  <m:t>EF</m:t>
                </m:r>
                <m:ctrlPr>
                  <w:rPr>
                    <w:rFonts w:hint="default" w:ascii="Cambria Math" w:hAnsi="Cambria Math" w:cs="Times New Roman"/>
                    <w:i w:val="0"/>
                    <w:iCs w:val="0"/>
                    <w:kern w:val="2"/>
                    <w:sz w:val="21"/>
                    <w:szCs w:val="21"/>
                    <w:lang w:val="en-US" w:bidi="ar-SA"/>
                  </w:rPr>
                </m:ctrlPr>
              </m:e>
              <m:sub>
                <m:r>
                  <m:rPr>
                    <m:nor/>
                    <m:sty m:val="p"/>
                  </m:rPr>
                  <w:rPr>
                    <w:rFonts w:hint="default" w:ascii="Times New Roman" w:hAnsi="Times New Roman" w:eastAsia="宋体" w:cs="Times New Roman"/>
                    <w:b w:val="0"/>
                    <w:i w:val="0"/>
                    <w:sz w:val="21"/>
                    <w:szCs w:val="21"/>
                  </w:rPr>
                  <m:t>electricity</m:t>
                </m:r>
                <m:ctrlPr>
                  <w:rPr>
                    <w:rFonts w:hint="default" w:ascii="Cambria Math" w:hAnsi="Cambria Math" w:cs="Times New Roman"/>
                    <w:i w:val="0"/>
                    <w:iCs w:val="0"/>
                    <w:kern w:val="2"/>
                    <w:sz w:val="21"/>
                    <w:szCs w:val="21"/>
                    <w:lang w:val="en-US"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nor/>
                    <m:sty m:val="p"/>
                  </m:rPr>
                  <w:rPr>
                    <w:rFonts w:hint="default" w:ascii="Times New Roman" w:hAnsi="Times New Roman" w:cs="Times New Roman"/>
                    <w:b w:val="0"/>
                    <w:i w:val="0"/>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F</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fuel,package</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sSub>
                  <m:sSubPr>
                    <m:ctrlPr>
                      <w:rPr>
                        <w:rFonts w:hint="default" w:ascii="Cambria Math" w:hAnsi="Cambria Math" w:cs="Times New Roman"/>
                        <w:i w:val="0"/>
                        <w:iCs w:val="0"/>
                        <w:kern w:val="2"/>
                        <w:sz w:val="21"/>
                        <w:szCs w:val="21"/>
                        <w:lang w:val="en-US" w:bidi="ar-SA"/>
                      </w:rPr>
                    </m:ctrlPr>
                  </m:sSubPr>
                  <m:e>
                    <m:r>
                      <m:rPr>
                        <m:nor/>
                        <m:sty m:val="p"/>
                      </m:rPr>
                      <w:rPr>
                        <w:rFonts w:hint="default" w:ascii="Times New Roman" w:hAnsi="Times New Roman" w:cs="Times New Roman"/>
                        <w:b w:val="0"/>
                        <w:i w:val="0"/>
                        <w:kern w:val="2"/>
                        <w:sz w:val="21"/>
                        <w:szCs w:val="21"/>
                        <w:lang w:val="en-US" w:eastAsia="zh-CN" w:bidi="ar-SA"/>
                      </w:rPr>
                      <m:t>EF</m:t>
                    </m:r>
                    <m:ctrlPr>
                      <w:rPr>
                        <w:rFonts w:hint="default" w:ascii="Cambria Math" w:hAnsi="Cambria Math" w:cs="Times New Roman"/>
                        <w:i w:val="0"/>
                        <w:iCs w:val="0"/>
                        <w:kern w:val="2"/>
                        <w:sz w:val="21"/>
                        <w:szCs w:val="21"/>
                        <w:lang w:val="en-US" w:bidi="ar-SA"/>
                      </w:rPr>
                    </m:ctrlPr>
                  </m:e>
                  <m:sub>
                    <m:r>
                      <m:rPr>
                        <m:nor/>
                        <m:sty m:val="p"/>
                      </m:rPr>
                      <w:rPr>
                        <w:rFonts w:hint="default" w:ascii="Times New Roman" w:hAnsi="Times New Roman" w:cs="Times New Roman"/>
                        <w:b w:val="0"/>
                        <w:i w:val="0"/>
                        <w:kern w:val="2"/>
                        <w:sz w:val="21"/>
                        <w:szCs w:val="21"/>
                        <w:lang w:val="en-US" w:eastAsia="zh-CN" w:bidi="ar-SA"/>
                      </w:rPr>
                      <m:t>fuel</m:t>
                    </m:r>
                    <m:ctrlPr>
                      <w:rPr>
                        <w:rFonts w:hint="default" w:ascii="Cambria Math" w:hAnsi="Cambria Math" w:cs="Times New Roman"/>
                        <w:i w:val="0"/>
                        <w:iCs w:val="0"/>
                        <w:kern w:val="2"/>
                        <w:sz w:val="21"/>
                        <w:szCs w:val="21"/>
                        <w:lang w:val="en-US" w:bidi="ar-SA"/>
                      </w:rPr>
                    </m:ctrlPr>
                  </m:sub>
                </m:sSub>
                <m:r>
                  <m:rPr>
                    <m:nor/>
                    <m:sty m:val="p"/>
                  </m:rPr>
                  <w:rPr>
                    <w:rFonts w:hint="default" w:ascii="Times New Roman" w:hAnsi="Times New Roman" w:cs="Times New Roman"/>
                    <w:b w:val="0"/>
                    <w:i w:val="0"/>
                    <w:kern w:val="2"/>
                    <w:sz w:val="21"/>
                    <w:szCs w:val="21"/>
                    <w:lang w:val="en-US" w:eastAsia="zh-CN" w:bidi="ar-SA"/>
                  </w:rPr>
                  <m:t>)</m:t>
                </m:r>
                <m:ctrlPr>
                  <w:rPr>
                    <w:rFonts w:hint="default" w:ascii="Cambria Math" w:hAnsi="Cambria Math" w:cs="Times New Roman"/>
                    <w:i w:val="0"/>
                    <w:iCs w:val="0"/>
                    <w:kern w:val="2"/>
                    <w:sz w:val="21"/>
                    <w:szCs w:val="21"/>
                    <w:lang w:val="en-US" w:eastAsia="zh-CN" w:bidi="ar-SA"/>
                  </w:rPr>
                </m:ctrlPr>
              </m:e>
            </m:nary>
            <m:ctrlPr>
              <w:rPr>
                <w:rFonts w:hint="default" w:ascii="Cambria Math" w:hAnsi="Cambria Math" w:cs="Times New Roman"/>
                <w:i w:val="0"/>
                <w:iCs w:val="0"/>
                <w:kern w:val="2"/>
                <w:sz w:val="21"/>
                <w:szCs w:val="21"/>
                <w:lang w:val="en-US" w:eastAsia="zh-CN" w:bidi="ar-SA"/>
              </w:rPr>
            </m:ctrlPr>
          </m:e>
        </m:nary>
      </m:oMath>
      <w:r>
        <w:rPr>
          <w:rFonts w:hint="default" w:ascii="Times New Roman" w:hAnsi="Times New Roman" w:eastAsia="微软雅黑" w:cs="Times New Roman"/>
          <w:sz w:val="21"/>
          <w:szCs w:val="21"/>
          <w:lang w:val="en-US" w:eastAsia="zh-CN"/>
        </w:rPr>
        <w:tab/>
      </w:r>
      <w:r>
        <w:rPr>
          <w:rFonts w:hint="default"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fldChar w:fldCharType="begin"/>
      </w:r>
      <w:r>
        <w:rPr>
          <w:rFonts w:hint="default" w:ascii="Times New Roman" w:hAnsi="Times New Roman" w:cs="Times New Roman"/>
          <w:sz w:val="21"/>
          <w:szCs w:val="21"/>
          <w:lang w:val="en-US" w:eastAsia="zh-CN"/>
        </w:rPr>
        <w:instrText xml:space="preserve"> SEQ 公式 \* ARABIC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1"/>
          <w:lang w:val="en-US" w:eastAsia="zh-CN"/>
        </w:rPr>
        <w:t>23</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w:t>
      </w:r>
    </w:p>
    <w:p w14:paraId="1EB93243">
      <w:pPr>
        <w:pStyle w:val="63"/>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式中：</w:t>
      </w:r>
    </w:p>
    <w:p w14:paraId="49433DB0">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electricity,package</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包装作业耗电量（kWh）</w:t>
      </w:r>
      <w:r>
        <w:rPr>
          <w:rFonts w:hint="default" w:ascii="Times New Roman" w:hAnsi="Times New Roman" w:cs="Times New Roman"/>
          <w:b w:val="0"/>
          <w:i w:val="0"/>
          <w:iCs/>
          <w:sz w:val="21"/>
          <w:szCs w:val="21"/>
          <w:lang w:eastAsia="zh-CN"/>
        </w:rPr>
        <w:t>；</w:t>
      </w:r>
    </w:p>
    <w:p w14:paraId="38953848">
      <w:pPr>
        <w:pStyle w:val="39"/>
        <w:bidi w:val="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kern w:val="2"/>
          <w:sz w:val="21"/>
          <w:szCs w:val="21"/>
          <w:lang w:val="en-US" w:eastAsia="zh-CN" w:bidi="ar-SA"/>
        </w:rPr>
        <w:t>区域电网排放因子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CO₂e/kW·h</w:t>
      </w:r>
      <w:r>
        <w:rPr>
          <w:rFonts w:hint="default" w:ascii="Times New Roman" w:hAnsi="Times New Roman" w:cs="Times New Roman"/>
          <w:b w:val="0"/>
          <w:i w:val="0"/>
          <w:iCs/>
          <w:kern w:val="2"/>
          <w:sz w:val="21"/>
          <w:szCs w:val="21"/>
          <w:lang w:val="en-US" w:eastAsia="zh-CN" w:bidi="ar-SA"/>
        </w:rPr>
        <w:t>），广东省取值为</w:t>
      </w:r>
      <w:r>
        <w:rPr>
          <w:rFonts w:hint="default" w:ascii="Times New Roman" w:hAnsi="Times New Roman" w:eastAsia="宋体" w:cs="Times New Roman"/>
          <w:b w:val="0"/>
          <w:i w:val="0"/>
          <w:iCs/>
          <w:kern w:val="2"/>
          <w:sz w:val="21"/>
          <w:szCs w:val="21"/>
          <w:lang w:val="en-US" w:eastAsia="zh-CN" w:bidi="ar-SA"/>
        </w:rPr>
        <w:t>0.4403</w:t>
      </w:r>
      <w:r>
        <w:rPr>
          <w:rFonts w:hint="default" w:ascii="Times New Roman" w:hAnsi="Times New Roman" w:cs="Times New Roman"/>
          <w:b w:val="0"/>
          <w:i w:val="0"/>
          <w:iCs/>
          <w:sz w:val="21"/>
          <w:szCs w:val="21"/>
          <w:lang w:eastAsia="zh-CN"/>
        </w:rPr>
        <w:t>；</w:t>
      </w:r>
    </w:p>
    <w:p w14:paraId="4A40EB68">
      <w:pPr>
        <w:pStyle w:val="39"/>
        <w:bidi w:val="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fuel,package</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包装作业化石燃料消耗量（kg或m³）</w:t>
      </w:r>
      <w:r>
        <w:rPr>
          <w:rFonts w:hint="default" w:ascii="Times New Roman" w:hAnsi="Times New Roman" w:cs="Times New Roman"/>
          <w:b w:val="0"/>
          <w:i w:val="0"/>
          <w:iCs/>
          <w:sz w:val="21"/>
          <w:szCs w:val="21"/>
          <w:lang w:eastAsia="zh-CN"/>
        </w:rPr>
        <w:t>；</w:t>
      </w:r>
    </w:p>
    <w:p w14:paraId="74EBABBF">
      <w:pPr>
        <w:pStyle w:val="39"/>
        <w:bidi w:val="0"/>
        <w:rPr>
          <w:rFonts w:hint="default" w:ascii="Times New Roman" w:hAnsi="Times New Roman" w:cs="Times New Roman"/>
          <w:b w:val="0"/>
          <w:i w:val="0"/>
          <w:iCs/>
          <w:kern w:val="2"/>
          <w:sz w:val="21"/>
          <w:szCs w:val="21"/>
          <w:lang w:val="en-US" w:eastAsia="zh-CN" w:bidi="ar-SA"/>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化石燃料排放</w:t>
      </w:r>
      <w:r>
        <w:rPr>
          <w:rFonts w:hint="default" w:ascii="Times New Roman" w:hAnsi="Times New Roman" w:eastAsia="宋体" w:cs="Times New Roman"/>
          <w:b w:val="0"/>
          <w:i w:val="0"/>
          <w:iCs/>
          <w:kern w:val="2"/>
          <w:sz w:val="21"/>
          <w:szCs w:val="21"/>
          <w:lang w:val="en-US" w:eastAsia="zh-CN" w:bidi="ar-SA"/>
        </w:rPr>
        <w:t>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w:t>
      </w:r>
      <w:r>
        <w:rPr>
          <w:rFonts w:hint="default" w:ascii="Times New Roman" w:hAnsi="Times New Roman" w:cs="Times New Roman"/>
          <w:b w:val="0"/>
          <w:i w:val="0"/>
          <w:iCs/>
          <w:kern w:val="2"/>
          <w:sz w:val="21"/>
          <w:szCs w:val="21"/>
          <w:lang w:val="en-US" w:eastAsia="zh-CN" w:bidi="ar-SA"/>
        </w:rPr>
        <w:t>kg或m³），</w:t>
      </w:r>
      <w:r>
        <w:rPr>
          <w:rFonts w:hint="default" w:ascii="Times New Roman" w:hAnsi="Times New Roman" w:eastAsia="宋体" w:cs="Times New Roman"/>
          <w:b w:val="0"/>
          <w:i w:val="0"/>
          <w:iCs/>
          <w:kern w:val="2"/>
          <w:sz w:val="21"/>
          <w:szCs w:val="21"/>
          <w:lang w:val="en-US" w:eastAsia="zh-CN" w:bidi="ar-SA"/>
        </w:rPr>
        <w:t>见附录 B</w:t>
      </w:r>
      <w:r>
        <w:rPr>
          <w:rFonts w:hint="default" w:ascii="Times New Roman" w:hAnsi="Times New Roman" w:cs="Times New Roman"/>
          <w:b w:val="0"/>
          <w:i w:val="0"/>
          <w:iCs/>
          <w:kern w:val="2"/>
          <w:sz w:val="21"/>
          <w:szCs w:val="21"/>
          <w:lang w:val="en-US" w:eastAsia="zh-CN" w:bidi="ar-SA"/>
        </w:rPr>
        <w:t>。</w:t>
      </w:r>
    </w:p>
    <w:p w14:paraId="24349F78">
      <w:pPr>
        <w:pStyle w:val="108"/>
        <w:bidi w:val="0"/>
        <w:rPr>
          <w:rFonts w:hint="eastAsia"/>
          <w:lang w:val="en-US" w:eastAsia="zh-CN"/>
        </w:rPr>
      </w:pPr>
      <w:r>
        <w:rPr>
          <w:rFonts w:hint="eastAsia"/>
          <w:lang w:val="en-US" w:eastAsia="zh-CN"/>
        </w:rPr>
        <w:t>结果汇总与不确定性分析</w:t>
      </w:r>
    </w:p>
    <w:p w14:paraId="61ED5638">
      <w:pPr>
        <w:pStyle w:val="39"/>
        <w:rPr>
          <w:rFonts w:hint="eastAsia"/>
          <w:lang w:val="en-US" w:eastAsia="zh-CN"/>
        </w:rPr>
      </w:pPr>
      <w:r>
        <w:rPr>
          <w:rFonts w:hint="eastAsia"/>
          <w:lang w:val="en-US" w:eastAsia="zh-CN"/>
        </w:rPr>
        <w:t>按公式（1）汇总得到功能单位碳足迹后，宜同时列出鲜果与芽苗的分配结果，以及各阶段排放贡献占比。</w:t>
      </w:r>
    </w:p>
    <w:p w14:paraId="7940D77B">
      <w:pPr>
        <w:pStyle w:val="39"/>
        <w:rPr>
          <w:rFonts w:hint="eastAsia"/>
          <w:lang w:val="en-US" w:eastAsia="zh-CN"/>
        </w:rPr>
      </w:pPr>
      <w:r>
        <w:rPr>
          <w:rFonts w:hint="eastAsia"/>
          <w:lang w:val="en-US" w:eastAsia="zh-CN"/>
        </w:rPr>
        <w:t>宜对活动数据与排放因子开展不确定性分析，并对肥料施用量、植株还田量与还田比例、芽苗分配产值、包装材料用量、运输距离等关键参数开展敏感性分析（推荐采用±10%扰动），识别对结果影响显著的参数，在核算报告中说明结果的稳定程度。</w:t>
      </w:r>
    </w:p>
    <w:p w14:paraId="15D2CF6C">
      <w:pPr>
        <w:pStyle w:val="107"/>
        <w:bidi w:val="0"/>
        <w:rPr>
          <w:lang w:val="en-US" w:eastAsia="zh-CN"/>
        </w:rPr>
      </w:pPr>
      <w:bookmarkStart w:id="77" w:name="_Toc7462"/>
      <w:bookmarkStart w:id="78" w:name="_Toc16100"/>
      <w:bookmarkStart w:id="79" w:name="_Toc13487"/>
      <w:r>
        <w:rPr>
          <w:lang w:val="en-US" w:eastAsia="zh-CN"/>
        </w:rPr>
        <w:t>核算报告</w:t>
      </w:r>
      <w:bookmarkEnd w:id="77"/>
      <w:bookmarkEnd w:id="78"/>
      <w:bookmarkEnd w:id="79"/>
    </w:p>
    <w:p w14:paraId="098C6DBE">
      <w:pPr>
        <w:pStyle w:val="165"/>
        <w:bidi w:val="0"/>
        <w:rPr>
          <w:rFonts w:hint="eastAsia"/>
          <w:lang w:val="en-US" w:eastAsia="zh-CN"/>
        </w:rPr>
      </w:pPr>
      <w:r>
        <w:rPr>
          <w:rFonts w:hint="eastAsia"/>
          <w:lang w:val="en-US" w:eastAsia="zh-CN"/>
        </w:rPr>
        <w:t>核算报告至少应包括核算主体基本信息、概述、功能单位、系统边界、数据收集与处理、核算结果、结果解释等部分。报告模板见附录C。</w:t>
      </w:r>
    </w:p>
    <w:p w14:paraId="1FC19777">
      <w:pPr>
        <w:pStyle w:val="165"/>
        <w:bidi w:val="0"/>
        <w:rPr>
          <w:rFonts w:hint="eastAsia"/>
          <w:lang w:val="en-US" w:eastAsia="zh-CN"/>
        </w:rPr>
      </w:pPr>
      <w:r>
        <w:rPr>
          <w:rFonts w:hint="eastAsia"/>
          <w:lang w:val="en-US" w:eastAsia="zh-CN"/>
        </w:rPr>
        <w:t>核算报告应说明所采用的分配方法与依据、取舍环节及依据、清除量的处理方式、数据的不确定性及局限性。</w:t>
      </w:r>
    </w:p>
    <w:p w14:paraId="792AF4B0">
      <w:pPr>
        <w:pStyle w:val="165"/>
        <w:bidi w:val="0"/>
        <w:rPr>
          <w:rFonts w:hint="eastAsia"/>
          <w:lang w:val="en-US" w:eastAsia="zh-CN"/>
        </w:rPr>
      </w:pPr>
      <w:r>
        <w:rPr>
          <w:rFonts w:hint="eastAsia"/>
          <w:lang w:val="en-US" w:eastAsia="zh-CN"/>
        </w:rPr>
        <w:t>核算报告宜同时披露下列信息项，供结果使用者参考：</w:t>
      </w:r>
    </w:p>
    <w:p w14:paraId="1B5ADDE8">
      <w:pPr>
        <w:pStyle w:val="177"/>
        <w:numPr>
          <w:ilvl w:val="0"/>
          <w:numId w:val="38"/>
        </w:numPr>
        <w:bidi w:val="0"/>
        <w:ind w:left="851" w:leftChars="0" w:hanging="426" w:firstLineChars="0"/>
        <w:rPr>
          <w:rFonts w:hint="eastAsia"/>
          <w:lang w:val="en-US" w:eastAsia="zh-CN"/>
        </w:rPr>
      </w:pPr>
      <w:r>
        <w:rPr>
          <w:rFonts w:hint="eastAsia"/>
          <w:lang w:val="en-US" w:eastAsia="zh-CN"/>
        </w:rPr>
        <w:t>植株生物量碳与枯落物碳（按本文件规定核算，作为信息项披露）；</w:t>
      </w:r>
    </w:p>
    <w:p w14:paraId="40C5375F">
      <w:pPr>
        <w:pStyle w:val="177"/>
        <w:numPr>
          <w:ilvl w:val="0"/>
          <w:numId w:val="38"/>
        </w:numPr>
        <w:bidi w:val="0"/>
        <w:ind w:left="851" w:leftChars="0" w:hanging="426" w:firstLineChars="0"/>
        <w:rPr>
          <w:rFonts w:hint="eastAsia"/>
          <w:lang w:val="en-US" w:eastAsia="zh-CN"/>
        </w:rPr>
      </w:pPr>
      <w:r>
        <w:rPr>
          <w:rFonts w:hint="eastAsia"/>
          <w:lang w:val="en-US" w:eastAsia="zh-CN"/>
        </w:rPr>
        <w:t>芽苗产量、去向及其分配依据数据；</w:t>
      </w:r>
    </w:p>
    <w:p w14:paraId="02F26084">
      <w:pPr>
        <w:pStyle w:val="177"/>
        <w:numPr>
          <w:ilvl w:val="0"/>
          <w:numId w:val="38"/>
        </w:numPr>
        <w:bidi w:val="0"/>
        <w:ind w:left="851" w:leftChars="0" w:hanging="426" w:firstLineChars="0"/>
        <w:rPr>
          <w:rFonts w:hint="eastAsia"/>
          <w:lang w:val="en-US" w:eastAsia="zh-CN"/>
        </w:rPr>
      </w:pPr>
      <w:r>
        <w:rPr>
          <w:rFonts w:hint="eastAsia"/>
          <w:lang w:val="en-US" w:eastAsia="zh-CN"/>
        </w:rPr>
        <w:t>各阶段排放贡献占比与关键排放环节识别结果；</w:t>
      </w:r>
    </w:p>
    <w:p w14:paraId="68978BDA">
      <w:pPr>
        <w:pStyle w:val="177"/>
        <w:numPr>
          <w:ilvl w:val="0"/>
          <w:numId w:val="38"/>
        </w:numPr>
        <w:bidi w:val="0"/>
        <w:ind w:left="851" w:leftChars="0" w:hanging="426" w:firstLineChars="0"/>
        <w:rPr>
          <w:lang w:val="en-US" w:eastAsia="zh-CN"/>
        </w:rPr>
      </w:pPr>
      <w:r>
        <w:rPr>
          <w:rFonts w:hint="eastAsia"/>
          <w:lang w:val="en-US" w:eastAsia="zh-CN"/>
        </w:rPr>
        <w:t>敏感性分析与不确定性分析结果。</w:t>
      </w:r>
    </w:p>
    <w:p w14:paraId="79F990EF">
      <w:pPr>
        <w:pStyle w:val="107"/>
        <w:bidi w:val="0"/>
        <w:rPr>
          <w:lang w:val="en-US" w:eastAsia="zh-CN"/>
        </w:rPr>
      </w:pPr>
      <w:bookmarkStart w:id="80" w:name="_Toc19072"/>
      <w:bookmarkStart w:id="81" w:name="_Toc27194"/>
      <w:r>
        <w:rPr>
          <w:rFonts w:hint="eastAsia"/>
          <w:lang w:val="en-US" w:eastAsia="zh-CN"/>
        </w:rPr>
        <w:t>声明标识</w:t>
      </w:r>
      <w:bookmarkEnd w:id="80"/>
      <w:bookmarkEnd w:id="81"/>
    </w:p>
    <w:p w14:paraId="621E960F">
      <w:pPr>
        <w:pStyle w:val="39"/>
        <w:bidi w:val="0"/>
        <w:rPr>
          <w:lang w:val="en-US" w:eastAsia="zh-CN"/>
        </w:rPr>
      </w:pPr>
      <w:r>
        <w:rPr>
          <w:rFonts w:hint="eastAsia"/>
          <w:lang w:val="en-US" w:eastAsia="zh-CN"/>
        </w:rPr>
        <w:t>如需声明时，可按照GB/T 24025或ISO 14026的规定进行，确保声明的科学性与规范性；同时，也可遵循《广东产品碳足迹评价与标识管理暂行办法》的要求开展工作。</w:t>
      </w:r>
    </w:p>
    <w:p w14:paraId="601DFC2C">
      <w:pPr>
        <w:pStyle w:val="14"/>
        <w:numPr>
          <w:ilvl w:val="0"/>
          <w:numId w:val="0"/>
        </w:numPr>
        <w:rPr>
          <w:rFonts w:ascii="宋体" w:hAnsi="宋体" w:eastAsia="宋体"/>
          <w:b w:val="0"/>
          <w:i w:val="0"/>
          <w:sz w:val="21"/>
        </w:rPr>
      </w:pPr>
    </w:p>
    <w:p w14:paraId="4A7ED175">
      <w:pPr>
        <w:pStyle w:val="14"/>
        <w:numPr>
          <w:ilvl w:val="0"/>
          <w:numId w:val="0"/>
        </w:numPr>
        <w:ind w:leftChars="0" w:firstLine="420" w:firstLineChars="200"/>
        <w:rPr>
          <w:rFonts w:ascii="宋体" w:hAnsi="宋体" w:eastAsia="宋体"/>
          <w:b w:val="0"/>
          <w:i w:val="0"/>
          <w:sz w:val="21"/>
        </w:rPr>
        <w:sectPr>
          <w:pgSz w:w="11906" w:h="16838"/>
          <w:pgMar w:top="1928" w:right="1134" w:bottom="1134" w:left="1134" w:header="1418" w:footer="1134" w:gutter="284"/>
          <w:pgNumType w:fmt="decimal" w:start="1"/>
          <w:cols w:space="425" w:num="1"/>
          <w:formProt w:val="0"/>
          <w:docGrid w:linePitch="312" w:charSpace="0"/>
        </w:sectPr>
      </w:pPr>
    </w:p>
    <w:bookmarkEnd w:id="26"/>
    <w:p w14:paraId="2D486073">
      <w:pPr>
        <w:pStyle w:val="201"/>
        <w:bidi w:val="0"/>
      </w:pPr>
      <w:bookmarkStart w:id="82" w:name="BookMark5"/>
    </w:p>
    <w:p w14:paraId="34801EE8">
      <w:pPr>
        <w:pStyle w:val="202"/>
        <w:bidi w:val="0"/>
      </w:pPr>
    </w:p>
    <w:p w14:paraId="6107AC93">
      <w:pPr>
        <w:pStyle w:val="82"/>
        <w:bidi w:val="0"/>
      </w:pPr>
      <w:bookmarkStart w:id="83" w:name="_Toc25018"/>
      <w:bookmarkStart w:id="84" w:name="_Toc2485"/>
      <w:bookmarkStart w:id="85" w:name="_Toc10338"/>
      <w:r>
        <w:br w:type="textWrapping"/>
      </w:r>
      <w:r>
        <w:rPr>
          <w:rFonts w:hint="eastAsia"/>
          <w:lang w:eastAsia="zh-CN"/>
        </w:rPr>
        <w:t>（资料性）</w:t>
      </w:r>
      <w:r>
        <w:rPr>
          <w:rFonts w:hint="eastAsia"/>
          <w:lang w:eastAsia="zh-CN"/>
        </w:rPr>
        <w:br w:type="textWrapping"/>
      </w:r>
      <w:r>
        <w:rPr>
          <w:rFonts w:hint="eastAsia"/>
          <w:lang w:eastAsia="zh-CN"/>
        </w:rPr>
        <w:t>神湾菠萝</w:t>
      </w:r>
      <w:bookmarkEnd w:id="83"/>
      <w:r>
        <w:rPr>
          <w:rFonts w:hint="eastAsia"/>
          <w:lang w:val="en-US" w:eastAsia="zh-CN"/>
        </w:rPr>
        <w:t>产品碳足迹需监测和获取的活动数据及相关要求</w:t>
      </w:r>
      <w:bookmarkEnd w:id="84"/>
      <w:bookmarkEnd w:id="85"/>
    </w:p>
    <w:p w14:paraId="29BE9F9F">
      <w:pPr>
        <w:spacing w:after="80"/>
        <w:ind w:firstLine="420" w:firstLineChars="200"/>
        <w:rPr>
          <w:rFonts w:hint="default" w:ascii="宋体" w:hAnsi="宋体" w:eastAsia="宋体" w:cs="Times New Roman"/>
          <w:b w:val="0"/>
          <w:i w:val="0"/>
          <w:kern w:val="2"/>
          <w:sz w:val="21"/>
          <w:szCs w:val="21"/>
          <w:lang w:val="en-US" w:eastAsia="zh-CN" w:bidi="ar-SA"/>
        </w:rPr>
      </w:pPr>
      <w:r>
        <w:rPr>
          <w:rFonts w:hint="eastAsia" w:ascii="宋体" w:hAnsi="宋体" w:cs="Times New Roman"/>
          <w:b w:val="0"/>
          <w:i w:val="0"/>
          <w:kern w:val="2"/>
          <w:sz w:val="21"/>
          <w:szCs w:val="21"/>
          <w:lang w:val="en-US" w:eastAsia="zh-CN" w:bidi="ar-SA"/>
        </w:rPr>
        <w:t>需监测和获取的活动数据及相关要求见表A.1。</w:t>
      </w:r>
    </w:p>
    <w:p w14:paraId="7E36D018">
      <w:pPr>
        <w:pStyle w:val="83"/>
        <w:bidi w:val="0"/>
      </w:pPr>
      <w:r>
        <w:rPr>
          <w:rFonts w:hint="eastAsia"/>
          <w:lang w:val="en-US" w:eastAsia="zh-CN"/>
        </w:rPr>
        <w:t>神湾菠萝产品碳足迹需监测和获取的活动数据及相关要求</w:t>
      </w:r>
    </w:p>
    <w:tbl>
      <w:tblPr>
        <w:tblStyle w:val="30"/>
        <w:tblW w:w="441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797"/>
        <w:gridCol w:w="2342"/>
        <w:gridCol w:w="1764"/>
        <w:gridCol w:w="3345"/>
      </w:tblGrid>
      <w:tr w14:paraId="756C74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trPr>
        <w:tc>
          <w:tcPr>
            <w:tcW w:w="483" w:type="pct"/>
            <w:tcBorders>
              <w:bottom w:val="single" w:color="auto" w:sz="8" w:space="0"/>
            </w:tcBorders>
            <w:vAlign w:val="center"/>
          </w:tcPr>
          <w:p w14:paraId="339C404F">
            <w:pPr>
              <w:spacing w:after="0" w:line="240" w:lineRule="auto"/>
              <w:jc w:val="center"/>
              <w:rPr>
                <w:rFonts w:hint="eastAsia" w:ascii="黑体" w:hAnsi="黑体" w:eastAsia="黑体"/>
                <w:b/>
                <w:i w:val="0"/>
                <w:sz w:val="21"/>
              </w:rPr>
            </w:pPr>
            <w:r>
              <w:rPr>
                <w:rFonts w:hint="eastAsia" w:ascii="黑体" w:hAnsi="黑体" w:eastAsia="黑体"/>
                <w:b/>
                <w:i w:val="0"/>
                <w:sz w:val="21"/>
              </w:rPr>
              <w:t>阶段</w:t>
            </w:r>
          </w:p>
        </w:tc>
        <w:tc>
          <w:tcPr>
            <w:tcW w:w="1419" w:type="pct"/>
            <w:tcBorders>
              <w:bottom w:val="single" w:color="auto" w:sz="8" w:space="0"/>
            </w:tcBorders>
            <w:vAlign w:val="center"/>
          </w:tcPr>
          <w:p w14:paraId="628B9467">
            <w:pPr>
              <w:spacing w:after="0" w:line="240" w:lineRule="auto"/>
              <w:jc w:val="center"/>
              <w:rPr>
                <w:rFonts w:hint="eastAsia" w:ascii="黑体" w:hAnsi="黑体" w:eastAsia="黑体"/>
                <w:b/>
                <w:i w:val="0"/>
                <w:sz w:val="21"/>
              </w:rPr>
            </w:pPr>
            <w:r>
              <w:rPr>
                <w:rFonts w:hint="eastAsia" w:ascii="黑体" w:hAnsi="黑体" w:eastAsia="黑体"/>
                <w:b/>
                <w:i w:val="0"/>
                <w:sz w:val="21"/>
              </w:rPr>
              <w:t>活动数据</w:t>
            </w:r>
          </w:p>
        </w:tc>
        <w:tc>
          <w:tcPr>
            <w:tcW w:w="1069" w:type="pct"/>
            <w:tcBorders>
              <w:bottom w:val="single" w:color="auto" w:sz="8" w:space="0"/>
            </w:tcBorders>
            <w:vAlign w:val="center"/>
          </w:tcPr>
          <w:p w14:paraId="3E5DF973">
            <w:pPr>
              <w:spacing w:after="0" w:line="240" w:lineRule="auto"/>
              <w:jc w:val="center"/>
              <w:rPr>
                <w:rFonts w:hint="eastAsia" w:ascii="黑体" w:hAnsi="黑体" w:eastAsia="黑体"/>
                <w:b/>
                <w:i w:val="0"/>
                <w:sz w:val="21"/>
              </w:rPr>
            </w:pPr>
            <w:r>
              <w:rPr>
                <w:rFonts w:hint="eastAsia" w:ascii="黑体" w:hAnsi="黑体" w:eastAsia="黑体"/>
                <w:b/>
                <w:i w:val="0"/>
                <w:sz w:val="21"/>
              </w:rPr>
              <w:t>单位</w:t>
            </w:r>
          </w:p>
        </w:tc>
        <w:tc>
          <w:tcPr>
            <w:tcW w:w="2026" w:type="pct"/>
            <w:tcBorders>
              <w:bottom w:val="single" w:color="auto" w:sz="8" w:space="0"/>
            </w:tcBorders>
            <w:vAlign w:val="center"/>
          </w:tcPr>
          <w:p w14:paraId="6DF5DF6E">
            <w:pPr>
              <w:spacing w:after="0" w:line="240" w:lineRule="auto"/>
              <w:jc w:val="center"/>
              <w:rPr>
                <w:rFonts w:hint="eastAsia" w:ascii="黑体" w:hAnsi="黑体" w:eastAsia="黑体"/>
                <w:b/>
                <w:i w:val="0"/>
                <w:sz w:val="21"/>
              </w:rPr>
            </w:pPr>
            <w:r>
              <w:rPr>
                <w:rFonts w:hint="eastAsia" w:ascii="黑体" w:hAnsi="黑体" w:eastAsia="黑体"/>
                <w:b/>
                <w:i w:val="0"/>
                <w:sz w:val="21"/>
              </w:rPr>
              <w:t>数据来源与要求</w:t>
            </w:r>
          </w:p>
        </w:tc>
      </w:tr>
      <w:tr w14:paraId="74109B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73959FF5">
            <w:pPr>
              <w:spacing w:after="0" w:line="240" w:lineRule="auto"/>
              <w:jc w:val="both"/>
              <w:rPr>
                <w:rFonts w:hint="default" w:ascii="宋体" w:hAnsi="宋体" w:eastAsia="宋体"/>
                <w:b w:val="0"/>
                <w:i w:val="0"/>
                <w:sz w:val="21"/>
                <w:lang w:val="en-US" w:eastAsia="zh-CN"/>
              </w:rPr>
            </w:pPr>
            <w:r>
              <w:rPr>
                <w:rFonts w:hint="eastAsia" w:ascii="宋体" w:hAnsi="宋体"/>
                <w:b w:val="0"/>
                <w:i w:val="0"/>
                <w:sz w:val="21"/>
                <w:lang w:val="en-US" w:eastAsia="zh-CN"/>
              </w:rPr>
              <w:t>原材料获取与投入</w:t>
            </w:r>
          </w:p>
        </w:tc>
        <w:tc>
          <w:tcPr>
            <w:tcW w:w="1419" w:type="pct"/>
            <w:vAlign w:val="center"/>
          </w:tcPr>
          <w:p w14:paraId="0B7118C0">
            <w:pPr>
              <w:spacing w:after="0" w:line="240" w:lineRule="auto"/>
              <w:jc w:val="both"/>
              <w:rPr>
                <w:rFonts w:hint="eastAsia" w:ascii="宋体" w:hAnsi="宋体" w:eastAsia="宋体"/>
                <w:b w:val="0"/>
                <w:i w:val="0"/>
                <w:sz w:val="21"/>
              </w:rPr>
            </w:pPr>
            <w:r>
              <w:rPr>
                <w:rFonts w:hint="eastAsia" w:ascii="宋体" w:hAnsi="宋体" w:eastAsia="宋体"/>
                <w:b w:val="0"/>
                <w:i w:val="0"/>
                <w:sz w:val="21"/>
              </w:rPr>
              <w:t>肥料类型、施肥方式与施用量</w:t>
            </w:r>
          </w:p>
        </w:tc>
        <w:tc>
          <w:tcPr>
            <w:tcW w:w="1069" w:type="pct"/>
            <w:vAlign w:val="center"/>
          </w:tcPr>
          <w:p w14:paraId="4515EE1C">
            <w:pPr>
              <w:spacing w:after="0" w:line="240" w:lineRule="auto"/>
              <w:jc w:val="both"/>
              <w:rPr>
                <w:rFonts w:hint="eastAsia" w:ascii="宋体" w:hAnsi="宋体" w:eastAsia="宋体"/>
                <w:b w:val="0"/>
                <w:i w:val="0"/>
                <w:sz w:val="21"/>
              </w:rPr>
            </w:pPr>
            <w:r>
              <w:rPr>
                <w:rFonts w:hint="eastAsia" w:ascii="宋体" w:hAnsi="宋体" w:eastAsia="宋体"/>
                <w:b w:val="0"/>
                <w:i w:val="0"/>
                <w:sz w:val="21"/>
              </w:rPr>
              <w:t>kg、kg N/P</w:t>
            </w:r>
            <w:r>
              <w:rPr>
                <w:rFonts w:hint="eastAsia" w:ascii="宋体" w:hAnsi="宋体"/>
                <w:b w:val="0"/>
                <w:i w:val="0"/>
                <w:sz w:val="21"/>
                <w:vertAlign w:val="subscript"/>
                <w:lang w:val="en-US" w:eastAsia="zh-CN"/>
              </w:rPr>
              <w:t>2</w:t>
            </w:r>
            <w:r>
              <w:rPr>
                <w:rFonts w:hint="eastAsia" w:ascii="宋体" w:hAnsi="宋体" w:eastAsia="宋体"/>
                <w:b w:val="0"/>
                <w:i w:val="0"/>
                <w:sz w:val="21"/>
              </w:rPr>
              <w:t>O</w:t>
            </w:r>
            <w:r>
              <w:rPr>
                <w:rFonts w:hint="eastAsia" w:ascii="宋体" w:hAnsi="宋体"/>
                <w:b w:val="0"/>
                <w:i w:val="0"/>
                <w:sz w:val="21"/>
                <w:vertAlign w:val="subscript"/>
                <w:lang w:val="en-US" w:eastAsia="zh-CN"/>
              </w:rPr>
              <w:t>5</w:t>
            </w:r>
            <w:r>
              <w:rPr>
                <w:rFonts w:hint="eastAsia" w:ascii="宋体" w:hAnsi="宋体" w:eastAsia="宋体"/>
                <w:b w:val="0"/>
                <w:i w:val="0"/>
                <w:sz w:val="21"/>
              </w:rPr>
              <w:t>/K</w:t>
            </w:r>
            <w:r>
              <w:rPr>
                <w:rFonts w:hint="eastAsia" w:ascii="宋体" w:hAnsi="宋体"/>
                <w:b w:val="0"/>
                <w:i w:val="0"/>
                <w:sz w:val="21"/>
                <w:vertAlign w:val="subscript"/>
                <w:lang w:val="en-US" w:eastAsia="zh-CN"/>
              </w:rPr>
              <w:t>2</w:t>
            </w:r>
            <w:r>
              <w:rPr>
                <w:rFonts w:hint="eastAsia" w:ascii="宋体" w:hAnsi="宋体" w:eastAsia="宋体"/>
                <w:b w:val="0"/>
                <w:i w:val="0"/>
                <w:sz w:val="21"/>
              </w:rPr>
              <w:t>O</w:t>
            </w:r>
          </w:p>
        </w:tc>
        <w:tc>
          <w:tcPr>
            <w:tcW w:w="2026" w:type="pct"/>
            <w:vAlign w:val="center"/>
          </w:tcPr>
          <w:p w14:paraId="00F4B837">
            <w:pPr>
              <w:spacing w:after="0" w:line="240" w:lineRule="auto"/>
              <w:jc w:val="both"/>
              <w:rPr>
                <w:rFonts w:hint="eastAsia" w:ascii="宋体" w:hAnsi="宋体" w:eastAsia="宋体"/>
                <w:b w:val="0"/>
                <w:i w:val="0"/>
                <w:sz w:val="21"/>
              </w:rPr>
            </w:pPr>
            <w:r>
              <w:rPr>
                <w:rFonts w:hint="eastAsia" w:ascii="宋体" w:hAnsi="宋体" w:eastAsia="宋体"/>
                <w:b w:val="0"/>
                <w:i w:val="0"/>
                <w:sz w:val="21"/>
              </w:rPr>
              <w:t>采购发票、施用台账、折纯计算</w:t>
            </w:r>
          </w:p>
        </w:tc>
      </w:tr>
      <w:tr w14:paraId="1D1DB3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7E65C8CD">
            <w:pPr>
              <w:spacing w:after="0" w:line="240" w:lineRule="auto"/>
              <w:jc w:val="both"/>
              <w:rPr>
                <w:rFonts w:hint="eastAsia" w:ascii="宋体" w:hAnsi="宋体" w:eastAsia="宋体"/>
                <w:b w:val="0"/>
                <w:i w:val="0"/>
                <w:sz w:val="21"/>
              </w:rPr>
            </w:pPr>
            <w:r>
              <w:rPr>
                <w:rFonts w:hint="eastAsia" w:ascii="宋体" w:hAnsi="宋体"/>
                <w:b w:val="0"/>
                <w:i w:val="0"/>
                <w:sz w:val="21"/>
                <w:lang w:val="en-US" w:eastAsia="zh-CN"/>
              </w:rPr>
              <w:t>原材料获取与投入</w:t>
            </w:r>
          </w:p>
        </w:tc>
        <w:tc>
          <w:tcPr>
            <w:tcW w:w="1419" w:type="pct"/>
            <w:vAlign w:val="center"/>
          </w:tcPr>
          <w:p w14:paraId="797C8948">
            <w:pPr>
              <w:spacing w:after="0" w:line="240" w:lineRule="auto"/>
              <w:jc w:val="both"/>
              <w:rPr>
                <w:rFonts w:hint="eastAsia" w:ascii="宋体" w:hAnsi="宋体" w:eastAsia="宋体"/>
                <w:b w:val="0"/>
                <w:i w:val="0"/>
                <w:sz w:val="21"/>
              </w:rPr>
            </w:pPr>
            <w:r>
              <w:rPr>
                <w:rFonts w:hint="eastAsia" w:ascii="宋体" w:hAnsi="宋体" w:eastAsia="宋体"/>
                <w:b w:val="0"/>
                <w:i w:val="0"/>
                <w:sz w:val="21"/>
              </w:rPr>
              <w:t>有机肥类型与施用量</w:t>
            </w:r>
          </w:p>
        </w:tc>
        <w:tc>
          <w:tcPr>
            <w:tcW w:w="1069" w:type="pct"/>
            <w:vAlign w:val="center"/>
          </w:tcPr>
          <w:p w14:paraId="0D9068D8">
            <w:pPr>
              <w:spacing w:after="0" w:line="240" w:lineRule="auto"/>
              <w:jc w:val="both"/>
              <w:rPr>
                <w:rFonts w:hint="eastAsia" w:ascii="宋体" w:hAnsi="宋体" w:eastAsia="宋体"/>
                <w:b w:val="0"/>
                <w:i w:val="0"/>
                <w:sz w:val="21"/>
              </w:rPr>
            </w:pPr>
            <w:r>
              <w:rPr>
                <w:rFonts w:hint="eastAsia" w:ascii="宋体" w:hAnsi="宋体" w:eastAsia="宋体"/>
                <w:b w:val="0"/>
                <w:i w:val="0"/>
                <w:sz w:val="21"/>
              </w:rPr>
              <w:t>kg、kg N</w:t>
            </w:r>
          </w:p>
        </w:tc>
        <w:tc>
          <w:tcPr>
            <w:tcW w:w="2026" w:type="pct"/>
            <w:vAlign w:val="center"/>
          </w:tcPr>
          <w:p w14:paraId="75A74217">
            <w:pPr>
              <w:spacing w:after="0" w:line="240" w:lineRule="auto"/>
              <w:jc w:val="both"/>
              <w:rPr>
                <w:rFonts w:hint="eastAsia" w:ascii="宋体" w:hAnsi="宋体" w:eastAsia="宋体"/>
                <w:b w:val="0"/>
                <w:i w:val="0"/>
                <w:sz w:val="21"/>
              </w:rPr>
            </w:pPr>
            <w:r>
              <w:rPr>
                <w:rFonts w:hint="eastAsia" w:ascii="宋体" w:hAnsi="宋体" w:eastAsia="宋体"/>
                <w:b w:val="0"/>
                <w:i w:val="0"/>
                <w:sz w:val="21"/>
              </w:rPr>
              <w:t>采购发票、含氮率检测／标注</w:t>
            </w:r>
          </w:p>
        </w:tc>
      </w:tr>
      <w:tr w14:paraId="64AC8C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6A18A54A">
            <w:pPr>
              <w:spacing w:after="0" w:line="240" w:lineRule="auto"/>
              <w:jc w:val="both"/>
              <w:rPr>
                <w:rFonts w:hint="eastAsia" w:ascii="宋体" w:hAnsi="宋体" w:eastAsia="宋体"/>
                <w:b w:val="0"/>
                <w:i w:val="0"/>
                <w:sz w:val="21"/>
              </w:rPr>
            </w:pPr>
            <w:r>
              <w:rPr>
                <w:rFonts w:hint="eastAsia" w:ascii="宋体" w:hAnsi="宋体"/>
                <w:b w:val="0"/>
                <w:i w:val="0"/>
                <w:sz w:val="21"/>
                <w:lang w:val="en-US" w:eastAsia="zh-CN"/>
              </w:rPr>
              <w:t>原材料获取与投入</w:t>
            </w:r>
          </w:p>
        </w:tc>
        <w:tc>
          <w:tcPr>
            <w:tcW w:w="1419" w:type="pct"/>
            <w:vAlign w:val="center"/>
          </w:tcPr>
          <w:p w14:paraId="253E0980">
            <w:pPr>
              <w:spacing w:after="0" w:line="240" w:lineRule="auto"/>
              <w:jc w:val="both"/>
              <w:rPr>
                <w:rFonts w:hint="eastAsia" w:ascii="宋体" w:hAnsi="宋体" w:eastAsia="宋体"/>
                <w:b w:val="0"/>
                <w:i w:val="0"/>
                <w:sz w:val="21"/>
              </w:rPr>
            </w:pPr>
            <w:r>
              <w:rPr>
                <w:rFonts w:hint="eastAsia" w:ascii="宋体" w:hAnsi="宋体" w:eastAsia="宋体"/>
                <w:b w:val="0"/>
                <w:i w:val="0"/>
                <w:sz w:val="21"/>
              </w:rPr>
              <w:t>地膜类型、用量与使用年限</w:t>
            </w:r>
          </w:p>
        </w:tc>
        <w:tc>
          <w:tcPr>
            <w:tcW w:w="1069" w:type="pct"/>
            <w:vAlign w:val="center"/>
          </w:tcPr>
          <w:p w14:paraId="6180CB2F">
            <w:pPr>
              <w:spacing w:after="0" w:line="240" w:lineRule="auto"/>
              <w:jc w:val="both"/>
              <w:rPr>
                <w:rFonts w:hint="eastAsia" w:ascii="宋体" w:hAnsi="宋体" w:eastAsia="宋体"/>
                <w:b w:val="0"/>
                <w:i w:val="0"/>
                <w:sz w:val="21"/>
              </w:rPr>
            </w:pPr>
            <w:r>
              <w:rPr>
                <w:rFonts w:hint="eastAsia" w:ascii="宋体" w:hAnsi="宋体" w:eastAsia="宋体"/>
                <w:b w:val="0"/>
                <w:i w:val="0"/>
                <w:sz w:val="21"/>
              </w:rPr>
              <w:t>kg、a</w:t>
            </w:r>
          </w:p>
        </w:tc>
        <w:tc>
          <w:tcPr>
            <w:tcW w:w="2026" w:type="pct"/>
            <w:vAlign w:val="center"/>
          </w:tcPr>
          <w:p w14:paraId="1DB5CDF3">
            <w:pPr>
              <w:spacing w:after="0" w:line="240" w:lineRule="auto"/>
              <w:jc w:val="both"/>
              <w:rPr>
                <w:rFonts w:hint="eastAsia" w:ascii="宋体" w:hAnsi="宋体" w:eastAsia="宋体"/>
                <w:b w:val="0"/>
                <w:i w:val="0"/>
                <w:sz w:val="21"/>
              </w:rPr>
            </w:pPr>
            <w:r>
              <w:rPr>
                <w:rFonts w:hint="eastAsia" w:ascii="宋体" w:hAnsi="宋体" w:eastAsia="宋体"/>
                <w:b w:val="0"/>
                <w:i w:val="0"/>
                <w:sz w:val="21"/>
              </w:rPr>
              <w:t>采购凭证</w:t>
            </w:r>
          </w:p>
        </w:tc>
      </w:tr>
      <w:tr w14:paraId="0BFB73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18E2C97E">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5943CD3D">
            <w:pPr>
              <w:spacing w:after="0" w:line="240" w:lineRule="auto"/>
              <w:jc w:val="both"/>
              <w:rPr>
                <w:rFonts w:hint="eastAsia" w:ascii="宋体" w:hAnsi="宋体" w:eastAsia="宋体"/>
                <w:b w:val="0"/>
                <w:i w:val="0"/>
                <w:sz w:val="21"/>
              </w:rPr>
            </w:pPr>
            <w:r>
              <w:rPr>
                <w:rFonts w:hint="eastAsia" w:ascii="宋体" w:hAnsi="宋体" w:eastAsia="宋体"/>
                <w:b w:val="0"/>
                <w:i w:val="0"/>
                <w:sz w:val="21"/>
              </w:rPr>
              <w:t>收获时间与鲜果产量</w:t>
            </w:r>
          </w:p>
        </w:tc>
        <w:tc>
          <w:tcPr>
            <w:tcW w:w="1069" w:type="pct"/>
            <w:vAlign w:val="center"/>
          </w:tcPr>
          <w:p w14:paraId="69D70A40">
            <w:pPr>
              <w:spacing w:after="0" w:line="240" w:lineRule="auto"/>
              <w:jc w:val="both"/>
              <w:rPr>
                <w:rFonts w:hint="eastAsia" w:ascii="宋体" w:hAnsi="宋体" w:eastAsia="宋体"/>
                <w:b w:val="0"/>
                <w:i w:val="0"/>
                <w:sz w:val="21"/>
              </w:rPr>
            </w:pPr>
            <w:r>
              <w:rPr>
                <w:rFonts w:hint="eastAsia" w:ascii="宋体" w:hAnsi="宋体" w:eastAsia="宋体"/>
                <w:b w:val="0"/>
                <w:i w:val="0"/>
                <w:sz w:val="21"/>
              </w:rPr>
              <w:t>年/月/日、kg</w:t>
            </w:r>
          </w:p>
        </w:tc>
        <w:tc>
          <w:tcPr>
            <w:tcW w:w="2026" w:type="pct"/>
            <w:vAlign w:val="center"/>
          </w:tcPr>
          <w:p w14:paraId="2E88AB7A">
            <w:pPr>
              <w:spacing w:after="0" w:line="240" w:lineRule="auto"/>
              <w:jc w:val="both"/>
              <w:rPr>
                <w:rFonts w:hint="eastAsia" w:ascii="宋体" w:hAnsi="宋体" w:eastAsia="宋体"/>
                <w:b w:val="0"/>
                <w:i w:val="0"/>
                <w:sz w:val="21"/>
              </w:rPr>
            </w:pPr>
            <w:r>
              <w:rPr>
                <w:rFonts w:hint="eastAsia" w:ascii="宋体" w:hAnsi="宋体" w:eastAsia="宋体"/>
                <w:b w:val="0"/>
                <w:i w:val="0"/>
                <w:sz w:val="21"/>
              </w:rPr>
              <w:t>过磅单、销售台账</w:t>
            </w:r>
          </w:p>
        </w:tc>
      </w:tr>
      <w:tr w14:paraId="25C1AD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6320E82B">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34961B2B">
            <w:pPr>
              <w:spacing w:after="0" w:line="240" w:lineRule="auto"/>
              <w:jc w:val="both"/>
              <w:rPr>
                <w:rFonts w:hint="eastAsia" w:ascii="宋体" w:hAnsi="宋体" w:eastAsia="宋体"/>
                <w:b w:val="0"/>
                <w:i w:val="0"/>
                <w:sz w:val="21"/>
              </w:rPr>
            </w:pPr>
            <w:r>
              <w:rPr>
                <w:rFonts w:hint="eastAsia" w:ascii="宋体" w:hAnsi="宋体" w:eastAsia="宋体"/>
                <w:b w:val="0"/>
                <w:i w:val="0"/>
                <w:sz w:val="21"/>
              </w:rPr>
              <w:t>芽苗数量与去向（对外销售／留作自用）</w:t>
            </w:r>
          </w:p>
        </w:tc>
        <w:tc>
          <w:tcPr>
            <w:tcW w:w="1069" w:type="pct"/>
            <w:vAlign w:val="center"/>
          </w:tcPr>
          <w:p w14:paraId="1918FB78">
            <w:pPr>
              <w:spacing w:after="0" w:line="240" w:lineRule="auto"/>
              <w:jc w:val="both"/>
              <w:rPr>
                <w:rFonts w:hint="eastAsia" w:ascii="宋体" w:hAnsi="宋体" w:eastAsia="宋体"/>
                <w:b w:val="0"/>
                <w:i w:val="0"/>
                <w:sz w:val="21"/>
              </w:rPr>
            </w:pPr>
            <w:r>
              <w:rPr>
                <w:rFonts w:hint="eastAsia" w:ascii="宋体" w:hAnsi="宋体" w:eastAsia="宋体"/>
                <w:b w:val="0"/>
                <w:i w:val="0"/>
                <w:sz w:val="21"/>
              </w:rPr>
              <w:t>株</w:t>
            </w:r>
          </w:p>
        </w:tc>
        <w:tc>
          <w:tcPr>
            <w:tcW w:w="2026" w:type="pct"/>
            <w:vAlign w:val="center"/>
          </w:tcPr>
          <w:p w14:paraId="364EBC8D">
            <w:pPr>
              <w:spacing w:after="0" w:line="240" w:lineRule="auto"/>
              <w:jc w:val="both"/>
              <w:rPr>
                <w:rFonts w:hint="eastAsia" w:ascii="宋体" w:hAnsi="宋体" w:eastAsia="宋体"/>
                <w:b w:val="0"/>
                <w:i w:val="0"/>
                <w:sz w:val="21"/>
              </w:rPr>
            </w:pPr>
            <w:r>
              <w:rPr>
                <w:rFonts w:hint="eastAsia" w:ascii="宋体" w:hAnsi="宋体" w:eastAsia="宋体"/>
                <w:b w:val="0"/>
                <w:i w:val="0"/>
                <w:sz w:val="21"/>
              </w:rPr>
              <w:t>芽苗采收记录、销售台账</w:t>
            </w:r>
          </w:p>
        </w:tc>
      </w:tr>
      <w:tr w14:paraId="101A26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1F51543E">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0D0CD0CA">
            <w:pPr>
              <w:spacing w:after="0" w:line="240" w:lineRule="auto"/>
              <w:jc w:val="both"/>
              <w:rPr>
                <w:rFonts w:hint="eastAsia" w:ascii="宋体" w:hAnsi="宋体" w:eastAsia="宋体"/>
                <w:b w:val="0"/>
                <w:i w:val="0"/>
                <w:sz w:val="21"/>
              </w:rPr>
            </w:pPr>
            <w:r>
              <w:rPr>
                <w:rFonts w:hint="eastAsia" w:ascii="宋体" w:hAnsi="宋体" w:eastAsia="宋体"/>
                <w:b w:val="0"/>
                <w:i w:val="0"/>
                <w:sz w:val="21"/>
              </w:rPr>
              <w:t>母株清园还田量</w:t>
            </w:r>
          </w:p>
        </w:tc>
        <w:tc>
          <w:tcPr>
            <w:tcW w:w="1069" w:type="pct"/>
            <w:vAlign w:val="center"/>
          </w:tcPr>
          <w:p w14:paraId="16C2082A">
            <w:pPr>
              <w:spacing w:after="0" w:line="240" w:lineRule="auto"/>
              <w:jc w:val="both"/>
              <w:rPr>
                <w:rFonts w:hint="eastAsia" w:ascii="宋体" w:hAnsi="宋体" w:eastAsia="宋体"/>
                <w:b w:val="0"/>
                <w:i w:val="0"/>
                <w:sz w:val="21"/>
              </w:rPr>
            </w:pPr>
            <w:r>
              <w:rPr>
                <w:rFonts w:hint="eastAsia" w:ascii="宋体" w:hAnsi="宋体" w:eastAsia="宋体"/>
                <w:b w:val="0"/>
                <w:i w:val="0"/>
                <w:sz w:val="21"/>
              </w:rPr>
              <w:t>kg</w:t>
            </w:r>
          </w:p>
        </w:tc>
        <w:tc>
          <w:tcPr>
            <w:tcW w:w="2026" w:type="pct"/>
            <w:vAlign w:val="center"/>
          </w:tcPr>
          <w:p w14:paraId="0AC31580">
            <w:pPr>
              <w:spacing w:after="0" w:line="240" w:lineRule="auto"/>
              <w:jc w:val="both"/>
              <w:rPr>
                <w:rFonts w:hint="eastAsia" w:ascii="宋体" w:hAnsi="宋体" w:eastAsia="宋体"/>
                <w:b w:val="0"/>
                <w:i w:val="0"/>
                <w:sz w:val="21"/>
              </w:rPr>
            </w:pPr>
            <w:r>
              <w:rPr>
                <w:rFonts w:hint="eastAsia" w:ascii="宋体" w:hAnsi="宋体" w:eastAsia="宋体"/>
                <w:b w:val="0"/>
                <w:i w:val="0"/>
                <w:sz w:val="21"/>
              </w:rPr>
              <w:t>清园作业记录</w:t>
            </w:r>
          </w:p>
        </w:tc>
      </w:tr>
      <w:tr w14:paraId="6B992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79C3141C">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6A7DAFA3">
            <w:pPr>
              <w:spacing w:after="0" w:line="240" w:lineRule="auto"/>
              <w:jc w:val="both"/>
              <w:rPr>
                <w:rFonts w:hint="eastAsia" w:ascii="宋体" w:hAnsi="宋体" w:eastAsia="宋体"/>
                <w:b w:val="0"/>
                <w:i w:val="0"/>
                <w:sz w:val="21"/>
              </w:rPr>
            </w:pPr>
            <w:r>
              <w:rPr>
                <w:rFonts w:hint="eastAsia" w:ascii="宋体" w:hAnsi="宋体" w:eastAsia="宋体"/>
                <w:b w:val="0"/>
                <w:i w:val="0"/>
                <w:sz w:val="21"/>
              </w:rPr>
              <w:t>耕作与田间作业机械类型、能源类型与消耗量</w:t>
            </w:r>
          </w:p>
        </w:tc>
        <w:tc>
          <w:tcPr>
            <w:tcW w:w="1069" w:type="pct"/>
            <w:vAlign w:val="center"/>
          </w:tcPr>
          <w:p w14:paraId="26C5585B">
            <w:pPr>
              <w:spacing w:after="0" w:line="240" w:lineRule="auto"/>
              <w:jc w:val="both"/>
              <w:rPr>
                <w:rFonts w:hint="eastAsia" w:ascii="宋体" w:hAnsi="宋体" w:eastAsia="宋体"/>
                <w:b w:val="0"/>
                <w:i w:val="0"/>
                <w:sz w:val="21"/>
              </w:rPr>
            </w:pPr>
            <w:r>
              <w:rPr>
                <w:rFonts w:hint="eastAsia" w:ascii="宋体" w:hAnsi="宋体" w:eastAsia="宋体"/>
                <w:b w:val="0"/>
                <w:i w:val="0"/>
                <w:sz w:val="21"/>
              </w:rPr>
              <w:t>kg、m³、L、kW·h</w:t>
            </w:r>
          </w:p>
        </w:tc>
        <w:tc>
          <w:tcPr>
            <w:tcW w:w="2026" w:type="pct"/>
            <w:vAlign w:val="center"/>
          </w:tcPr>
          <w:p w14:paraId="154EA10A">
            <w:pPr>
              <w:spacing w:after="0" w:line="240" w:lineRule="auto"/>
              <w:jc w:val="both"/>
              <w:rPr>
                <w:rFonts w:hint="eastAsia" w:ascii="宋体" w:hAnsi="宋体" w:eastAsia="宋体"/>
                <w:b w:val="0"/>
                <w:i w:val="0"/>
                <w:sz w:val="21"/>
              </w:rPr>
            </w:pPr>
            <w:r>
              <w:rPr>
                <w:rFonts w:hint="eastAsia" w:ascii="宋体" w:hAnsi="宋体" w:eastAsia="宋体"/>
                <w:b w:val="0"/>
                <w:i w:val="0"/>
                <w:sz w:val="21"/>
              </w:rPr>
              <w:t>作业记录、加油记录</w:t>
            </w:r>
          </w:p>
        </w:tc>
      </w:tr>
      <w:tr w14:paraId="136FAE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7AB47988">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2B1335C9">
            <w:pPr>
              <w:spacing w:after="0" w:line="240" w:lineRule="auto"/>
              <w:jc w:val="both"/>
              <w:rPr>
                <w:rFonts w:hint="eastAsia" w:ascii="宋体" w:hAnsi="宋体" w:eastAsia="宋体"/>
                <w:b w:val="0"/>
                <w:i w:val="0"/>
                <w:sz w:val="21"/>
              </w:rPr>
            </w:pPr>
            <w:r>
              <w:rPr>
                <w:rFonts w:hint="eastAsia" w:ascii="宋体" w:hAnsi="宋体" w:eastAsia="宋体"/>
                <w:b w:val="0"/>
                <w:i w:val="0"/>
                <w:sz w:val="21"/>
              </w:rPr>
              <w:t>母株清园作业能耗</w:t>
            </w:r>
          </w:p>
        </w:tc>
        <w:tc>
          <w:tcPr>
            <w:tcW w:w="1069" w:type="pct"/>
            <w:vAlign w:val="center"/>
          </w:tcPr>
          <w:p w14:paraId="2A17A337">
            <w:pPr>
              <w:spacing w:after="0" w:line="240" w:lineRule="auto"/>
              <w:jc w:val="both"/>
              <w:rPr>
                <w:rFonts w:hint="eastAsia" w:ascii="宋体" w:hAnsi="宋体" w:eastAsia="宋体"/>
                <w:b w:val="0"/>
                <w:i w:val="0"/>
                <w:sz w:val="21"/>
              </w:rPr>
            </w:pPr>
            <w:r>
              <w:rPr>
                <w:rFonts w:hint="eastAsia" w:ascii="宋体" w:hAnsi="宋体" w:eastAsia="宋体"/>
                <w:b w:val="0"/>
                <w:i w:val="0"/>
                <w:sz w:val="21"/>
              </w:rPr>
              <w:t>kW·h或kg</w:t>
            </w:r>
          </w:p>
        </w:tc>
        <w:tc>
          <w:tcPr>
            <w:tcW w:w="2026" w:type="pct"/>
            <w:vAlign w:val="center"/>
          </w:tcPr>
          <w:p w14:paraId="0784CEBF">
            <w:pPr>
              <w:spacing w:after="0" w:line="240" w:lineRule="auto"/>
              <w:jc w:val="both"/>
              <w:rPr>
                <w:rFonts w:hint="eastAsia" w:ascii="宋体" w:hAnsi="宋体" w:eastAsia="宋体"/>
                <w:b w:val="0"/>
                <w:i w:val="0"/>
                <w:sz w:val="21"/>
              </w:rPr>
            </w:pPr>
            <w:r>
              <w:rPr>
                <w:rFonts w:hint="eastAsia" w:ascii="宋体" w:hAnsi="宋体" w:eastAsia="宋体"/>
                <w:b w:val="0"/>
                <w:i w:val="0"/>
                <w:sz w:val="21"/>
              </w:rPr>
              <w:t>作业记录、电表或加油记录</w:t>
            </w:r>
          </w:p>
        </w:tc>
      </w:tr>
      <w:tr w14:paraId="39EAE6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32780BE9">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569616D5">
            <w:pPr>
              <w:spacing w:after="0" w:line="240" w:lineRule="auto"/>
              <w:jc w:val="both"/>
              <w:rPr>
                <w:rFonts w:hint="eastAsia" w:ascii="宋体" w:hAnsi="宋体" w:eastAsia="宋体"/>
                <w:b w:val="0"/>
                <w:i w:val="0"/>
                <w:sz w:val="21"/>
              </w:rPr>
            </w:pPr>
            <w:r>
              <w:rPr>
                <w:rFonts w:hint="eastAsia" w:ascii="宋体" w:hAnsi="宋体" w:eastAsia="宋体"/>
                <w:b w:val="0"/>
                <w:i w:val="0"/>
                <w:sz w:val="21"/>
              </w:rPr>
              <w:t>收获指数、根冠比与植株含氮量</w:t>
            </w:r>
          </w:p>
        </w:tc>
        <w:tc>
          <w:tcPr>
            <w:tcW w:w="1069" w:type="pct"/>
            <w:vAlign w:val="center"/>
          </w:tcPr>
          <w:p w14:paraId="10ADF8FF">
            <w:pPr>
              <w:spacing w:after="0" w:line="240" w:lineRule="auto"/>
              <w:jc w:val="both"/>
              <w:rPr>
                <w:rFonts w:hint="eastAsia" w:ascii="宋体" w:hAnsi="宋体" w:eastAsia="宋体"/>
                <w:b w:val="0"/>
                <w:i w:val="0"/>
                <w:sz w:val="21"/>
              </w:rPr>
            </w:pPr>
            <w:r>
              <w:rPr>
                <w:rFonts w:hint="eastAsia" w:ascii="宋体" w:hAnsi="宋体" w:eastAsia="宋体"/>
                <w:b w:val="0"/>
                <w:i w:val="0"/>
                <w:sz w:val="21"/>
              </w:rPr>
              <w:t>无量纲、kg N/kg</w:t>
            </w:r>
          </w:p>
        </w:tc>
        <w:tc>
          <w:tcPr>
            <w:tcW w:w="2026" w:type="pct"/>
            <w:vAlign w:val="center"/>
          </w:tcPr>
          <w:p w14:paraId="5541739F">
            <w:pPr>
              <w:spacing w:after="0" w:line="240" w:lineRule="auto"/>
              <w:jc w:val="both"/>
              <w:rPr>
                <w:rFonts w:hint="eastAsia" w:ascii="宋体" w:hAnsi="宋体" w:eastAsia="宋体"/>
                <w:b w:val="0"/>
                <w:i w:val="0"/>
                <w:sz w:val="21"/>
              </w:rPr>
            </w:pPr>
            <w:r>
              <w:rPr>
                <w:rFonts w:hint="eastAsia" w:ascii="宋体" w:hAnsi="宋体" w:eastAsia="宋体"/>
                <w:b w:val="0"/>
                <w:i w:val="0"/>
                <w:sz w:val="21"/>
              </w:rPr>
              <w:t>实测；缺省值见表B.8</w:t>
            </w:r>
          </w:p>
        </w:tc>
      </w:tr>
      <w:tr w14:paraId="52094B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635893B9">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121EA064">
            <w:pPr>
              <w:spacing w:after="0" w:line="240" w:lineRule="auto"/>
              <w:jc w:val="both"/>
              <w:rPr>
                <w:rFonts w:hint="eastAsia" w:ascii="宋体" w:hAnsi="宋体" w:eastAsia="宋体"/>
                <w:b w:val="0"/>
                <w:i w:val="0"/>
                <w:sz w:val="21"/>
              </w:rPr>
            </w:pPr>
            <w:r>
              <w:rPr>
                <w:rFonts w:hint="eastAsia" w:ascii="宋体" w:hAnsi="宋体" w:eastAsia="宋体"/>
                <w:b w:val="0"/>
                <w:i w:val="0"/>
                <w:sz w:val="21"/>
              </w:rPr>
              <w:t>植株还田比例与还田量</w:t>
            </w:r>
          </w:p>
        </w:tc>
        <w:tc>
          <w:tcPr>
            <w:tcW w:w="1069" w:type="pct"/>
            <w:vAlign w:val="center"/>
          </w:tcPr>
          <w:p w14:paraId="505DB91C">
            <w:pPr>
              <w:spacing w:after="0" w:line="240" w:lineRule="auto"/>
              <w:jc w:val="both"/>
              <w:rPr>
                <w:rFonts w:hint="eastAsia" w:ascii="宋体" w:hAnsi="宋体" w:eastAsia="宋体"/>
                <w:b w:val="0"/>
                <w:i w:val="0"/>
                <w:sz w:val="21"/>
              </w:rPr>
            </w:pPr>
            <w:r>
              <w:rPr>
                <w:rFonts w:hint="eastAsia" w:ascii="宋体" w:hAnsi="宋体" w:eastAsia="宋体"/>
                <w:b w:val="0"/>
                <w:i w:val="0"/>
                <w:sz w:val="21"/>
              </w:rPr>
              <w:t>%、kg</w:t>
            </w:r>
          </w:p>
        </w:tc>
        <w:tc>
          <w:tcPr>
            <w:tcW w:w="2026" w:type="pct"/>
            <w:vAlign w:val="center"/>
          </w:tcPr>
          <w:p w14:paraId="6DE6444D">
            <w:pPr>
              <w:spacing w:after="0" w:line="240" w:lineRule="auto"/>
              <w:jc w:val="both"/>
              <w:rPr>
                <w:rFonts w:hint="eastAsia" w:ascii="宋体" w:hAnsi="宋体" w:eastAsia="宋体"/>
                <w:b w:val="0"/>
                <w:i w:val="0"/>
                <w:sz w:val="21"/>
              </w:rPr>
            </w:pPr>
            <w:r>
              <w:rPr>
                <w:rFonts w:hint="eastAsia" w:ascii="宋体" w:hAnsi="宋体" w:eastAsia="宋体"/>
                <w:b w:val="0"/>
                <w:i w:val="0"/>
                <w:sz w:val="21"/>
              </w:rPr>
              <w:t>还田作业记录</w:t>
            </w:r>
          </w:p>
        </w:tc>
      </w:tr>
      <w:tr w14:paraId="4CF9B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52C42282">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7472055B">
            <w:pPr>
              <w:spacing w:after="0" w:line="240" w:lineRule="auto"/>
              <w:jc w:val="both"/>
              <w:rPr>
                <w:rFonts w:hint="eastAsia" w:ascii="宋体" w:hAnsi="宋体" w:eastAsia="宋体"/>
                <w:b w:val="0"/>
                <w:i w:val="0"/>
                <w:sz w:val="21"/>
              </w:rPr>
            </w:pPr>
            <w:r>
              <w:rPr>
                <w:rFonts w:hint="eastAsia" w:ascii="宋体" w:hAnsi="宋体" w:eastAsia="宋体"/>
                <w:b w:val="0"/>
                <w:i w:val="0"/>
                <w:sz w:val="21"/>
              </w:rPr>
              <w:t>植株含碳率</w:t>
            </w:r>
          </w:p>
        </w:tc>
        <w:tc>
          <w:tcPr>
            <w:tcW w:w="1069" w:type="pct"/>
            <w:vAlign w:val="center"/>
          </w:tcPr>
          <w:p w14:paraId="0ECC04DD">
            <w:pPr>
              <w:spacing w:after="0" w:line="240" w:lineRule="auto"/>
              <w:jc w:val="both"/>
              <w:rPr>
                <w:rFonts w:hint="eastAsia" w:ascii="宋体" w:hAnsi="宋体" w:eastAsia="宋体"/>
                <w:b w:val="0"/>
                <w:i w:val="0"/>
                <w:sz w:val="21"/>
              </w:rPr>
            </w:pPr>
            <w:r>
              <w:rPr>
                <w:rFonts w:hint="eastAsia" w:ascii="宋体" w:hAnsi="宋体" w:eastAsia="宋体"/>
                <w:b w:val="0"/>
                <w:i w:val="0"/>
                <w:sz w:val="21"/>
              </w:rPr>
              <w:t>%</w:t>
            </w:r>
          </w:p>
        </w:tc>
        <w:tc>
          <w:tcPr>
            <w:tcW w:w="2026" w:type="pct"/>
            <w:vAlign w:val="center"/>
          </w:tcPr>
          <w:p w14:paraId="705AF853">
            <w:pPr>
              <w:spacing w:after="0" w:line="240" w:lineRule="auto"/>
              <w:jc w:val="both"/>
              <w:rPr>
                <w:rFonts w:hint="eastAsia" w:ascii="宋体" w:hAnsi="宋体" w:eastAsia="宋体"/>
                <w:b w:val="0"/>
                <w:i w:val="0"/>
                <w:sz w:val="21"/>
              </w:rPr>
            </w:pPr>
            <w:r>
              <w:rPr>
                <w:rFonts w:hint="eastAsia" w:ascii="宋体" w:hAnsi="宋体" w:eastAsia="宋体"/>
                <w:b w:val="0"/>
                <w:i w:val="0"/>
                <w:sz w:val="21"/>
              </w:rPr>
              <w:t>实测；缺省值见表B.8</w:t>
            </w:r>
          </w:p>
        </w:tc>
      </w:tr>
      <w:tr w14:paraId="3B845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2C015670">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3E3CF205">
            <w:pPr>
              <w:spacing w:after="0" w:line="240" w:lineRule="auto"/>
              <w:jc w:val="both"/>
              <w:rPr>
                <w:rFonts w:hint="eastAsia" w:ascii="宋体" w:hAnsi="宋体" w:eastAsia="宋体"/>
                <w:b w:val="0"/>
                <w:i w:val="0"/>
                <w:sz w:val="21"/>
              </w:rPr>
            </w:pPr>
            <w:r>
              <w:rPr>
                <w:rFonts w:hint="eastAsia" w:ascii="宋体" w:hAnsi="宋体" w:eastAsia="宋体"/>
                <w:b w:val="0"/>
                <w:i w:val="0"/>
                <w:sz w:val="21"/>
              </w:rPr>
              <w:t>枯落物产生量</w:t>
            </w:r>
          </w:p>
        </w:tc>
        <w:tc>
          <w:tcPr>
            <w:tcW w:w="1069" w:type="pct"/>
            <w:vAlign w:val="center"/>
          </w:tcPr>
          <w:p w14:paraId="16BF4A7F">
            <w:pPr>
              <w:spacing w:after="0" w:line="240" w:lineRule="auto"/>
              <w:jc w:val="both"/>
              <w:rPr>
                <w:rFonts w:hint="eastAsia" w:ascii="宋体" w:hAnsi="宋体" w:eastAsia="宋体"/>
                <w:b w:val="0"/>
                <w:i w:val="0"/>
                <w:sz w:val="21"/>
              </w:rPr>
            </w:pPr>
            <w:r>
              <w:rPr>
                <w:rFonts w:hint="eastAsia" w:ascii="宋体" w:hAnsi="宋体" w:eastAsia="宋体"/>
                <w:b w:val="0"/>
                <w:i w:val="0"/>
                <w:sz w:val="21"/>
              </w:rPr>
              <w:t>kg</w:t>
            </w:r>
          </w:p>
        </w:tc>
        <w:tc>
          <w:tcPr>
            <w:tcW w:w="2026" w:type="pct"/>
            <w:vAlign w:val="center"/>
          </w:tcPr>
          <w:p w14:paraId="5FF666EC">
            <w:pPr>
              <w:spacing w:after="0" w:line="240" w:lineRule="auto"/>
              <w:jc w:val="both"/>
              <w:rPr>
                <w:rFonts w:hint="eastAsia" w:ascii="宋体" w:hAnsi="宋体" w:eastAsia="宋体"/>
                <w:b w:val="0"/>
                <w:i w:val="0"/>
                <w:sz w:val="21"/>
              </w:rPr>
            </w:pPr>
            <w:r>
              <w:rPr>
                <w:rFonts w:hint="eastAsia" w:ascii="宋体" w:hAnsi="宋体" w:eastAsia="宋体"/>
                <w:b w:val="0"/>
                <w:i w:val="0"/>
                <w:sz w:val="21"/>
              </w:rPr>
              <w:t>实测称重；或按模型估算</w:t>
            </w:r>
          </w:p>
        </w:tc>
      </w:tr>
      <w:tr w14:paraId="22B749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43D68271">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1CD364FA">
            <w:pPr>
              <w:spacing w:after="0" w:line="240" w:lineRule="auto"/>
              <w:jc w:val="both"/>
              <w:rPr>
                <w:rFonts w:hint="eastAsia" w:ascii="宋体" w:hAnsi="宋体" w:eastAsia="宋体"/>
                <w:b w:val="0"/>
                <w:i w:val="0"/>
                <w:sz w:val="21"/>
              </w:rPr>
            </w:pPr>
            <w:r>
              <w:rPr>
                <w:rFonts w:hint="eastAsia" w:ascii="宋体" w:hAnsi="宋体" w:eastAsia="宋体"/>
                <w:b w:val="0"/>
                <w:i w:val="0"/>
                <w:sz w:val="21"/>
              </w:rPr>
              <w:t>土壤容重</w:t>
            </w:r>
          </w:p>
        </w:tc>
        <w:tc>
          <w:tcPr>
            <w:tcW w:w="1069" w:type="pct"/>
            <w:vAlign w:val="center"/>
          </w:tcPr>
          <w:p w14:paraId="22FB8A81">
            <w:pPr>
              <w:spacing w:after="0" w:line="240" w:lineRule="auto"/>
              <w:jc w:val="both"/>
              <w:rPr>
                <w:rFonts w:hint="eastAsia" w:ascii="宋体" w:hAnsi="宋体" w:eastAsia="宋体"/>
                <w:b w:val="0"/>
                <w:i w:val="0"/>
                <w:sz w:val="21"/>
              </w:rPr>
            </w:pPr>
            <w:r>
              <w:rPr>
                <w:rFonts w:hint="eastAsia" w:ascii="宋体" w:hAnsi="宋体" w:eastAsia="宋体"/>
                <w:b w:val="0"/>
                <w:i w:val="0"/>
                <w:sz w:val="21"/>
              </w:rPr>
              <w:t>g/cm³</w:t>
            </w:r>
          </w:p>
        </w:tc>
        <w:tc>
          <w:tcPr>
            <w:tcW w:w="2026" w:type="pct"/>
            <w:vAlign w:val="center"/>
          </w:tcPr>
          <w:p w14:paraId="4F2725D1">
            <w:pPr>
              <w:spacing w:after="0" w:line="240" w:lineRule="auto"/>
              <w:jc w:val="both"/>
              <w:rPr>
                <w:rFonts w:hint="eastAsia" w:ascii="宋体" w:hAnsi="宋体" w:eastAsia="宋体"/>
                <w:b w:val="0"/>
                <w:i w:val="0"/>
                <w:sz w:val="21"/>
              </w:rPr>
            </w:pPr>
            <w:r>
              <w:rPr>
                <w:rFonts w:hint="eastAsia" w:ascii="宋体" w:hAnsi="宋体" w:eastAsia="宋体"/>
                <w:b w:val="0"/>
                <w:i w:val="0"/>
                <w:sz w:val="21"/>
              </w:rPr>
              <w:t>检测报告</w:t>
            </w:r>
          </w:p>
        </w:tc>
      </w:tr>
      <w:tr w14:paraId="20EDB7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57167E98">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6D7E1594">
            <w:pPr>
              <w:spacing w:after="0" w:line="240" w:lineRule="auto"/>
              <w:jc w:val="both"/>
              <w:rPr>
                <w:rFonts w:hint="eastAsia" w:ascii="宋体" w:hAnsi="宋体" w:eastAsia="宋体"/>
                <w:b w:val="0"/>
                <w:i w:val="0"/>
                <w:sz w:val="21"/>
              </w:rPr>
            </w:pPr>
            <w:r>
              <w:rPr>
                <w:rFonts w:hint="eastAsia" w:ascii="宋体" w:hAnsi="宋体" w:eastAsia="宋体"/>
                <w:b w:val="0"/>
                <w:i w:val="0"/>
                <w:sz w:val="21"/>
              </w:rPr>
              <w:t>耕层深度与土壤有机碳含量</w:t>
            </w:r>
          </w:p>
        </w:tc>
        <w:tc>
          <w:tcPr>
            <w:tcW w:w="1069" w:type="pct"/>
            <w:vAlign w:val="center"/>
          </w:tcPr>
          <w:p w14:paraId="235D152F">
            <w:pPr>
              <w:spacing w:after="0" w:line="240" w:lineRule="auto"/>
              <w:jc w:val="both"/>
              <w:rPr>
                <w:rFonts w:hint="eastAsia" w:ascii="宋体" w:hAnsi="宋体" w:eastAsia="宋体"/>
                <w:b w:val="0"/>
                <w:i w:val="0"/>
                <w:sz w:val="21"/>
              </w:rPr>
            </w:pPr>
            <w:r>
              <w:rPr>
                <w:rFonts w:hint="eastAsia" w:ascii="宋体" w:hAnsi="宋体" w:eastAsia="宋体"/>
                <w:b w:val="0"/>
                <w:i w:val="0"/>
                <w:sz w:val="21"/>
              </w:rPr>
              <w:t>cm、g/kg</w:t>
            </w:r>
          </w:p>
        </w:tc>
        <w:tc>
          <w:tcPr>
            <w:tcW w:w="2026" w:type="pct"/>
            <w:vAlign w:val="center"/>
          </w:tcPr>
          <w:p w14:paraId="3003F845">
            <w:pPr>
              <w:spacing w:after="0" w:line="240" w:lineRule="auto"/>
              <w:jc w:val="both"/>
              <w:rPr>
                <w:rFonts w:hint="eastAsia" w:ascii="宋体" w:hAnsi="宋体" w:eastAsia="宋体"/>
                <w:b w:val="0"/>
                <w:i w:val="0"/>
                <w:sz w:val="21"/>
              </w:rPr>
            </w:pPr>
            <w:r>
              <w:rPr>
                <w:rFonts w:hint="eastAsia" w:ascii="宋体" w:hAnsi="宋体" w:eastAsia="宋体"/>
                <w:b w:val="0"/>
                <w:i w:val="0"/>
                <w:sz w:val="21"/>
              </w:rPr>
              <w:t>具备CMA资质的机构检测报告</w:t>
            </w:r>
          </w:p>
        </w:tc>
      </w:tr>
      <w:tr w14:paraId="33C517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1B12F63D">
            <w:pPr>
              <w:spacing w:after="0" w:line="240" w:lineRule="auto"/>
              <w:jc w:val="both"/>
              <w:rPr>
                <w:rFonts w:hint="eastAsia" w:ascii="宋体" w:hAnsi="宋体" w:eastAsia="宋体"/>
                <w:b w:val="0"/>
                <w:i w:val="0"/>
                <w:sz w:val="21"/>
              </w:rPr>
            </w:pPr>
            <w:r>
              <w:rPr>
                <w:rFonts w:hint="eastAsia" w:ascii="宋体" w:hAnsi="宋体" w:eastAsia="宋体"/>
                <w:b w:val="0"/>
                <w:i w:val="0"/>
                <w:sz w:val="21"/>
              </w:rPr>
              <w:t>包装</w:t>
            </w:r>
          </w:p>
        </w:tc>
        <w:tc>
          <w:tcPr>
            <w:tcW w:w="1419" w:type="pct"/>
            <w:vAlign w:val="center"/>
          </w:tcPr>
          <w:p w14:paraId="474962E2">
            <w:pPr>
              <w:spacing w:after="0" w:line="240" w:lineRule="auto"/>
              <w:jc w:val="both"/>
              <w:rPr>
                <w:rFonts w:hint="eastAsia" w:ascii="宋体" w:hAnsi="宋体" w:eastAsia="宋体"/>
                <w:b w:val="0"/>
                <w:i w:val="0"/>
                <w:sz w:val="21"/>
              </w:rPr>
            </w:pPr>
            <w:r>
              <w:rPr>
                <w:rFonts w:hint="eastAsia" w:ascii="宋体" w:hAnsi="宋体" w:eastAsia="宋体"/>
                <w:b w:val="0"/>
                <w:i w:val="0"/>
                <w:sz w:val="21"/>
              </w:rPr>
              <w:t>包装材料类型与用量</w:t>
            </w:r>
          </w:p>
        </w:tc>
        <w:tc>
          <w:tcPr>
            <w:tcW w:w="1069" w:type="pct"/>
            <w:vAlign w:val="center"/>
          </w:tcPr>
          <w:p w14:paraId="208F27B9">
            <w:pPr>
              <w:spacing w:after="0" w:line="240" w:lineRule="auto"/>
              <w:jc w:val="both"/>
              <w:rPr>
                <w:rFonts w:hint="eastAsia" w:ascii="宋体" w:hAnsi="宋体" w:eastAsia="宋体"/>
                <w:b w:val="0"/>
                <w:i w:val="0"/>
                <w:sz w:val="21"/>
              </w:rPr>
            </w:pPr>
            <w:r>
              <w:rPr>
                <w:rFonts w:hint="eastAsia" w:ascii="宋体" w:hAnsi="宋体" w:eastAsia="宋体"/>
                <w:b w:val="0"/>
                <w:i w:val="0"/>
                <w:sz w:val="21"/>
              </w:rPr>
              <w:t>kg</w:t>
            </w:r>
          </w:p>
        </w:tc>
        <w:tc>
          <w:tcPr>
            <w:tcW w:w="2026" w:type="pct"/>
            <w:vAlign w:val="center"/>
          </w:tcPr>
          <w:p w14:paraId="5B20B581">
            <w:pPr>
              <w:spacing w:after="0" w:line="240" w:lineRule="auto"/>
              <w:jc w:val="both"/>
              <w:rPr>
                <w:rFonts w:hint="eastAsia" w:ascii="宋体" w:hAnsi="宋体" w:eastAsia="宋体"/>
                <w:b w:val="0"/>
                <w:i w:val="0"/>
                <w:sz w:val="21"/>
              </w:rPr>
            </w:pPr>
            <w:r>
              <w:rPr>
                <w:rFonts w:hint="eastAsia" w:ascii="宋体" w:hAnsi="宋体" w:eastAsia="宋体"/>
                <w:b w:val="0"/>
                <w:i w:val="0"/>
                <w:sz w:val="21"/>
              </w:rPr>
              <w:t>采购发票</w:t>
            </w:r>
          </w:p>
        </w:tc>
      </w:tr>
      <w:tr w14:paraId="0191E3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1591934E">
            <w:pPr>
              <w:spacing w:after="0" w:line="240" w:lineRule="auto"/>
              <w:jc w:val="both"/>
              <w:rPr>
                <w:rFonts w:hint="eastAsia" w:ascii="宋体" w:hAnsi="宋体" w:eastAsia="宋体"/>
                <w:b w:val="0"/>
                <w:i w:val="0"/>
                <w:sz w:val="21"/>
              </w:rPr>
            </w:pPr>
            <w:r>
              <w:rPr>
                <w:rFonts w:hint="eastAsia" w:ascii="宋体" w:hAnsi="宋体" w:eastAsia="宋体"/>
                <w:b w:val="0"/>
                <w:i w:val="0"/>
                <w:sz w:val="21"/>
              </w:rPr>
              <w:t>包装</w:t>
            </w:r>
          </w:p>
        </w:tc>
        <w:tc>
          <w:tcPr>
            <w:tcW w:w="1419" w:type="pct"/>
            <w:vAlign w:val="center"/>
          </w:tcPr>
          <w:p w14:paraId="37C707E6">
            <w:pPr>
              <w:spacing w:after="0" w:line="240" w:lineRule="auto"/>
              <w:jc w:val="both"/>
              <w:rPr>
                <w:rFonts w:hint="eastAsia" w:ascii="宋体" w:hAnsi="宋体" w:eastAsia="宋体"/>
                <w:b w:val="0"/>
                <w:i w:val="0"/>
                <w:sz w:val="21"/>
              </w:rPr>
            </w:pPr>
            <w:r>
              <w:rPr>
                <w:rFonts w:hint="eastAsia" w:ascii="宋体" w:hAnsi="宋体" w:eastAsia="宋体"/>
                <w:b w:val="0"/>
                <w:i w:val="0"/>
                <w:sz w:val="21"/>
              </w:rPr>
              <w:t>包装作业方式与能源消耗量</w:t>
            </w:r>
          </w:p>
        </w:tc>
        <w:tc>
          <w:tcPr>
            <w:tcW w:w="1069" w:type="pct"/>
            <w:vAlign w:val="center"/>
          </w:tcPr>
          <w:p w14:paraId="596C01F3">
            <w:pPr>
              <w:spacing w:after="0" w:line="240" w:lineRule="auto"/>
              <w:jc w:val="both"/>
              <w:rPr>
                <w:rFonts w:hint="eastAsia" w:ascii="宋体" w:hAnsi="宋体" w:eastAsia="宋体"/>
                <w:b w:val="0"/>
                <w:i w:val="0"/>
                <w:sz w:val="21"/>
              </w:rPr>
            </w:pPr>
            <w:r>
              <w:rPr>
                <w:rFonts w:hint="eastAsia" w:ascii="宋体" w:hAnsi="宋体" w:eastAsia="宋体"/>
                <w:b w:val="0"/>
                <w:i w:val="0"/>
                <w:sz w:val="21"/>
              </w:rPr>
              <w:t>kg或kW·h</w:t>
            </w:r>
          </w:p>
        </w:tc>
        <w:tc>
          <w:tcPr>
            <w:tcW w:w="2026" w:type="pct"/>
            <w:vAlign w:val="center"/>
          </w:tcPr>
          <w:p w14:paraId="262C36B8">
            <w:pPr>
              <w:spacing w:after="0" w:line="240" w:lineRule="auto"/>
              <w:jc w:val="both"/>
              <w:rPr>
                <w:rFonts w:hint="eastAsia" w:ascii="宋体" w:hAnsi="宋体" w:eastAsia="宋体"/>
                <w:b w:val="0"/>
                <w:i w:val="0"/>
                <w:sz w:val="21"/>
              </w:rPr>
            </w:pPr>
            <w:r>
              <w:rPr>
                <w:rFonts w:hint="eastAsia" w:ascii="宋体" w:hAnsi="宋体" w:eastAsia="宋体"/>
                <w:b w:val="0"/>
                <w:i w:val="0"/>
                <w:sz w:val="21"/>
              </w:rPr>
              <w:t>现阶段为人工包装；采用机械包装的按设备铭牌、电表读数</w:t>
            </w:r>
          </w:p>
        </w:tc>
      </w:tr>
    </w:tbl>
    <w:p w14:paraId="50CDE9C0">
      <w:pPr>
        <w:pStyle w:val="39"/>
        <w:bidi w:val="0"/>
        <w:ind w:left="0" w:leftChars="0" w:firstLine="0" w:firstLineChars="0"/>
      </w:pPr>
    </w:p>
    <w:p w14:paraId="2CB3D10F">
      <w:pPr>
        <w:pStyle w:val="39"/>
        <w:bidi w:val="0"/>
        <w:sectPr>
          <w:pgSz w:w="11906" w:h="16838"/>
          <w:pgMar w:top="1928" w:right="1134" w:bottom="1134" w:left="1134" w:header="1418" w:footer="1134" w:gutter="284"/>
          <w:pgNumType w:fmt="decimal"/>
          <w:cols w:space="425" w:num="1"/>
          <w:formProt w:val="0"/>
          <w:docGrid w:linePitch="312" w:charSpace="0"/>
        </w:sectPr>
      </w:pPr>
    </w:p>
    <w:p w14:paraId="68B70355">
      <w:pPr>
        <w:pStyle w:val="201"/>
        <w:bidi w:val="0"/>
      </w:pPr>
    </w:p>
    <w:p w14:paraId="3257CC25">
      <w:pPr>
        <w:pStyle w:val="202"/>
        <w:bidi w:val="0"/>
      </w:pPr>
    </w:p>
    <w:p w14:paraId="4FFD696D">
      <w:pPr>
        <w:pStyle w:val="82"/>
        <w:bidi w:val="0"/>
      </w:pPr>
      <w:bookmarkStart w:id="86" w:name="_Toc8312"/>
      <w:bookmarkStart w:id="87" w:name="_Toc9853"/>
      <w:bookmarkStart w:id="88" w:name="_Toc14397"/>
      <w:r>
        <w:br w:type="textWrapping"/>
      </w:r>
      <w:r>
        <w:rPr>
          <w:rFonts w:hint="eastAsia"/>
          <w:lang w:eastAsia="zh-CN"/>
        </w:rPr>
        <w:t>（资料性）</w:t>
      </w:r>
      <w:r>
        <w:rPr>
          <w:rFonts w:hint="eastAsia"/>
          <w:lang w:eastAsia="zh-CN"/>
        </w:rPr>
        <w:br w:type="textWrapping"/>
      </w:r>
      <w:r>
        <w:rPr>
          <w:rFonts w:hint="eastAsia"/>
          <w:lang w:eastAsia="zh-CN"/>
        </w:rPr>
        <w:t>排放因子推荐值（广东适用）</w:t>
      </w:r>
      <w:bookmarkEnd w:id="86"/>
      <w:bookmarkEnd w:id="87"/>
      <w:bookmarkEnd w:id="88"/>
    </w:p>
    <w:p w14:paraId="6D772F57">
      <w:pPr>
        <w:pStyle w:val="39"/>
        <w:rPr>
          <w:rFonts w:hint="eastAsia"/>
        </w:rPr>
      </w:pPr>
      <w:r>
        <w:rPr>
          <w:rFonts w:hint="eastAsia"/>
        </w:rPr>
        <w:t>排放因子推荐值见表B.1～表B.</w:t>
      </w:r>
      <w:r>
        <w:rPr>
          <w:rFonts w:hint="eastAsia"/>
          <w:lang w:val="en-US" w:eastAsia="zh-CN"/>
        </w:rPr>
        <w:t>7</w:t>
      </w:r>
      <w:r>
        <w:rPr>
          <w:rFonts w:hint="eastAsia"/>
        </w:rPr>
        <w:t>。</w:t>
      </w:r>
    </w:p>
    <w:p w14:paraId="54E5100C">
      <w:pPr>
        <w:pStyle w:val="84"/>
        <w:bidi w:val="0"/>
        <w:rPr>
          <w:rFonts w:hint="eastAsia"/>
        </w:rPr>
      </w:pPr>
      <w:r>
        <w:rPr>
          <w:rFonts w:hint="eastAsia"/>
        </w:rPr>
        <w:t>全球变暖潜势（GWP）</w:t>
      </w:r>
    </w:p>
    <w:p w14:paraId="1C1C503A">
      <w:pPr>
        <w:pStyle w:val="83"/>
        <w:bidi w:val="0"/>
      </w:pPr>
      <w:r>
        <w:rPr>
          <w:rFonts w:hint="eastAsia"/>
        </w:rPr>
        <w:t>全球变暖潜势（</w:t>
      </w:r>
      <w:r>
        <w:rPr>
          <w:rFonts w:hint="eastAsia"/>
          <w:lang w:val="en-US" w:eastAsia="zh-CN"/>
        </w:rPr>
        <w:t>GWP</w:t>
      </w:r>
      <w:r>
        <w:rPr>
          <w:rFonts w:hint="eastAsia"/>
        </w:rPr>
        <w:t>）</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3104"/>
        <w:gridCol w:w="3110"/>
        <w:gridCol w:w="3120"/>
      </w:tblGrid>
      <w:tr w14:paraId="0BCFE8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tblHeader/>
          <w:jc w:val="center"/>
        </w:trPr>
        <w:tc>
          <w:tcPr>
            <w:tcW w:w="3184" w:type="dxa"/>
            <w:tcBorders>
              <w:bottom w:val="single" w:color="auto" w:sz="8" w:space="0"/>
            </w:tcBorders>
            <w:vAlign w:val="center"/>
          </w:tcPr>
          <w:p w14:paraId="702F1F5A">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气体</w:t>
            </w:r>
          </w:p>
        </w:tc>
        <w:tc>
          <w:tcPr>
            <w:tcW w:w="3185" w:type="dxa"/>
            <w:tcBorders>
              <w:bottom w:val="single" w:color="auto" w:sz="8" w:space="0"/>
            </w:tcBorders>
            <w:vAlign w:val="center"/>
          </w:tcPr>
          <w:p w14:paraId="208663C7">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分子式</w:t>
            </w:r>
          </w:p>
        </w:tc>
        <w:tc>
          <w:tcPr>
            <w:tcW w:w="3185" w:type="dxa"/>
            <w:tcBorders>
              <w:bottom w:val="single" w:color="auto" w:sz="8" w:space="0"/>
            </w:tcBorders>
            <w:vAlign w:val="center"/>
          </w:tcPr>
          <w:p w14:paraId="45AD5867">
            <w:pPr>
              <w:spacing w:after="0" w:line="240" w:lineRule="auto"/>
              <w:jc w:val="center"/>
              <w:rPr>
                <w:rFonts w:hint="default" w:ascii="Times New Roman" w:hAnsi="Times New Roman" w:eastAsia="黑体" w:cs="Times New Roman"/>
                <w:lang w:val="en-US" w:eastAsia="zh-CN"/>
              </w:rPr>
            </w:pPr>
            <w:r>
              <w:rPr>
                <w:rFonts w:hint="default" w:ascii="Times New Roman" w:hAnsi="Times New Roman" w:eastAsia="黑体" w:cs="Times New Roman"/>
                <w:b/>
                <w:i w:val="0"/>
                <w:sz w:val="21"/>
              </w:rPr>
              <w:t>GWP</w:t>
            </w:r>
            <w:r>
              <w:rPr>
                <w:rFonts w:hint="default" w:ascii="Times New Roman" w:hAnsi="Times New Roman" w:eastAsia="黑体" w:cs="Times New Roman"/>
                <w:b/>
                <w:i w:val="0"/>
                <w:sz w:val="21"/>
                <w:vertAlign w:val="subscript"/>
                <w:lang w:val="en-US" w:eastAsia="zh-CN"/>
              </w:rPr>
              <w:t>100</w:t>
            </w:r>
          </w:p>
        </w:tc>
      </w:tr>
      <w:tr w14:paraId="479D05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3184" w:type="dxa"/>
            <w:tcBorders>
              <w:top w:val="single" w:color="auto" w:sz="8" w:space="0"/>
            </w:tcBorders>
            <w:vAlign w:val="center"/>
          </w:tcPr>
          <w:p w14:paraId="1433499D">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二氧化碳</w:t>
            </w:r>
          </w:p>
        </w:tc>
        <w:tc>
          <w:tcPr>
            <w:tcW w:w="3185" w:type="dxa"/>
            <w:tcBorders>
              <w:top w:val="single" w:color="auto" w:sz="8" w:space="0"/>
            </w:tcBorders>
            <w:vAlign w:val="center"/>
          </w:tcPr>
          <w:p w14:paraId="3A3E020E">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CO₂</w:t>
            </w:r>
          </w:p>
        </w:tc>
        <w:tc>
          <w:tcPr>
            <w:tcW w:w="3185" w:type="dxa"/>
            <w:tcBorders>
              <w:top w:val="single" w:color="auto" w:sz="8" w:space="0"/>
            </w:tcBorders>
            <w:vAlign w:val="center"/>
          </w:tcPr>
          <w:p w14:paraId="5FD546C3">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1</w:t>
            </w:r>
          </w:p>
        </w:tc>
      </w:tr>
      <w:tr w14:paraId="1F445C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3184" w:type="dxa"/>
            <w:vAlign w:val="center"/>
          </w:tcPr>
          <w:p w14:paraId="3BAAB61F">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氧化亚氮</w:t>
            </w:r>
          </w:p>
        </w:tc>
        <w:tc>
          <w:tcPr>
            <w:tcW w:w="3185" w:type="dxa"/>
            <w:vAlign w:val="center"/>
          </w:tcPr>
          <w:p w14:paraId="4DAB1F8A">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N₂O</w:t>
            </w:r>
          </w:p>
        </w:tc>
        <w:tc>
          <w:tcPr>
            <w:tcW w:w="3185" w:type="dxa"/>
            <w:vAlign w:val="center"/>
          </w:tcPr>
          <w:p w14:paraId="0D3D356A">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273</w:t>
            </w:r>
          </w:p>
        </w:tc>
      </w:tr>
      <w:tr w14:paraId="0723D0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9554" w:type="dxa"/>
            <w:gridSpan w:val="3"/>
            <w:vAlign w:val="center"/>
          </w:tcPr>
          <w:p w14:paraId="6033A994">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数据来源：IPCC《气候变化报告 2021：自然科学基础 第一工作组对 IPCC第六次评估报告》</w:t>
            </w:r>
          </w:p>
        </w:tc>
      </w:tr>
    </w:tbl>
    <w:p w14:paraId="5BC75FD7">
      <w:pPr>
        <w:pStyle w:val="39"/>
        <w:ind w:left="0" w:leftChars="0" w:firstLine="0" w:firstLineChars="0"/>
      </w:pPr>
    </w:p>
    <w:p w14:paraId="2FC8BF24">
      <w:pPr>
        <w:pStyle w:val="84"/>
        <w:bidi w:val="0"/>
      </w:pPr>
      <w:r>
        <w:rPr>
          <w:rFonts w:hint="eastAsia"/>
        </w:rPr>
        <w:t>地区农田N</w:t>
      </w:r>
      <w:r>
        <w:rPr>
          <w:rFonts w:hint="eastAsia"/>
          <w:vertAlign w:val="subscript"/>
          <w:lang w:val="en-US" w:eastAsia="zh-CN"/>
        </w:rPr>
        <w:t>2</w:t>
      </w:r>
      <w:r>
        <w:rPr>
          <w:rFonts w:hint="eastAsia"/>
        </w:rPr>
        <w:t>O排放因子</w:t>
      </w:r>
    </w:p>
    <w:p w14:paraId="3C97E235">
      <w:pPr>
        <w:pStyle w:val="83"/>
        <w:bidi w:val="0"/>
      </w:pPr>
      <w:r>
        <w:rPr>
          <w:rFonts w:hint="eastAsia"/>
        </w:rPr>
        <w:t>农田 N</w:t>
      </w:r>
      <w:r>
        <w:rPr>
          <w:rFonts w:hint="eastAsia"/>
          <w:vertAlign w:val="subscript"/>
          <w:lang w:val="en-US" w:eastAsia="zh-CN"/>
        </w:rPr>
        <w:t>2</w:t>
      </w:r>
      <w:r>
        <w:rPr>
          <w:rFonts w:hint="eastAsia"/>
        </w:rPr>
        <w:t>O 直接排放因子</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8"/>
        <w:gridCol w:w="4676"/>
      </w:tblGrid>
      <w:tr w14:paraId="1C430D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tblHeader/>
          <w:jc w:val="center"/>
        </w:trPr>
        <w:tc>
          <w:tcPr>
            <w:tcW w:w="4777" w:type="dxa"/>
            <w:tcBorders>
              <w:bottom w:val="single" w:color="auto" w:sz="8" w:space="0"/>
            </w:tcBorders>
            <w:vAlign w:val="center"/>
          </w:tcPr>
          <w:p w14:paraId="5661906B">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区域</w:t>
            </w:r>
          </w:p>
        </w:tc>
        <w:tc>
          <w:tcPr>
            <w:tcW w:w="4777" w:type="dxa"/>
            <w:tcBorders>
              <w:bottom w:val="single" w:color="auto" w:sz="8" w:space="0"/>
            </w:tcBorders>
            <w:vAlign w:val="center"/>
          </w:tcPr>
          <w:p w14:paraId="48A3B255">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EF</w:t>
            </w:r>
            <w:r>
              <w:rPr>
                <w:rFonts w:hint="default" w:ascii="Times New Roman" w:hAnsi="Times New Roman" w:eastAsia="黑体" w:cs="Times New Roman"/>
                <w:b/>
                <w:i w:val="0"/>
                <w:sz w:val="21"/>
                <w:vertAlign w:val="subscript"/>
              </w:rPr>
              <w:t>d</w:t>
            </w:r>
            <w:r>
              <w:rPr>
                <w:rFonts w:hint="default" w:ascii="Times New Roman" w:hAnsi="Times New Roman" w:eastAsia="黑体" w:cs="Times New Roman"/>
                <w:b/>
                <w:i w:val="0"/>
                <w:sz w:val="21"/>
              </w:rPr>
              <w:t>（kg N</w:t>
            </w:r>
            <w:r>
              <w:rPr>
                <w:rFonts w:hint="default" w:ascii="Times New Roman" w:hAnsi="Times New Roman" w:eastAsia="黑体" w:cs="Times New Roman"/>
                <w:b/>
                <w:i w:val="0"/>
                <w:sz w:val="21"/>
                <w:vertAlign w:val="subscript"/>
                <w:lang w:val="en-US" w:eastAsia="zh-CN"/>
              </w:rPr>
              <w:t>2</w:t>
            </w:r>
            <w:r>
              <w:rPr>
                <w:rFonts w:hint="default" w:ascii="Times New Roman" w:hAnsi="Times New Roman" w:eastAsia="黑体" w:cs="Times New Roman"/>
                <w:b/>
                <w:i w:val="0"/>
                <w:sz w:val="21"/>
              </w:rPr>
              <w:t>O-N/kg N）</w:t>
            </w:r>
          </w:p>
        </w:tc>
      </w:tr>
      <w:tr w14:paraId="3F5B3D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tcBorders>
              <w:top w:val="single" w:color="auto" w:sz="8" w:space="0"/>
            </w:tcBorders>
            <w:vAlign w:val="center"/>
          </w:tcPr>
          <w:p w14:paraId="4E0855EF">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广东</w:t>
            </w:r>
          </w:p>
        </w:tc>
        <w:tc>
          <w:tcPr>
            <w:tcW w:w="4777" w:type="dxa"/>
            <w:tcBorders>
              <w:top w:val="single" w:color="auto" w:sz="8" w:space="0"/>
            </w:tcBorders>
            <w:vAlign w:val="center"/>
          </w:tcPr>
          <w:p w14:paraId="683D96C5">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0.0178</w:t>
            </w:r>
          </w:p>
        </w:tc>
      </w:tr>
      <w:tr w14:paraId="71E934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002D59EB">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b w:val="0"/>
                <w:i w:val="0"/>
                <w:sz w:val="21"/>
              </w:rPr>
              <w:t>全国其他</w:t>
            </w:r>
            <w:r>
              <w:rPr>
                <w:rFonts w:hint="default" w:ascii="Times New Roman" w:hAnsi="Times New Roman" w:cs="Times New Roman"/>
                <w:b w:val="0"/>
                <w:i w:val="0"/>
                <w:sz w:val="21"/>
                <w:lang w:val="en-US" w:eastAsia="zh-CN"/>
              </w:rPr>
              <w:t>地区</w:t>
            </w:r>
          </w:p>
        </w:tc>
        <w:tc>
          <w:tcPr>
            <w:tcW w:w="4777" w:type="dxa"/>
            <w:vAlign w:val="center"/>
          </w:tcPr>
          <w:p w14:paraId="2D55A1B4">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0.0056～0.0114</w:t>
            </w:r>
          </w:p>
        </w:tc>
      </w:tr>
      <w:tr w14:paraId="230C50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9554" w:type="dxa"/>
            <w:gridSpan w:val="2"/>
            <w:vAlign w:val="center"/>
          </w:tcPr>
          <w:p w14:paraId="6E1CB2FE">
            <w:pPr>
              <w:spacing w:after="0" w:line="240" w:lineRule="auto"/>
              <w:jc w:val="both"/>
              <w:rPr>
                <w:rFonts w:hint="default" w:ascii="Times New Roman" w:hAnsi="Times New Roman" w:eastAsia="宋体" w:cs="Times New Roman"/>
                <w:b w:val="0"/>
                <w:i w:val="0"/>
                <w:sz w:val="21"/>
              </w:rPr>
            </w:pPr>
            <w:r>
              <w:rPr>
                <w:rFonts w:hint="default" w:ascii="Times New Roman" w:hAnsi="Times New Roman" w:cs="Times New Roman"/>
                <w:b w:val="0"/>
                <w:i w:val="0"/>
                <w:sz w:val="21"/>
                <w:lang w:val="en-US" w:eastAsia="zh-CN"/>
              </w:rPr>
              <w:t>数据来源：《省级温室气体清单指南(试行)》</w:t>
            </w:r>
          </w:p>
        </w:tc>
      </w:tr>
    </w:tbl>
    <w:p w14:paraId="3D82F7F9">
      <w:pPr>
        <w:pStyle w:val="39"/>
        <w:bidi w:val="0"/>
      </w:pPr>
    </w:p>
    <w:p w14:paraId="5B09C540">
      <w:pPr>
        <w:pStyle w:val="83"/>
        <w:bidi w:val="0"/>
      </w:pPr>
      <w:r>
        <w:rPr>
          <w:rFonts w:hint="eastAsia"/>
        </w:rPr>
        <w:t>农田土壤 N</w:t>
      </w:r>
      <w:r>
        <w:rPr>
          <w:rFonts w:hint="eastAsia"/>
          <w:vertAlign w:val="subscript"/>
        </w:rPr>
        <w:t>2</w:t>
      </w:r>
      <w:r>
        <w:rPr>
          <w:rFonts w:hint="eastAsia"/>
        </w:rPr>
        <w:t>O</w:t>
      </w:r>
      <w:r>
        <w:rPr>
          <w:rFonts w:hint="eastAsia"/>
          <w:lang w:val="en-US" w:eastAsia="zh-CN"/>
        </w:rPr>
        <w:t xml:space="preserve"> </w:t>
      </w:r>
      <w:r>
        <w:rPr>
          <w:rFonts w:hint="eastAsia"/>
        </w:rPr>
        <w:t>间接排放因子</w:t>
      </w:r>
    </w:p>
    <w:tbl>
      <w:tblPr>
        <w:tblStyle w:val="29"/>
        <w:tblW w:w="488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69"/>
        <w:gridCol w:w="911"/>
        <w:gridCol w:w="1529"/>
        <w:gridCol w:w="927"/>
        <w:gridCol w:w="764"/>
        <w:gridCol w:w="1232"/>
      </w:tblGrid>
      <w:tr w14:paraId="7E88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2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81DAE">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排放因子</w:t>
            </w:r>
          </w:p>
        </w:tc>
        <w:tc>
          <w:tcPr>
            <w:tcW w:w="13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15566">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总体</w:t>
            </w:r>
          </w:p>
        </w:tc>
        <w:tc>
          <w:tcPr>
            <w:tcW w:w="16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A368E9">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详细信息</w:t>
            </w:r>
          </w:p>
        </w:tc>
      </w:tr>
      <w:tr w14:paraId="2CBE5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B3378">
            <w:pPr>
              <w:spacing w:after="0" w:line="240" w:lineRule="auto"/>
              <w:jc w:val="center"/>
              <w:rPr>
                <w:rFonts w:hint="default" w:ascii="Times New Roman" w:hAnsi="Times New Roman" w:eastAsia="黑体" w:cs="Times New Roman"/>
                <w:b/>
                <w:i w:val="0"/>
                <w:sz w:val="21"/>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97B30">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数值</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3807D">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范围</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07C38">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类别</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2A01A">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数值</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2B41B">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范围</w:t>
            </w:r>
          </w:p>
        </w:tc>
      </w:tr>
      <w:tr w14:paraId="1D242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623B0">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氮挥发沉降排放因子（CE</w:t>
            </w:r>
            <w:r>
              <w:rPr>
                <w:rFonts w:hint="default" w:ascii="Times New Roman" w:hAnsi="Times New Roman" w:eastAsia="宋体" w:cs="Times New Roman"/>
                <w:b w:val="0"/>
                <w:bCs w:val="0"/>
                <w:i w:val="0"/>
                <w:color w:val="auto"/>
                <w:sz w:val="21"/>
                <w:vertAlign w:val="subscript"/>
                <w:lang w:val="en-US" w:eastAsia="zh-CN"/>
              </w:rPr>
              <w:t>vol/dep</w:t>
            </w:r>
            <w:r>
              <w:rPr>
                <w:rFonts w:hint="default" w:ascii="Times New Roman" w:hAnsi="Times New Roman" w:eastAsia="宋体" w:cs="Times New Roman"/>
                <w:b w:val="0"/>
                <w:i w:val="0"/>
                <w:color w:val="auto"/>
                <w:sz w:val="21"/>
                <w:lang w:val="en-US" w:eastAsia="zh-CN"/>
              </w:rPr>
              <w:t>，kg N₂O-N/kg N）</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2A35">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0.014</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646A3">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0.011</w:t>
            </w:r>
            <w:r>
              <w:rPr>
                <w:rFonts w:hint="default" w:ascii="Times New Roman" w:hAnsi="Times New Roman" w:eastAsia="微软雅黑"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0.017</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0440">
            <w:pPr>
              <w:spacing w:after="0" w:line="240" w:lineRule="auto"/>
              <w:jc w:val="both"/>
              <w:rPr>
                <w:rFonts w:hint="default" w:ascii="Times New Roman" w:hAnsi="Times New Roman" w:eastAsia="宋体" w:cs="Times New Roman"/>
                <w:b w:val="0"/>
                <w:i w:val="0"/>
                <w:color w:val="auto"/>
                <w:sz w:val="21"/>
                <w:lang w:val="en-US" w:eastAsia="zh-CN"/>
              </w:rPr>
            </w:pPr>
            <w:r>
              <w:rPr>
                <w:rFonts w:hint="default" w:ascii="Times New Roman" w:hAnsi="Times New Roman" w:eastAsia="宋体" w:cs="Times New Roman"/>
                <w:b w:val="0"/>
                <w:i w:val="0"/>
                <w:color w:val="auto"/>
                <w:sz w:val="21"/>
                <w:lang w:val="en-US" w:eastAsia="zh-CN"/>
              </w:rPr>
              <w:t>—</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400A">
            <w:pPr>
              <w:spacing w:after="0" w:line="240" w:lineRule="auto"/>
              <w:jc w:val="both"/>
              <w:rPr>
                <w:rFonts w:hint="default" w:ascii="Times New Roman" w:hAnsi="Times New Roman" w:eastAsia="宋体" w:cs="Times New Roman"/>
                <w:b w:val="0"/>
                <w:i w:val="0"/>
                <w:color w:val="auto"/>
                <w:sz w:val="21"/>
                <w:lang w:val="en-US" w:eastAsia="zh-CN"/>
              </w:rPr>
            </w:pPr>
            <w:r>
              <w:rPr>
                <w:rFonts w:hint="default" w:ascii="Times New Roman" w:hAnsi="Times New Roman" w:eastAsia="宋体" w:cs="Times New Roman"/>
                <w:b w:val="0"/>
                <w:i w:val="0"/>
                <w:color w:val="auto"/>
                <w:sz w:val="21"/>
                <w:lang w:val="en-US" w:eastAsia="zh-CN"/>
              </w:rPr>
              <w:t>—</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F7E7D">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r>
      <w:tr w14:paraId="1790B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3E3CF">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氮淋溶及流失排放因子（CE</w:t>
            </w:r>
            <w:r>
              <w:rPr>
                <w:rFonts w:hint="default" w:ascii="Times New Roman" w:hAnsi="Times New Roman" w:eastAsia="宋体" w:cs="Times New Roman"/>
                <w:b w:val="0"/>
                <w:i w:val="0"/>
                <w:color w:val="auto"/>
                <w:sz w:val="21"/>
                <w:vertAlign w:val="subscript"/>
                <w:lang w:val="en-US" w:eastAsia="zh-CN"/>
              </w:rPr>
              <w:t>leach/run</w:t>
            </w:r>
            <w:r>
              <w:rPr>
                <w:rFonts w:hint="default" w:ascii="Times New Roman" w:hAnsi="Times New Roman" w:eastAsia="宋体" w:cs="Times New Roman"/>
                <w:b w:val="0"/>
                <w:i w:val="0"/>
                <w:color w:val="auto"/>
                <w:sz w:val="21"/>
                <w:lang w:val="en-US" w:eastAsia="zh-CN"/>
              </w:rPr>
              <w:t>，kg N₂O-N/kg N）</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D6436">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0.011</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4D181">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0.000</w:t>
            </w:r>
            <w:r>
              <w:rPr>
                <w:rFonts w:hint="default" w:ascii="Times New Roman" w:hAnsi="Times New Roman" w:eastAsia="微软雅黑"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0.020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8E54">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3ED41">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37833">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r>
      <w:tr w14:paraId="5767D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BB2B6">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化肥气态氮损失比例（Frac</w:t>
            </w:r>
            <w:r>
              <w:rPr>
                <w:rFonts w:hint="default" w:ascii="Times New Roman" w:hAnsi="Times New Roman" w:eastAsia="宋体" w:cs="Times New Roman"/>
                <w:b w:val="0"/>
                <w:i w:val="0"/>
                <w:color w:val="auto"/>
                <w:sz w:val="21"/>
                <w:vertAlign w:val="subscript"/>
                <w:lang w:val="en-US" w:eastAsia="zh-CN"/>
              </w:rPr>
              <w:t>SN</w:t>
            </w:r>
            <w:r>
              <w:rPr>
                <w:rFonts w:hint="default" w:ascii="Times New Roman" w:hAnsi="Times New Roman" w:eastAsia="宋体" w:cs="Times New Roman"/>
                <w:b w:val="0"/>
                <w:i w:val="0"/>
                <w:color w:val="auto"/>
                <w:sz w:val="21"/>
                <w:lang w:val="en-US" w:eastAsia="zh-CN"/>
              </w:rPr>
              <w:t>，无量纲）</w:t>
            </w: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1BD0">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0.110</w:t>
            </w:r>
          </w:p>
        </w:tc>
        <w:tc>
          <w:tcPr>
            <w:tcW w:w="83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C87A">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0.02</w:t>
            </w:r>
            <w:r>
              <w:rPr>
                <w:rFonts w:hint="default" w:ascii="Times New Roman" w:hAnsi="Times New Roman" w:eastAsia="微软雅黑"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0.33</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4A63">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尿素</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D4E9">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0.150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46C7E">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0.03-0.43</w:t>
            </w:r>
          </w:p>
        </w:tc>
      </w:tr>
      <w:tr w14:paraId="65F9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38341">
            <w:pPr>
              <w:spacing w:after="0" w:line="240" w:lineRule="auto"/>
              <w:jc w:val="both"/>
              <w:rPr>
                <w:rFonts w:hint="default" w:ascii="Times New Roman" w:hAnsi="Times New Roman" w:eastAsia="宋体" w:cs="Times New Roman"/>
                <w:b w:val="0"/>
                <w:i w:val="0"/>
                <w:color w:val="auto"/>
                <w:sz w:val="21"/>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0B40">
            <w:pPr>
              <w:spacing w:after="0" w:line="240" w:lineRule="auto"/>
              <w:jc w:val="both"/>
              <w:rPr>
                <w:rFonts w:hint="default" w:ascii="Times New Roman" w:hAnsi="Times New Roman" w:eastAsia="宋体" w:cs="Times New Roman"/>
                <w:b w:val="0"/>
                <w:i w:val="0"/>
                <w:color w:val="auto"/>
                <w:sz w:val="21"/>
              </w:rPr>
            </w:pPr>
          </w:p>
        </w:tc>
        <w:tc>
          <w:tcPr>
            <w:tcW w:w="8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6CF78">
            <w:pPr>
              <w:spacing w:after="0" w:line="240" w:lineRule="auto"/>
              <w:jc w:val="both"/>
              <w:rPr>
                <w:rFonts w:hint="default" w:ascii="Times New Roman" w:hAnsi="Times New Roman" w:eastAsia="宋体" w:cs="Times New Roman"/>
                <w:b w:val="0"/>
                <w:i w:val="0"/>
                <w:color w:val="auto"/>
                <w:sz w:val="21"/>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357B">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铵盐</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23D8">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0.080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14275">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0.02-0.30</w:t>
            </w:r>
          </w:p>
        </w:tc>
      </w:tr>
      <w:tr w14:paraId="1B294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7CDE8">
            <w:pPr>
              <w:spacing w:after="0" w:line="240" w:lineRule="auto"/>
              <w:jc w:val="both"/>
              <w:rPr>
                <w:rFonts w:hint="default" w:ascii="Times New Roman" w:hAnsi="Times New Roman" w:eastAsia="宋体" w:cs="Times New Roman"/>
                <w:b w:val="0"/>
                <w:i w:val="0"/>
                <w:color w:val="auto"/>
                <w:sz w:val="21"/>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C9653">
            <w:pPr>
              <w:spacing w:after="0" w:line="240" w:lineRule="auto"/>
              <w:jc w:val="both"/>
              <w:rPr>
                <w:rFonts w:hint="default" w:ascii="Times New Roman" w:hAnsi="Times New Roman" w:eastAsia="宋体" w:cs="Times New Roman"/>
                <w:b w:val="0"/>
                <w:i w:val="0"/>
                <w:color w:val="auto"/>
                <w:sz w:val="21"/>
              </w:rPr>
            </w:pPr>
          </w:p>
        </w:tc>
        <w:tc>
          <w:tcPr>
            <w:tcW w:w="8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C6A99">
            <w:pPr>
              <w:spacing w:after="0" w:line="240" w:lineRule="auto"/>
              <w:jc w:val="both"/>
              <w:rPr>
                <w:rFonts w:hint="default" w:ascii="Times New Roman" w:hAnsi="Times New Roman" w:eastAsia="宋体" w:cs="Times New Roman"/>
                <w:b w:val="0"/>
                <w:i w:val="0"/>
                <w:color w:val="auto"/>
                <w:sz w:val="21"/>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0CF54">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硝酸盐</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02F9">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0.010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5683C">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0.00-0.02</w:t>
            </w:r>
          </w:p>
        </w:tc>
      </w:tr>
      <w:tr w14:paraId="600D0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58C2A">
            <w:pPr>
              <w:spacing w:after="0" w:line="240" w:lineRule="auto"/>
              <w:jc w:val="both"/>
              <w:rPr>
                <w:rFonts w:hint="default" w:ascii="Times New Roman" w:hAnsi="Times New Roman" w:eastAsia="宋体" w:cs="Times New Roman"/>
                <w:b w:val="0"/>
                <w:i w:val="0"/>
                <w:color w:val="auto"/>
                <w:sz w:val="21"/>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1579">
            <w:pPr>
              <w:spacing w:after="0" w:line="240" w:lineRule="auto"/>
              <w:jc w:val="both"/>
              <w:rPr>
                <w:rFonts w:hint="default" w:ascii="Times New Roman" w:hAnsi="Times New Roman" w:eastAsia="宋体" w:cs="Times New Roman"/>
                <w:b w:val="0"/>
                <w:i w:val="0"/>
                <w:color w:val="auto"/>
                <w:sz w:val="21"/>
              </w:rPr>
            </w:pPr>
          </w:p>
        </w:tc>
        <w:tc>
          <w:tcPr>
            <w:tcW w:w="8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FA7E">
            <w:pPr>
              <w:spacing w:after="0" w:line="240" w:lineRule="auto"/>
              <w:jc w:val="both"/>
              <w:rPr>
                <w:rFonts w:hint="default" w:ascii="Times New Roman" w:hAnsi="Times New Roman" w:eastAsia="宋体" w:cs="Times New Roman"/>
                <w:b w:val="0"/>
                <w:i w:val="0"/>
                <w:color w:val="auto"/>
                <w:sz w:val="21"/>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17D1">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硝酸铵</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EE86">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0.050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A8E2">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0.00-0.20</w:t>
            </w:r>
          </w:p>
        </w:tc>
      </w:tr>
      <w:tr w14:paraId="49287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C91CB">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有机肥气态氮损失比例（Frac</w:t>
            </w:r>
            <w:r>
              <w:rPr>
                <w:rFonts w:hint="default" w:ascii="Times New Roman" w:hAnsi="Times New Roman" w:eastAsia="宋体" w:cs="Times New Roman"/>
                <w:b w:val="0"/>
                <w:i w:val="0"/>
                <w:color w:val="auto"/>
                <w:sz w:val="21"/>
                <w:vertAlign w:val="subscript"/>
                <w:lang w:val="en-US" w:eastAsia="zh-CN"/>
              </w:rPr>
              <w:t>ON</w:t>
            </w:r>
            <w:r>
              <w:rPr>
                <w:rFonts w:hint="default" w:ascii="Times New Roman" w:hAnsi="Times New Roman" w:eastAsia="宋体" w:cs="Times New Roman"/>
                <w:b w:val="0"/>
                <w:i w:val="0"/>
                <w:color w:val="auto"/>
                <w:sz w:val="21"/>
                <w:lang w:val="en-US" w:eastAsia="zh-CN"/>
              </w:rPr>
              <w:t>，无量纲）</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1C3D7">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0.210</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8A90">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0.00</w:t>
            </w:r>
            <w:r>
              <w:rPr>
                <w:rFonts w:hint="default" w:ascii="Times New Roman" w:hAnsi="Times New Roman" w:eastAsia="微软雅黑"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0.31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D0985">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FE3D">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A5AC">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r>
      <w:tr w14:paraId="2B252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2A47E">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氮肥淋溶及流失比例（Frac</w:t>
            </w:r>
            <w:r>
              <w:rPr>
                <w:rFonts w:hint="default" w:ascii="Times New Roman" w:hAnsi="Times New Roman" w:eastAsia="宋体" w:cs="Times New Roman"/>
                <w:b w:val="0"/>
                <w:i w:val="0"/>
                <w:color w:val="auto"/>
                <w:sz w:val="21"/>
                <w:vertAlign w:val="subscript"/>
                <w:lang w:val="en-US" w:eastAsia="zh-CN"/>
              </w:rPr>
              <w:t>leach/run</w:t>
            </w:r>
            <w:r>
              <w:rPr>
                <w:rFonts w:hint="default" w:ascii="Times New Roman" w:hAnsi="Times New Roman" w:eastAsia="宋体" w:cs="Times New Roman"/>
                <w:b w:val="0"/>
                <w:i w:val="0"/>
                <w:color w:val="auto"/>
                <w:sz w:val="21"/>
                <w:lang w:val="en-US" w:eastAsia="zh-CN"/>
              </w:rPr>
              <w:t>，无量纲）</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85945">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0.240</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A7298">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0.01</w:t>
            </w:r>
            <w:r>
              <w:rPr>
                <w:rFonts w:hint="default" w:ascii="Times New Roman" w:hAnsi="Times New Roman" w:eastAsia="微软雅黑"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0.73</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91D3">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A036A">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BB89">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r>
      <w:tr w14:paraId="6A26F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0754E5">
            <w:pPr>
              <w:spacing w:after="0" w:line="240" w:lineRule="auto"/>
              <w:jc w:val="both"/>
              <w:rPr>
                <w:rFonts w:hint="default" w:ascii="Times New Roman" w:hAnsi="Times New Roman" w:eastAsia="宋体" w:cs="Times New Roman"/>
                <w:b w:val="0"/>
                <w:i w:val="0"/>
                <w:color w:val="auto"/>
                <w:sz w:val="21"/>
                <w:lang w:val="en-US" w:eastAsia="zh-CN"/>
              </w:rPr>
            </w:pPr>
            <w:r>
              <w:rPr>
                <w:rFonts w:hint="default" w:ascii="Times New Roman" w:hAnsi="Times New Roman" w:eastAsia="宋体" w:cs="Times New Roman"/>
                <w:b w:val="0"/>
                <w:i w:val="0"/>
                <w:color w:val="auto"/>
                <w:sz w:val="21"/>
                <w:lang w:val="en-US" w:eastAsia="zh-CN"/>
              </w:rPr>
              <w:t>数据来源</w:t>
            </w:r>
            <w:r>
              <w:rPr>
                <w:rFonts w:hint="default" w:ascii="Times New Roman" w:hAnsi="Times New Roman"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《2019 Refinement to the 2006 IPCC Guidelines for National Greenhouse Gas Inventories》</w:t>
            </w:r>
          </w:p>
        </w:tc>
      </w:tr>
    </w:tbl>
    <w:p w14:paraId="66CA1A62">
      <w:pPr>
        <w:pStyle w:val="39"/>
        <w:ind w:left="0" w:leftChars="0" w:firstLine="0" w:firstLineChars="0"/>
      </w:pPr>
    </w:p>
    <w:p w14:paraId="0B41F383">
      <w:pPr>
        <w:pStyle w:val="39"/>
        <w:ind w:left="0" w:leftChars="0" w:firstLine="0" w:firstLineChars="0"/>
      </w:pPr>
    </w:p>
    <w:p w14:paraId="6DA9EE7F">
      <w:pPr>
        <w:pStyle w:val="39"/>
        <w:ind w:left="0" w:leftChars="0" w:firstLine="0" w:firstLineChars="0"/>
      </w:pPr>
    </w:p>
    <w:p w14:paraId="170682FB">
      <w:pPr>
        <w:pStyle w:val="39"/>
        <w:ind w:left="0" w:leftChars="0" w:firstLine="0" w:firstLineChars="0"/>
      </w:pPr>
    </w:p>
    <w:p w14:paraId="1566AB02">
      <w:pPr>
        <w:pStyle w:val="39"/>
        <w:ind w:left="0" w:leftChars="0" w:firstLine="0" w:firstLineChars="0"/>
      </w:pPr>
    </w:p>
    <w:p w14:paraId="61567207">
      <w:pPr>
        <w:pStyle w:val="84"/>
        <w:bidi w:val="0"/>
      </w:pPr>
      <w:r>
        <w:rPr>
          <w:rFonts w:hint="eastAsia"/>
        </w:rPr>
        <w:t>肥料上游生产排放因子</w:t>
      </w:r>
    </w:p>
    <w:p w14:paraId="1523A744">
      <w:pPr>
        <w:pStyle w:val="83"/>
        <w:bidi w:val="0"/>
      </w:pPr>
      <w:r>
        <w:rPr>
          <w:rFonts w:hint="eastAsia"/>
        </w:rPr>
        <w:t>化肥上游生产排放因子</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70"/>
        <w:gridCol w:w="4664"/>
      </w:tblGrid>
      <w:tr w14:paraId="4B5BC6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tblHeader/>
          <w:jc w:val="center"/>
        </w:trPr>
        <w:tc>
          <w:tcPr>
            <w:tcW w:w="4777" w:type="dxa"/>
            <w:tcBorders>
              <w:bottom w:val="single" w:color="auto" w:sz="8" w:space="0"/>
            </w:tcBorders>
            <w:vAlign w:val="center"/>
          </w:tcPr>
          <w:p w14:paraId="120E3F55">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肥料</w:t>
            </w:r>
          </w:p>
        </w:tc>
        <w:tc>
          <w:tcPr>
            <w:tcW w:w="4777" w:type="dxa"/>
            <w:tcBorders>
              <w:bottom w:val="single" w:color="auto" w:sz="8" w:space="0"/>
            </w:tcBorders>
            <w:vAlign w:val="center"/>
          </w:tcPr>
          <w:p w14:paraId="751C7D62">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排放因子（kg CO</w:t>
            </w:r>
            <w:r>
              <w:rPr>
                <w:rFonts w:hint="default" w:ascii="Times New Roman" w:hAnsi="Times New Roman" w:eastAsia="黑体" w:cs="Times New Roman"/>
                <w:b/>
                <w:i w:val="0"/>
                <w:sz w:val="21"/>
                <w:vertAlign w:val="subscript"/>
                <w:lang w:val="en-US" w:eastAsia="zh-CN"/>
              </w:rPr>
              <w:t>2</w:t>
            </w:r>
            <w:r>
              <w:rPr>
                <w:rFonts w:hint="default" w:ascii="Times New Roman" w:hAnsi="Times New Roman" w:eastAsia="黑体" w:cs="Times New Roman"/>
                <w:b/>
                <w:i w:val="0"/>
                <w:sz w:val="21"/>
              </w:rPr>
              <w:t>e/kg 养分）</w:t>
            </w:r>
          </w:p>
        </w:tc>
      </w:tr>
      <w:tr w14:paraId="1609F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tcBorders>
              <w:top w:val="single" w:color="auto" w:sz="8" w:space="0"/>
            </w:tcBorders>
            <w:vAlign w:val="center"/>
          </w:tcPr>
          <w:p w14:paraId="2B4C063C">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尿素（氮肥）</w:t>
            </w:r>
          </w:p>
        </w:tc>
        <w:tc>
          <w:tcPr>
            <w:tcW w:w="4777" w:type="dxa"/>
            <w:tcBorders>
              <w:top w:val="single" w:color="auto" w:sz="8" w:space="0"/>
            </w:tcBorders>
            <w:vAlign w:val="center"/>
          </w:tcPr>
          <w:p w14:paraId="72CED7D7">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2.79</w:t>
            </w:r>
          </w:p>
        </w:tc>
      </w:tr>
      <w:tr w14:paraId="68D9F7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1F522A9E">
            <w:pPr>
              <w:spacing w:after="0" w:line="240" w:lineRule="auto"/>
              <w:jc w:val="both"/>
              <w:rPr>
                <w:rFonts w:hint="default" w:ascii="Times New Roman" w:hAnsi="Times New Roman" w:cs="Times New Roman"/>
              </w:rPr>
            </w:pPr>
            <w:r>
              <w:rPr>
                <w:rFonts w:hint="default" w:ascii="Times New Roman" w:hAnsi="Times New Roman" w:cs="Times New Roman"/>
                <w:b w:val="0"/>
                <w:i w:val="0"/>
                <w:sz w:val="21"/>
                <w:lang w:val="en-US" w:eastAsia="zh-CN"/>
              </w:rPr>
              <w:t>硝酸铵</w:t>
            </w:r>
            <w:r>
              <w:rPr>
                <w:rFonts w:hint="default" w:ascii="Times New Roman" w:hAnsi="Times New Roman" w:eastAsia="宋体" w:cs="Times New Roman"/>
                <w:b w:val="0"/>
                <w:i w:val="0"/>
                <w:sz w:val="21"/>
              </w:rPr>
              <w:t>（氮肥）</w:t>
            </w:r>
          </w:p>
        </w:tc>
        <w:tc>
          <w:tcPr>
            <w:tcW w:w="4777" w:type="dxa"/>
            <w:vAlign w:val="center"/>
          </w:tcPr>
          <w:p w14:paraId="396EF13E">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3.89</w:t>
            </w:r>
          </w:p>
        </w:tc>
      </w:tr>
      <w:tr w14:paraId="547EED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2E959FD2">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无机氮肥</w:t>
            </w:r>
          </w:p>
        </w:tc>
        <w:tc>
          <w:tcPr>
            <w:tcW w:w="4777" w:type="dxa"/>
            <w:vAlign w:val="center"/>
          </w:tcPr>
          <w:p w14:paraId="380656F6">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10.80</w:t>
            </w:r>
          </w:p>
        </w:tc>
      </w:tr>
      <w:tr w14:paraId="4DF03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5738A879">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磷酸二铵（磷肥）</w:t>
            </w:r>
          </w:p>
        </w:tc>
        <w:tc>
          <w:tcPr>
            <w:tcW w:w="4777" w:type="dxa"/>
            <w:vAlign w:val="center"/>
          </w:tcPr>
          <w:p w14:paraId="6D42FC54">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2.06</w:t>
            </w:r>
          </w:p>
        </w:tc>
      </w:tr>
      <w:tr w14:paraId="0C644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79FC62DD">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无机磷肥（P</w:t>
            </w:r>
            <w:r>
              <w:rPr>
                <w:rFonts w:hint="default" w:ascii="Times New Roman" w:hAnsi="Times New Roman" w:cs="Times New Roman"/>
                <w:b w:val="0"/>
                <w:i w:val="0"/>
                <w:sz w:val="21"/>
                <w:vertAlign w:val="subscript"/>
                <w:lang w:val="en-US" w:eastAsia="zh-CN"/>
              </w:rPr>
              <w:t>2</w:t>
            </w:r>
            <w:r>
              <w:rPr>
                <w:rFonts w:hint="default" w:ascii="Times New Roman" w:hAnsi="Times New Roman" w:cs="Times New Roman"/>
                <w:b w:val="0"/>
                <w:i w:val="0"/>
                <w:sz w:val="21"/>
                <w:lang w:val="en-US" w:eastAsia="zh-CN"/>
              </w:rPr>
              <w:t>O</w:t>
            </w:r>
            <w:r>
              <w:rPr>
                <w:rFonts w:hint="default" w:ascii="Times New Roman" w:hAnsi="Times New Roman" w:cs="Times New Roman"/>
                <w:b w:val="0"/>
                <w:i w:val="0"/>
                <w:sz w:val="21"/>
                <w:vertAlign w:val="subscript"/>
                <w:lang w:val="en-US" w:eastAsia="zh-CN"/>
              </w:rPr>
              <w:t>5</w:t>
            </w:r>
            <w:r>
              <w:rPr>
                <w:rFonts w:hint="default" w:ascii="Times New Roman" w:hAnsi="Times New Roman" w:cs="Times New Roman"/>
                <w:b w:val="0"/>
                <w:i w:val="0"/>
                <w:sz w:val="21"/>
                <w:lang w:val="en-US" w:eastAsia="zh-CN"/>
              </w:rPr>
              <w:t>）</w:t>
            </w:r>
          </w:p>
        </w:tc>
        <w:tc>
          <w:tcPr>
            <w:tcW w:w="4777" w:type="dxa"/>
            <w:vAlign w:val="center"/>
          </w:tcPr>
          <w:p w14:paraId="64D79EF9">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4.18</w:t>
            </w:r>
          </w:p>
        </w:tc>
      </w:tr>
      <w:tr w14:paraId="2CBB45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4203844B">
            <w:pPr>
              <w:spacing w:after="0" w:line="240" w:lineRule="auto"/>
              <w:jc w:val="both"/>
              <w:rPr>
                <w:rFonts w:hint="default" w:ascii="Times New Roman" w:hAnsi="Times New Roman" w:cs="Times New Roman"/>
              </w:rPr>
            </w:pPr>
            <w:r>
              <w:rPr>
                <w:rFonts w:hint="default" w:ascii="Times New Roman" w:hAnsi="Times New Roman" w:cs="Times New Roman"/>
                <w:b w:val="0"/>
                <w:i w:val="0"/>
                <w:sz w:val="21"/>
                <w:lang w:val="en-US" w:eastAsia="zh-CN"/>
              </w:rPr>
              <w:t>硝酸</w:t>
            </w:r>
            <w:r>
              <w:rPr>
                <w:rFonts w:hint="default" w:ascii="Times New Roman" w:hAnsi="Times New Roman" w:eastAsia="宋体" w:cs="Times New Roman"/>
                <w:b w:val="0"/>
                <w:i w:val="0"/>
                <w:sz w:val="21"/>
              </w:rPr>
              <w:t>钾（钾肥）</w:t>
            </w:r>
          </w:p>
        </w:tc>
        <w:tc>
          <w:tcPr>
            <w:tcW w:w="4777" w:type="dxa"/>
            <w:vAlign w:val="center"/>
          </w:tcPr>
          <w:p w14:paraId="2F8231F1">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3.12</w:t>
            </w:r>
          </w:p>
        </w:tc>
      </w:tr>
      <w:tr w14:paraId="5C13C4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30756149">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无机钾肥（K</w:t>
            </w:r>
            <w:r>
              <w:rPr>
                <w:rFonts w:hint="default" w:ascii="Times New Roman" w:hAnsi="Times New Roman" w:cs="Times New Roman"/>
                <w:b w:val="0"/>
                <w:i w:val="0"/>
                <w:sz w:val="21"/>
                <w:vertAlign w:val="subscript"/>
                <w:lang w:val="en-US" w:eastAsia="zh-CN"/>
              </w:rPr>
              <w:t>2</w:t>
            </w:r>
            <w:r>
              <w:rPr>
                <w:rFonts w:hint="default" w:ascii="Times New Roman" w:hAnsi="Times New Roman" w:cs="Times New Roman"/>
                <w:b w:val="0"/>
                <w:i w:val="0"/>
                <w:sz w:val="21"/>
                <w:lang w:val="en-US" w:eastAsia="zh-CN"/>
              </w:rPr>
              <w:t>O）</w:t>
            </w:r>
          </w:p>
        </w:tc>
        <w:tc>
          <w:tcPr>
            <w:tcW w:w="4777" w:type="dxa"/>
            <w:vAlign w:val="center"/>
          </w:tcPr>
          <w:p w14:paraId="314D0EFE">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9.29</w:t>
            </w:r>
          </w:p>
        </w:tc>
      </w:tr>
      <w:tr w14:paraId="3702FC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13E1DDE7">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复合肥（NPK 15-15-15）</w:t>
            </w:r>
          </w:p>
        </w:tc>
        <w:tc>
          <w:tcPr>
            <w:tcW w:w="4777" w:type="dxa"/>
            <w:vAlign w:val="center"/>
          </w:tcPr>
          <w:p w14:paraId="7F457428">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2.00</w:t>
            </w:r>
          </w:p>
        </w:tc>
      </w:tr>
      <w:tr w14:paraId="0604F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4629873E">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复合肥（NPK 26-15-15）</w:t>
            </w:r>
          </w:p>
        </w:tc>
        <w:tc>
          <w:tcPr>
            <w:tcW w:w="4777" w:type="dxa"/>
            <w:vAlign w:val="center"/>
          </w:tcPr>
          <w:p w14:paraId="2F503208">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3.41</w:t>
            </w:r>
          </w:p>
        </w:tc>
      </w:tr>
      <w:tr w14:paraId="36E223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9554" w:type="dxa"/>
            <w:gridSpan w:val="2"/>
            <w:vAlign w:val="center"/>
          </w:tcPr>
          <w:p w14:paraId="2CBB3C18">
            <w:pPr>
              <w:spacing w:after="0" w:line="240" w:lineRule="auto"/>
              <w:jc w:val="both"/>
              <w:rPr>
                <w:rFonts w:hint="default" w:ascii="Times New Roman" w:hAnsi="Times New Roman" w:eastAsia="宋体" w:cs="Times New Roman"/>
                <w:lang w:val="en-US" w:eastAsia="zh-CN"/>
              </w:rPr>
            </w:pPr>
            <w:r>
              <w:rPr>
                <w:rFonts w:hint="default" w:ascii="Times New Roman" w:hAnsi="Times New Roman" w:cs="Times New Roman"/>
                <w:b w:val="0"/>
                <w:i w:val="0"/>
                <w:sz w:val="21"/>
                <w:lang w:val="en-US" w:eastAsia="zh-CN"/>
              </w:rPr>
              <w:t>数据来源：ecoinvent v3.12 cutoff 数据库 中国或全球数据。</w:t>
            </w:r>
          </w:p>
        </w:tc>
      </w:tr>
    </w:tbl>
    <w:p w14:paraId="3DA10532">
      <w:pPr>
        <w:pStyle w:val="39"/>
        <w:ind w:left="0" w:leftChars="0" w:firstLine="0" w:firstLineChars="0"/>
      </w:pPr>
    </w:p>
    <w:p w14:paraId="60C3BCC4">
      <w:pPr>
        <w:pStyle w:val="84"/>
        <w:bidi w:val="0"/>
      </w:pPr>
      <w:r>
        <w:rPr>
          <w:rFonts w:hint="eastAsia"/>
        </w:rPr>
        <w:t>能源排放因子</w:t>
      </w:r>
    </w:p>
    <w:p w14:paraId="4905CF15">
      <w:pPr>
        <w:pStyle w:val="83"/>
        <w:bidi w:val="0"/>
      </w:pPr>
      <w:r>
        <w:rPr>
          <w:rFonts w:hint="eastAsia"/>
        </w:rPr>
        <w:t>能源排放因子</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8"/>
        <w:gridCol w:w="4676"/>
      </w:tblGrid>
      <w:tr w14:paraId="0E414E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tblHeader/>
          <w:jc w:val="center"/>
        </w:trPr>
        <w:tc>
          <w:tcPr>
            <w:tcW w:w="4776" w:type="dxa"/>
            <w:tcBorders>
              <w:bottom w:val="single" w:color="auto" w:sz="8" w:space="0"/>
            </w:tcBorders>
            <w:vAlign w:val="center"/>
          </w:tcPr>
          <w:p w14:paraId="1C3D9D3E">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能源</w:t>
            </w:r>
          </w:p>
        </w:tc>
        <w:tc>
          <w:tcPr>
            <w:tcW w:w="4778" w:type="dxa"/>
            <w:tcBorders>
              <w:bottom w:val="single" w:color="auto" w:sz="8" w:space="0"/>
            </w:tcBorders>
            <w:vAlign w:val="center"/>
          </w:tcPr>
          <w:p w14:paraId="4615FCA8">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排放因子</w:t>
            </w:r>
          </w:p>
        </w:tc>
      </w:tr>
      <w:tr w14:paraId="70CA0B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tcBorders>
              <w:top w:val="single" w:color="auto" w:sz="8" w:space="0"/>
            </w:tcBorders>
            <w:vAlign w:val="center"/>
          </w:tcPr>
          <w:p w14:paraId="04C4AE8D">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广东电网（电力）</w:t>
            </w:r>
          </w:p>
        </w:tc>
        <w:tc>
          <w:tcPr>
            <w:tcW w:w="4778" w:type="dxa"/>
            <w:tcBorders>
              <w:top w:val="single" w:color="auto" w:sz="8" w:space="0"/>
            </w:tcBorders>
            <w:vAlign w:val="center"/>
          </w:tcPr>
          <w:p w14:paraId="107EB74D">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0.4403 kg CO₂e/kW·h</w:t>
            </w:r>
          </w:p>
        </w:tc>
      </w:tr>
      <w:tr w14:paraId="406819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597A6A77">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柴油（</w:t>
            </w:r>
            <w:r>
              <w:rPr>
                <w:rFonts w:hint="default" w:ascii="Times New Roman" w:hAnsi="Times New Roman" w:cs="Times New Roman"/>
                <w:b w:val="0"/>
                <w:i w:val="0"/>
                <w:sz w:val="21"/>
                <w:lang w:val="en-US" w:eastAsia="zh-CN"/>
              </w:rPr>
              <w:t>固定源</w:t>
            </w:r>
            <w:r>
              <w:rPr>
                <w:rFonts w:hint="default" w:ascii="Times New Roman" w:hAnsi="Times New Roman" w:eastAsia="宋体" w:cs="Times New Roman"/>
                <w:b w:val="0"/>
                <w:i w:val="0"/>
                <w:sz w:val="21"/>
              </w:rPr>
              <w:t>）</w:t>
            </w:r>
          </w:p>
        </w:tc>
        <w:tc>
          <w:tcPr>
            <w:tcW w:w="4778" w:type="dxa"/>
            <w:vAlign w:val="center"/>
          </w:tcPr>
          <w:p w14:paraId="5997F1F3">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b w:val="0"/>
                <w:i w:val="0"/>
                <w:sz w:val="21"/>
              </w:rPr>
              <w:t>3.</w:t>
            </w:r>
            <w:r>
              <w:rPr>
                <w:rFonts w:hint="default" w:ascii="Times New Roman" w:hAnsi="Times New Roman" w:cs="Times New Roman"/>
                <w:b w:val="0"/>
                <w:i w:val="0"/>
                <w:sz w:val="21"/>
                <w:lang w:val="en-US" w:eastAsia="zh-CN"/>
              </w:rPr>
              <w:t>1081</w:t>
            </w:r>
            <w:r>
              <w:rPr>
                <w:rFonts w:hint="default" w:ascii="Times New Roman" w:hAnsi="Times New Roman" w:eastAsia="宋体" w:cs="Times New Roman"/>
                <w:b w:val="0"/>
                <w:i w:val="0"/>
                <w:sz w:val="21"/>
              </w:rPr>
              <w:t xml:space="preserve"> kg CO₂e/</w:t>
            </w:r>
            <w:r>
              <w:rPr>
                <w:rFonts w:hint="default" w:ascii="Times New Roman" w:hAnsi="Times New Roman" w:cs="Times New Roman"/>
                <w:b w:val="0"/>
                <w:i w:val="0"/>
                <w:sz w:val="21"/>
                <w:lang w:val="en-US" w:eastAsia="zh-CN"/>
              </w:rPr>
              <w:t>kg</w:t>
            </w:r>
          </w:p>
        </w:tc>
      </w:tr>
      <w:tr w14:paraId="15596D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4582C9C4">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柴油（非道路移动源）</w:t>
            </w:r>
          </w:p>
        </w:tc>
        <w:tc>
          <w:tcPr>
            <w:tcW w:w="4778" w:type="dxa"/>
            <w:vAlign w:val="center"/>
          </w:tcPr>
          <w:p w14:paraId="0CA5599F">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 xml:space="preserve">3.1480 </w:t>
            </w:r>
            <w:r>
              <w:rPr>
                <w:rFonts w:hint="default" w:ascii="Times New Roman" w:hAnsi="Times New Roman" w:eastAsia="宋体" w:cs="Times New Roman"/>
                <w:b w:val="0"/>
                <w:i w:val="0"/>
                <w:sz w:val="21"/>
              </w:rPr>
              <w:t>kg CO₂e/</w:t>
            </w:r>
            <w:r>
              <w:rPr>
                <w:rFonts w:hint="default" w:ascii="Times New Roman" w:hAnsi="Times New Roman" w:cs="Times New Roman"/>
                <w:b w:val="0"/>
                <w:i w:val="0"/>
                <w:sz w:val="21"/>
                <w:lang w:val="en-US" w:eastAsia="zh-CN"/>
              </w:rPr>
              <w:t>kg</w:t>
            </w:r>
          </w:p>
        </w:tc>
      </w:tr>
      <w:tr w14:paraId="4D2F05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293B3043">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汽油（</w:t>
            </w:r>
            <w:r>
              <w:rPr>
                <w:rFonts w:hint="default" w:ascii="Times New Roman" w:hAnsi="Times New Roman" w:cs="Times New Roman"/>
                <w:b w:val="0"/>
                <w:i w:val="0"/>
                <w:sz w:val="21"/>
                <w:lang w:val="en-US" w:eastAsia="zh-CN"/>
              </w:rPr>
              <w:t>非道路-四冲程</w:t>
            </w:r>
            <w:r>
              <w:rPr>
                <w:rFonts w:hint="default" w:ascii="Times New Roman" w:hAnsi="Times New Roman" w:eastAsia="宋体" w:cs="Times New Roman"/>
                <w:b w:val="0"/>
                <w:i w:val="0"/>
                <w:sz w:val="21"/>
              </w:rPr>
              <w:t>）</w:t>
            </w:r>
          </w:p>
        </w:tc>
        <w:tc>
          <w:tcPr>
            <w:tcW w:w="4778" w:type="dxa"/>
            <w:vAlign w:val="center"/>
          </w:tcPr>
          <w:p w14:paraId="142EF1B9">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b w:val="0"/>
                <w:i w:val="0"/>
                <w:sz w:val="21"/>
              </w:rPr>
              <w:t>3.</w:t>
            </w:r>
            <w:r>
              <w:rPr>
                <w:rFonts w:hint="default" w:ascii="Times New Roman" w:hAnsi="Times New Roman" w:cs="Times New Roman"/>
                <w:b w:val="0"/>
                <w:i w:val="0"/>
                <w:sz w:val="21"/>
                <w:lang w:val="en-US" w:eastAsia="zh-CN"/>
              </w:rPr>
              <w:t>0127</w:t>
            </w:r>
            <w:r>
              <w:rPr>
                <w:rFonts w:hint="default" w:ascii="Times New Roman" w:hAnsi="Times New Roman" w:eastAsia="宋体" w:cs="Times New Roman"/>
                <w:b w:val="0"/>
                <w:i w:val="0"/>
                <w:sz w:val="21"/>
              </w:rPr>
              <w:t xml:space="preserve"> kg CO₂e/</w:t>
            </w:r>
            <w:r>
              <w:rPr>
                <w:rFonts w:hint="default" w:ascii="Times New Roman" w:hAnsi="Times New Roman" w:cs="Times New Roman"/>
                <w:b w:val="0"/>
                <w:i w:val="0"/>
                <w:sz w:val="21"/>
                <w:lang w:val="en-US" w:eastAsia="zh-CN"/>
              </w:rPr>
              <w:t>kg</w:t>
            </w:r>
          </w:p>
        </w:tc>
      </w:tr>
      <w:tr w14:paraId="1A030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6ACC020B">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汽油（</w:t>
            </w:r>
            <w:r>
              <w:rPr>
                <w:rFonts w:hint="default" w:ascii="Times New Roman" w:hAnsi="Times New Roman" w:cs="Times New Roman"/>
                <w:b w:val="0"/>
                <w:i w:val="0"/>
                <w:sz w:val="21"/>
                <w:lang w:val="en-US" w:eastAsia="zh-CN"/>
              </w:rPr>
              <w:t>非道路-二冲程</w:t>
            </w:r>
            <w:r>
              <w:rPr>
                <w:rFonts w:hint="default" w:ascii="Times New Roman" w:hAnsi="Times New Roman" w:eastAsia="宋体" w:cs="Times New Roman"/>
                <w:b w:val="0"/>
                <w:i w:val="0"/>
                <w:sz w:val="21"/>
              </w:rPr>
              <w:t>）</w:t>
            </w:r>
          </w:p>
        </w:tc>
        <w:tc>
          <w:tcPr>
            <w:tcW w:w="4778" w:type="dxa"/>
            <w:vAlign w:val="center"/>
          </w:tcPr>
          <w:p w14:paraId="5348AABF">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 xml:space="preserve">3.1608 </w:t>
            </w:r>
            <w:r>
              <w:rPr>
                <w:rFonts w:hint="default" w:ascii="Times New Roman" w:hAnsi="Times New Roman" w:eastAsia="宋体" w:cs="Times New Roman"/>
                <w:b w:val="0"/>
                <w:i w:val="0"/>
                <w:sz w:val="21"/>
              </w:rPr>
              <w:t>kg CO₂e/</w:t>
            </w:r>
            <w:r>
              <w:rPr>
                <w:rFonts w:hint="default" w:ascii="Times New Roman" w:hAnsi="Times New Roman" w:cs="Times New Roman"/>
                <w:b w:val="0"/>
                <w:i w:val="0"/>
                <w:sz w:val="21"/>
                <w:lang w:val="en-US" w:eastAsia="zh-CN"/>
              </w:rPr>
              <w:t>kg</w:t>
            </w:r>
          </w:p>
        </w:tc>
      </w:tr>
      <w:tr w14:paraId="338EFF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9554" w:type="dxa"/>
            <w:gridSpan w:val="2"/>
            <w:vAlign w:val="center"/>
          </w:tcPr>
          <w:p w14:paraId="58DB4B72">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注：本表汽油、柴油排放因子以单位质量（kg）燃料计。当燃料消耗量以体积（L）计量时，应按 20 ℃ 密度折算为质量后使用，柴油取 0.835 kg/L（按 0# 柴油密度计，其他牌号柴油同此取值），汽油取 0.725 kg/L（按 92# 汽油密度计，其他牌号汽油同此取值），即燃料消耗量（kg）= 燃料消耗量（L）× 上述密度值；如能获得燃料实测密度或结算吨升折算系数，宜优先采用实测值。</w:t>
            </w:r>
          </w:p>
          <w:p w14:paraId="779DD6E8">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数据来源：</w:t>
            </w:r>
          </w:p>
          <w:p w14:paraId="7CBD3FE2">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IPCC《气候变化报告 2021：自然科学基础 第一工作组对 IPCC第六次评估报告》；</w:t>
            </w:r>
          </w:p>
          <w:p w14:paraId="330ACA70">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生态环境部、国家统计局发布的《关于发布 2022年电力二氧化碳排放因子的公告》。</w:t>
            </w:r>
          </w:p>
        </w:tc>
      </w:tr>
    </w:tbl>
    <w:p w14:paraId="7FB476AF">
      <w:pPr>
        <w:pStyle w:val="39"/>
        <w:bidi w:val="0"/>
      </w:pPr>
    </w:p>
    <w:p w14:paraId="6569CB48">
      <w:pPr>
        <w:pStyle w:val="84"/>
        <w:bidi w:val="0"/>
      </w:pPr>
      <w:r>
        <w:rPr>
          <w:rFonts w:hint="eastAsia"/>
        </w:rPr>
        <w:t>包装材料与农业投入品排放因子</w:t>
      </w:r>
    </w:p>
    <w:p w14:paraId="5C22B7AD">
      <w:pPr>
        <w:pStyle w:val="83"/>
        <w:bidi w:val="0"/>
      </w:pPr>
      <w:r>
        <w:rPr>
          <w:rFonts w:hint="eastAsia"/>
        </w:rPr>
        <w:t>包装材料</w:t>
      </w:r>
      <w:r>
        <w:rPr>
          <w:rFonts w:hint="eastAsia"/>
          <w:lang w:val="en-US" w:eastAsia="zh-CN"/>
        </w:rPr>
        <w:t>与农业投入品</w:t>
      </w:r>
      <w:r>
        <w:rPr>
          <w:rFonts w:hint="eastAsia"/>
        </w:rPr>
        <w:t>排放因子</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8"/>
        <w:gridCol w:w="4676"/>
      </w:tblGrid>
      <w:tr w14:paraId="70C8F0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tblHeader/>
          <w:jc w:val="center"/>
        </w:trPr>
        <w:tc>
          <w:tcPr>
            <w:tcW w:w="4776" w:type="dxa"/>
            <w:tcBorders>
              <w:bottom w:val="single" w:color="auto" w:sz="8" w:space="0"/>
            </w:tcBorders>
            <w:vAlign w:val="center"/>
          </w:tcPr>
          <w:p w14:paraId="6A594294">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包装类型</w:t>
            </w:r>
          </w:p>
        </w:tc>
        <w:tc>
          <w:tcPr>
            <w:tcW w:w="4778" w:type="dxa"/>
            <w:tcBorders>
              <w:bottom w:val="single" w:color="auto" w:sz="8" w:space="0"/>
            </w:tcBorders>
            <w:vAlign w:val="center"/>
          </w:tcPr>
          <w:p w14:paraId="733D6DC3">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排放因子（kg CO</w:t>
            </w:r>
            <w:r>
              <w:rPr>
                <w:rFonts w:hint="default" w:ascii="Times New Roman" w:hAnsi="Times New Roman" w:eastAsia="黑体" w:cs="Times New Roman"/>
                <w:b/>
                <w:i w:val="0"/>
                <w:sz w:val="21"/>
                <w:vertAlign w:val="subscript"/>
                <w:lang w:val="en-US" w:eastAsia="zh-CN"/>
              </w:rPr>
              <w:t>2</w:t>
            </w:r>
            <w:r>
              <w:rPr>
                <w:rFonts w:hint="default" w:ascii="Times New Roman" w:hAnsi="Times New Roman" w:eastAsia="黑体" w:cs="Times New Roman"/>
                <w:b/>
                <w:i w:val="0"/>
                <w:sz w:val="21"/>
              </w:rPr>
              <w:t>e/kg）</w:t>
            </w:r>
          </w:p>
        </w:tc>
      </w:tr>
      <w:tr w14:paraId="047E6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tcBorders>
              <w:top w:val="single" w:color="auto" w:sz="8" w:space="0"/>
            </w:tcBorders>
            <w:vAlign w:val="center"/>
          </w:tcPr>
          <w:p w14:paraId="718AD579">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瓦楞纸箱</w:t>
            </w:r>
          </w:p>
        </w:tc>
        <w:tc>
          <w:tcPr>
            <w:tcW w:w="4778" w:type="dxa"/>
            <w:tcBorders>
              <w:top w:val="single" w:color="auto" w:sz="8" w:space="0"/>
            </w:tcBorders>
            <w:vAlign w:val="center"/>
          </w:tcPr>
          <w:p w14:paraId="46E03656">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1.3035</w:t>
            </w:r>
          </w:p>
        </w:tc>
      </w:tr>
      <w:tr w14:paraId="211F4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tcBorders>
              <w:top w:val="single" w:color="auto" w:sz="8" w:space="0"/>
            </w:tcBorders>
            <w:vAlign w:val="center"/>
          </w:tcPr>
          <w:p w14:paraId="118FA9CE">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EPE网套</w:t>
            </w:r>
          </w:p>
        </w:tc>
        <w:tc>
          <w:tcPr>
            <w:tcW w:w="4778" w:type="dxa"/>
            <w:tcBorders>
              <w:top w:val="single" w:color="auto" w:sz="8" w:space="0"/>
            </w:tcBorders>
            <w:vAlign w:val="center"/>
          </w:tcPr>
          <w:p w14:paraId="0D4879EA">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3.3031</w:t>
            </w:r>
          </w:p>
        </w:tc>
      </w:tr>
      <w:tr w14:paraId="7F6546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588D0EE7">
            <w:pPr>
              <w:spacing w:after="0" w:line="240" w:lineRule="auto"/>
              <w:jc w:val="both"/>
              <w:rPr>
                <w:rFonts w:hint="default" w:ascii="Times New Roman" w:hAnsi="Times New Roman" w:eastAsia="宋体" w:cs="Times New Roman"/>
                <w:lang w:val="en-US" w:eastAsia="zh-CN"/>
              </w:rPr>
            </w:pPr>
            <w:r>
              <w:rPr>
                <w:rFonts w:hint="default" w:ascii="Times New Roman" w:hAnsi="Times New Roman" w:cs="Times New Roman"/>
                <w:lang w:val="en-US" w:eastAsia="zh-CN"/>
              </w:rPr>
              <w:t>无纺布袋</w:t>
            </w:r>
          </w:p>
        </w:tc>
        <w:tc>
          <w:tcPr>
            <w:tcW w:w="4778" w:type="dxa"/>
            <w:vAlign w:val="center"/>
          </w:tcPr>
          <w:p w14:paraId="40321362">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4.2992</w:t>
            </w:r>
          </w:p>
        </w:tc>
      </w:tr>
      <w:tr w14:paraId="71A5E5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30674F35">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塑料袋</w:t>
            </w:r>
          </w:p>
        </w:tc>
        <w:tc>
          <w:tcPr>
            <w:tcW w:w="4778" w:type="dxa"/>
            <w:vAlign w:val="center"/>
          </w:tcPr>
          <w:p w14:paraId="7C911DCB">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0.0331</w:t>
            </w:r>
          </w:p>
        </w:tc>
      </w:tr>
      <w:tr w14:paraId="37248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9554" w:type="dxa"/>
            <w:gridSpan w:val="2"/>
            <w:vAlign w:val="center"/>
          </w:tcPr>
          <w:p w14:paraId="28610F57">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数据来源：ecoinvent v3.12 cutoff 数据库 中国或全球数据。</w:t>
            </w:r>
          </w:p>
          <w:p w14:paraId="7957020A">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其他未列出的包装材料与农业投入品，宜优先采用供应商提供的环境产品声明（EPD）、公开发布的本土生命周期数据库（如CPCD、CLCD）或ecoinvent数据库对应数据，并在核算报告中注明数据来源、技术代表性与不确定性；不宜采用无来源的缺省数值。</w:t>
            </w:r>
          </w:p>
        </w:tc>
      </w:tr>
    </w:tbl>
    <w:p w14:paraId="234CF293">
      <w:pPr>
        <w:pStyle w:val="39"/>
        <w:bidi w:val="0"/>
        <w:ind w:left="0" w:leftChars="0" w:firstLine="0" w:firstLineChars="0"/>
      </w:pPr>
    </w:p>
    <w:p w14:paraId="1D50E52C">
      <w:pPr>
        <w:pStyle w:val="84"/>
        <w:bidi w:val="0"/>
      </w:pPr>
      <w:r>
        <w:rPr>
          <w:rFonts w:hint="eastAsia"/>
        </w:rPr>
        <w:t>残体还田与生物量参数（缺省值）</w:t>
      </w:r>
    </w:p>
    <w:p w14:paraId="7E19B5B9">
      <w:pPr>
        <w:pStyle w:val="83"/>
        <w:bidi w:val="0"/>
      </w:pPr>
      <w:r>
        <w:rPr>
          <w:rFonts w:hint="eastAsia"/>
        </w:rPr>
        <w:t>残体还田与生物量参数缺省值</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0" w:type="dxa"/>
          <w:bottom w:w="0" w:type="dxa"/>
          <w:right w:w="100" w:type="dxa"/>
        </w:tblCellMar>
      </w:tblPr>
      <w:tblGrid>
        <w:gridCol w:w="2385"/>
        <w:gridCol w:w="650"/>
        <w:gridCol w:w="854"/>
        <w:gridCol w:w="1028"/>
        <w:gridCol w:w="1595"/>
        <w:gridCol w:w="2822"/>
      </w:tblGrid>
      <w:tr w14:paraId="3702BA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2385" w:type="dxa"/>
            <w:tcBorders>
              <w:bottom w:val="single" w:color="auto" w:sz="8" w:space="0"/>
            </w:tcBorders>
            <w:vAlign w:val="top"/>
          </w:tcPr>
          <w:p w14:paraId="462FABF0">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参数</w:t>
            </w:r>
          </w:p>
        </w:tc>
        <w:tc>
          <w:tcPr>
            <w:tcW w:w="650" w:type="dxa"/>
            <w:tcBorders>
              <w:bottom w:val="single" w:color="auto" w:sz="8" w:space="0"/>
            </w:tcBorders>
            <w:vAlign w:val="top"/>
          </w:tcPr>
          <w:p w14:paraId="3F7097FD">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符号</w:t>
            </w:r>
          </w:p>
        </w:tc>
        <w:tc>
          <w:tcPr>
            <w:tcW w:w="854" w:type="dxa"/>
            <w:tcBorders>
              <w:bottom w:val="single" w:color="auto" w:sz="8" w:space="0"/>
            </w:tcBorders>
            <w:vAlign w:val="top"/>
          </w:tcPr>
          <w:p w14:paraId="6BFB6C6A">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缺省值</w:t>
            </w:r>
          </w:p>
        </w:tc>
        <w:tc>
          <w:tcPr>
            <w:tcW w:w="1028" w:type="dxa"/>
            <w:tcBorders>
              <w:bottom w:val="single" w:color="auto" w:sz="8" w:space="0"/>
            </w:tcBorders>
            <w:vAlign w:val="top"/>
          </w:tcPr>
          <w:p w14:paraId="50366661">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单位</w:t>
            </w:r>
          </w:p>
        </w:tc>
        <w:tc>
          <w:tcPr>
            <w:tcW w:w="1595" w:type="dxa"/>
            <w:tcBorders>
              <w:bottom w:val="single" w:color="auto" w:sz="8" w:space="0"/>
            </w:tcBorders>
            <w:vAlign w:val="top"/>
          </w:tcPr>
          <w:p w14:paraId="39F4C79B">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取值范围</w:t>
            </w:r>
          </w:p>
        </w:tc>
        <w:tc>
          <w:tcPr>
            <w:tcW w:w="2822" w:type="dxa"/>
            <w:tcBorders>
              <w:bottom w:val="single" w:color="auto" w:sz="8" w:space="0"/>
            </w:tcBorders>
            <w:vAlign w:val="top"/>
          </w:tcPr>
          <w:p w14:paraId="3C2382ED">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来源与说明</w:t>
            </w:r>
          </w:p>
        </w:tc>
      </w:tr>
      <w:tr w14:paraId="35502B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tcBorders>
              <w:top w:val="single" w:color="auto" w:sz="8" w:space="0"/>
            </w:tcBorders>
            <w:vAlign w:val="center"/>
          </w:tcPr>
          <w:p w14:paraId="6759D6B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收获指数（鲜果占地上部生物量比例）</w:t>
            </w:r>
          </w:p>
        </w:tc>
        <w:tc>
          <w:tcPr>
            <w:tcW w:w="650" w:type="dxa"/>
            <w:tcBorders>
              <w:top w:val="single" w:color="auto" w:sz="8" w:space="0"/>
            </w:tcBorders>
            <w:vAlign w:val="center"/>
          </w:tcPr>
          <w:p w14:paraId="2485BE30">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E</w:t>
            </w:r>
          </w:p>
        </w:tc>
        <w:tc>
          <w:tcPr>
            <w:tcW w:w="854" w:type="dxa"/>
            <w:tcBorders>
              <w:top w:val="single" w:color="auto" w:sz="8" w:space="0"/>
            </w:tcBorders>
            <w:vAlign w:val="center"/>
          </w:tcPr>
          <w:p w14:paraId="1344371C">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0.30</w:t>
            </w:r>
          </w:p>
        </w:tc>
        <w:tc>
          <w:tcPr>
            <w:tcW w:w="1028" w:type="dxa"/>
            <w:tcBorders>
              <w:top w:val="single" w:color="auto" w:sz="8" w:space="0"/>
            </w:tcBorders>
            <w:vAlign w:val="center"/>
          </w:tcPr>
          <w:p w14:paraId="41B018BE">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无量纲</w:t>
            </w:r>
          </w:p>
        </w:tc>
        <w:tc>
          <w:tcPr>
            <w:tcW w:w="1595" w:type="dxa"/>
            <w:tcBorders>
              <w:top w:val="single" w:color="auto" w:sz="8" w:space="0"/>
            </w:tcBorders>
            <w:vAlign w:val="center"/>
          </w:tcPr>
          <w:p w14:paraId="5551AAC0">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0.20～0.40</w:t>
            </w:r>
          </w:p>
        </w:tc>
        <w:tc>
          <w:tcPr>
            <w:tcW w:w="2822" w:type="dxa"/>
            <w:tcBorders>
              <w:top w:val="single" w:color="auto" w:sz="8" w:space="0"/>
            </w:tcBorders>
            <w:vAlign w:val="center"/>
          </w:tcPr>
          <w:p w14:paraId="4DC29EE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宜实测；缺省参照相近作物取值，用于还田氮F</w:t>
            </w:r>
            <w:r>
              <w:rPr>
                <w:rFonts w:hint="default" w:ascii="Times New Roman" w:hAnsi="Times New Roman" w:eastAsia="宋体" w:cs="Times New Roman"/>
                <w:b w:val="0"/>
                <w:i w:val="0"/>
                <w:sz w:val="21"/>
                <w:vertAlign w:val="subscript"/>
              </w:rPr>
              <w:t>ST</w:t>
            </w:r>
            <w:r>
              <w:rPr>
                <w:rFonts w:hint="default" w:ascii="Times New Roman" w:hAnsi="Times New Roman" w:eastAsia="宋体" w:cs="Times New Roman"/>
                <w:b w:val="0"/>
                <w:i w:val="0"/>
                <w:sz w:val="21"/>
              </w:rPr>
              <w:t>估算</w:t>
            </w:r>
          </w:p>
        </w:tc>
      </w:tr>
      <w:tr w14:paraId="61BF2C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vAlign w:val="center"/>
          </w:tcPr>
          <w:p w14:paraId="5F09C25E">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根冠比（根系干重／地上部茎叶干重）</w:t>
            </w:r>
          </w:p>
        </w:tc>
        <w:tc>
          <w:tcPr>
            <w:tcW w:w="650" w:type="dxa"/>
            <w:vAlign w:val="center"/>
          </w:tcPr>
          <w:p w14:paraId="3F4BF12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RS</w:t>
            </w:r>
          </w:p>
        </w:tc>
        <w:tc>
          <w:tcPr>
            <w:tcW w:w="854" w:type="dxa"/>
            <w:vAlign w:val="center"/>
          </w:tcPr>
          <w:p w14:paraId="65A6D221">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0.20</w:t>
            </w:r>
          </w:p>
        </w:tc>
        <w:tc>
          <w:tcPr>
            <w:tcW w:w="1028" w:type="dxa"/>
            <w:vAlign w:val="center"/>
          </w:tcPr>
          <w:p w14:paraId="250238ED">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无量纲</w:t>
            </w:r>
          </w:p>
        </w:tc>
        <w:tc>
          <w:tcPr>
            <w:tcW w:w="1595" w:type="dxa"/>
            <w:vAlign w:val="center"/>
          </w:tcPr>
          <w:p w14:paraId="130A109F">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0.15～0.30</w:t>
            </w:r>
          </w:p>
        </w:tc>
        <w:tc>
          <w:tcPr>
            <w:tcW w:w="2822" w:type="dxa"/>
            <w:vAlign w:val="center"/>
          </w:tcPr>
          <w:p w14:paraId="389DB42A">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宜实测；缺省值适用于菠萝</w:t>
            </w:r>
          </w:p>
        </w:tc>
      </w:tr>
      <w:tr w14:paraId="152731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vAlign w:val="center"/>
          </w:tcPr>
          <w:p w14:paraId="11064CE3">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植株与根系含氮量（干重比）</w:t>
            </w:r>
          </w:p>
        </w:tc>
        <w:tc>
          <w:tcPr>
            <w:tcW w:w="650" w:type="dxa"/>
            <w:vAlign w:val="center"/>
          </w:tcPr>
          <w:p w14:paraId="19BB9E7F">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RN</w:t>
            </w:r>
          </w:p>
        </w:tc>
        <w:tc>
          <w:tcPr>
            <w:tcW w:w="854" w:type="dxa"/>
            <w:vAlign w:val="center"/>
          </w:tcPr>
          <w:p w14:paraId="58A200BB">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0.0080</w:t>
            </w:r>
          </w:p>
        </w:tc>
        <w:tc>
          <w:tcPr>
            <w:tcW w:w="1028" w:type="dxa"/>
            <w:vAlign w:val="center"/>
          </w:tcPr>
          <w:p w14:paraId="7956C67D">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kg N/kg</w:t>
            </w:r>
          </w:p>
        </w:tc>
        <w:tc>
          <w:tcPr>
            <w:tcW w:w="1595" w:type="dxa"/>
            <w:vAlign w:val="center"/>
          </w:tcPr>
          <w:p w14:paraId="378A1C20">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0.005～0.012</w:t>
            </w:r>
          </w:p>
        </w:tc>
        <w:tc>
          <w:tcPr>
            <w:tcW w:w="2822" w:type="dxa"/>
            <w:vAlign w:val="center"/>
          </w:tcPr>
          <w:p w14:paraId="29514162">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宜实测；用于还田氮F_ST计算</w:t>
            </w:r>
          </w:p>
        </w:tc>
      </w:tr>
      <w:tr w14:paraId="154CE0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vAlign w:val="center"/>
          </w:tcPr>
          <w:p w14:paraId="14CB9030">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植株还田比例</w:t>
            </w:r>
          </w:p>
        </w:tc>
        <w:tc>
          <w:tcPr>
            <w:tcW w:w="650" w:type="dxa"/>
            <w:vAlign w:val="center"/>
          </w:tcPr>
          <w:p w14:paraId="41C100D2">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R</w:t>
            </w:r>
          </w:p>
        </w:tc>
        <w:tc>
          <w:tcPr>
            <w:tcW w:w="854" w:type="dxa"/>
            <w:vAlign w:val="center"/>
          </w:tcPr>
          <w:p w14:paraId="1A2FDD2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1.0</w:t>
            </w:r>
          </w:p>
        </w:tc>
        <w:tc>
          <w:tcPr>
            <w:tcW w:w="1028" w:type="dxa"/>
            <w:vAlign w:val="center"/>
          </w:tcPr>
          <w:p w14:paraId="37BD12E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无量纲</w:t>
            </w:r>
          </w:p>
        </w:tc>
        <w:tc>
          <w:tcPr>
            <w:tcW w:w="1595" w:type="dxa"/>
            <w:vAlign w:val="center"/>
          </w:tcPr>
          <w:p w14:paraId="60B2D80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0～1</w:t>
            </w:r>
          </w:p>
        </w:tc>
        <w:tc>
          <w:tcPr>
            <w:tcW w:w="2822" w:type="dxa"/>
            <w:vAlign w:val="center"/>
          </w:tcPr>
          <w:p w14:paraId="53F2C3D3">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按实际还田量与去向填写；全部清运处置时取0</w:t>
            </w:r>
          </w:p>
        </w:tc>
      </w:tr>
      <w:tr w14:paraId="1C077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vAlign w:val="center"/>
          </w:tcPr>
          <w:p w14:paraId="2B443114">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残株含碳率（干重比）</w:t>
            </w:r>
          </w:p>
        </w:tc>
        <w:tc>
          <w:tcPr>
            <w:tcW w:w="650" w:type="dxa"/>
            <w:vAlign w:val="center"/>
          </w:tcPr>
          <w:p w14:paraId="40E14D94">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C</w:t>
            </w:r>
          </w:p>
        </w:tc>
        <w:tc>
          <w:tcPr>
            <w:tcW w:w="854" w:type="dxa"/>
            <w:vAlign w:val="center"/>
          </w:tcPr>
          <w:p w14:paraId="35786011">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0.45</w:t>
            </w:r>
          </w:p>
        </w:tc>
        <w:tc>
          <w:tcPr>
            <w:tcW w:w="1028" w:type="dxa"/>
            <w:vAlign w:val="center"/>
          </w:tcPr>
          <w:p w14:paraId="797872A9">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kg C/kg</w:t>
            </w:r>
          </w:p>
        </w:tc>
        <w:tc>
          <w:tcPr>
            <w:tcW w:w="1595" w:type="dxa"/>
            <w:vAlign w:val="center"/>
          </w:tcPr>
          <w:p w14:paraId="477D9F8D">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0.40～0.50</w:t>
            </w:r>
          </w:p>
        </w:tc>
        <w:tc>
          <w:tcPr>
            <w:tcW w:w="2822" w:type="dxa"/>
            <w:vAlign w:val="center"/>
          </w:tcPr>
          <w:p w14:paraId="1CB51D0A">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宜实测</w:t>
            </w:r>
          </w:p>
        </w:tc>
      </w:tr>
      <w:tr w14:paraId="4BC0E2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vAlign w:val="center"/>
          </w:tcPr>
          <w:p w14:paraId="36E585FD">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枯落物分解常数</w:t>
            </w:r>
          </w:p>
        </w:tc>
        <w:tc>
          <w:tcPr>
            <w:tcW w:w="650" w:type="dxa"/>
            <w:vAlign w:val="center"/>
          </w:tcPr>
          <w:p w14:paraId="27546B55">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k</w:t>
            </w:r>
          </w:p>
        </w:tc>
        <w:tc>
          <w:tcPr>
            <w:tcW w:w="854" w:type="dxa"/>
            <w:vAlign w:val="center"/>
          </w:tcPr>
          <w:p w14:paraId="5BBC2AB9">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0.50</w:t>
            </w:r>
          </w:p>
        </w:tc>
        <w:tc>
          <w:tcPr>
            <w:tcW w:w="1028" w:type="dxa"/>
            <w:vAlign w:val="center"/>
          </w:tcPr>
          <w:p w14:paraId="7B4CE06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无量纲</w:t>
            </w:r>
          </w:p>
        </w:tc>
        <w:tc>
          <w:tcPr>
            <w:tcW w:w="1595" w:type="dxa"/>
            <w:vAlign w:val="center"/>
          </w:tcPr>
          <w:p w14:paraId="581B4FD1">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0.30～0.60</w:t>
            </w:r>
          </w:p>
        </w:tc>
        <w:tc>
          <w:tcPr>
            <w:tcW w:w="2822" w:type="dxa"/>
            <w:vAlign w:val="center"/>
          </w:tcPr>
          <w:p w14:paraId="536D3141">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温暖湿润地区取0.5～0.6，寒冷干燥地区取0.3～0.4</w:t>
            </w:r>
          </w:p>
        </w:tc>
      </w:tr>
      <w:tr w14:paraId="5B1BD1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tcBorders>
              <w:bottom w:val="single" w:color="auto" w:sz="8" w:space="0"/>
            </w:tcBorders>
            <w:vAlign w:val="center"/>
          </w:tcPr>
          <w:p w14:paraId="3097E37A">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年土壤有机碳净变化速率</w:t>
            </w:r>
          </w:p>
        </w:tc>
        <w:tc>
          <w:tcPr>
            <w:tcW w:w="650" w:type="dxa"/>
            <w:tcBorders>
              <w:bottom w:val="single" w:color="auto" w:sz="8" w:space="0"/>
            </w:tcBorders>
            <w:vAlign w:val="center"/>
          </w:tcPr>
          <w:p w14:paraId="2C8698B1">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r</w:t>
            </w:r>
            <w:r>
              <w:rPr>
                <w:rFonts w:hint="default" w:ascii="Times New Roman" w:hAnsi="Times New Roman" w:eastAsia="宋体" w:cs="Times New Roman"/>
                <w:b w:val="0"/>
                <w:i w:val="0"/>
                <w:sz w:val="21"/>
                <w:vertAlign w:val="subscript"/>
              </w:rPr>
              <w:t>SOC</w:t>
            </w:r>
          </w:p>
        </w:tc>
        <w:tc>
          <w:tcPr>
            <w:tcW w:w="854" w:type="dxa"/>
            <w:tcBorders>
              <w:bottom w:val="single" w:color="auto" w:sz="8" w:space="0"/>
            </w:tcBorders>
            <w:vAlign w:val="center"/>
          </w:tcPr>
          <w:p w14:paraId="39543019">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宜实测</w:t>
            </w:r>
          </w:p>
        </w:tc>
        <w:tc>
          <w:tcPr>
            <w:tcW w:w="1028" w:type="dxa"/>
            <w:tcBorders>
              <w:bottom w:val="single" w:color="auto" w:sz="8" w:space="0"/>
            </w:tcBorders>
            <w:vAlign w:val="center"/>
          </w:tcPr>
          <w:p w14:paraId="2139099A">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kg C/a</w:t>
            </w:r>
          </w:p>
        </w:tc>
        <w:tc>
          <w:tcPr>
            <w:tcW w:w="1595" w:type="dxa"/>
            <w:tcBorders>
              <w:bottom w:val="single" w:color="auto" w:sz="8" w:space="0"/>
            </w:tcBorders>
            <w:vAlign w:val="center"/>
          </w:tcPr>
          <w:p w14:paraId="63FB16EB">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w:t>
            </w:r>
          </w:p>
        </w:tc>
        <w:tc>
          <w:tcPr>
            <w:tcW w:w="2822" w:type="dxa"/>
            <w:tcBorders>
              <w:bottom w:val="single" w:color="auto" w:sz="8" w:space="0"/>
            </w:tcBorders>
            <w:vAlign w:val="center"/>
          </w:tcPr>
          <w:p w14:paraId="4953CBDC">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需不小于3 a的定位重复实测</w:t>
            </w:r>
          </w:p>
        </w:tc>
      </w:tr>
      <w:tr w14:paraId="644F79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334" w:type="dxa"/>
            <w:gridSpan w:val="6"/>
            <w:tcBorders>
              <w:top w:val="single" w:color="auto" w:sz="8" w:space="0"/>
            </w:tcBorders>
            <w:vAlign w:val="center"/>
          </w:tcPr>
          <w:p w14:paraId="2E75F6A3">
            <w:pPr>
              <w:spacing w:after="0" w:line="240" w:lineRule="auto"/>
              <w:jc w:val="both"/>
              <w:rPr>
                <w:rFonts w:hint="default" w:ascii="Times New Roman" w:hAnsi="Times New Roman" w:cs="Times New Roman"/>
              </w:rPr>
            </w:pPr>
            <w:r>
              <w:rPr>
                <w:rFonts w:hint="default" w:ascii="Times New Roman" w:hAnsi="Times New Roman" w:cs="Times New Roman"/>
                <w:b w:val="0"/>
                <w:i w:val="0"/>
                <w:sz w:val="21"/>
                <w:lang w:val="en-US" w:eastAsia="zh-CN"/>
              </w:rPr>
              <w:t>数据来源：E、R</w:t>
            </w:r>
            <w:r>
              <w:rPr>
                <w:rFonts w:hint="default" w:ascii="Times New Roman" w:hAnsi="Times New Roman" w:cs="Times New Roman"/>
                <w:b w:val="0"/>
                <w:i w:val="0"/>
                <w:sz w:val="21"/>
                <w:vertAlign w:val="subscript"/>
                <w:lang w:val="en-US" w:eastAsia="zh-CN"/>
              </w:rPr>
              <w:t>S</w:t>
            </w:r>
            <w:r>
              <w:rPr>
                <w:rFonts w:hint="default" w:ascii="Times New Roman" w:hAnsi="Times New Roman" w:cs="Times New Roman"/>
                <w:b w:val="0"/>
                <w:i w:val="0"/>
                <w:sz w:val="21"/>
                <w:lang w:val="en-US" w:eastAsia="zh-CN"/>
              </w:rPr>
              <w:t>、RN、C宜采用实测值；无实测条件时可参照T/CGFA 012—2025《温室气体 产品碳足迹量化方法与要求 种植农产品》附录B中相近作物的取值，并结合神湾菠萝生产实际确定，在核算报告中说明取值依据与不确定性。</w:t>
            </w:r>
          </w:p>
        </w:tc>
      </w:tr>
    </w:tbl>
    <w:p w14:paraId="4F7AD43F">
      <w:pPr>
        <w:pStyle w:val="39"/>
        <w:bidi w:val="0"/>
        <w:ind w:left="0" w:leftChars="0" w:firstLine="0" w:firstLineChars="0"/>
      </w:pPr>
    </w:p>
    <w:p w14:paraId="473ED7FD">
      <w:pPr>
        <w:pStyle w:val="39"/>
        <w:sectPr>
          <w:pgSz w:w="11906" w:h="16838"/>
          <w:pgMar w:top="1928" w:right="1134" w:bottom="1134" w:left="1134" w:header="1418" w:footer="1134" w:gutter="284"/>
          <w:pgNumType w:fmt="decimal"/>
          <w:cols w:space="425" w:num="1"/>
          <w:formProt w:val="0"/>
          <w:docGrid w:linePitch="312" w:charSpace="0"/>
        </w:sectPr>
      </w:pPr>
    </w:p>
    <w:p w14:paraId="40E036E4">
      <w:pPr>
        <w:pStyle w:val="201"/>
        <w:bidi w:val="0"/>
      </w:pPr>
    </w:p>
    <w:p w14:paraId="2B46540B">
      <w:pPr>
        <w:pStyle w:val="202"/>
        <w:bidi w:val="0"/>
      </w:pPr>
    </w:p>
    <w:p w14:paraId="29282C05">
      <w:pPr>
        <w:pStyle w:val="82"/>
        <w:bidi w:val="0"/>
      </w:pPr>
      <w:bookmarkStart w:id="89" w:name="_Toc23377"/>
      <w:bookmarkStart w:id="90" w:name="_Toc8316"/>
      <w:bookmarkStart w:id="91" w:name="_Toc13732"/>
      <w:r>
        <w:br w:type="textWrapping"/>
      </w:r>
      <w:r>
        <w:rPr>
          <w:rFonts w:hint="eastAsia"/>
          <w:lang w:eastAsia="zh-CN"/>
        </w:rPr>
        <w:t>（资料性）</w:t>
      </w:r>
      <w:r>
        <w:rPr>
          <w:rFonts w:hint="eastAsia"/>
          <w:lang w:eastAsia="zh-CN"/>
        </w:rPr>
        <w:br w:type="textWrapping"/>
      </w:r>
      <w:r>
        <w:rPr>
          <w:rFonts w:hint="eastAsia"/>
          <w:lang w:eastAsia="zh-CN"/>
        </w:rPr>
        <w:t>神湾菠萝碳足迹核算报告（模板）</w:t>
      </w:r>
      <w:bookmarkEnd w:id="89"/>
      <w:bookmarkEnd w:id="90"/>
      <w:bookmarkEnd w:id="91"/>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14:paraId="0363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70" w:type="dxa"/>
          </w:tcPr>
          <w:p w14:paraId="28573F37">
            <w:pPr>
              <w:spacing w:before="200" w:after="40" w:line="336" w:lineRule="auto"/>
              <w:jc w:val="center"/>
              <w:rPr>
                <w:color w:val="auto"/>
              </w:rPr>
            </w:pPr>
            <w:r>
              <w:rPr>
                <w:rFonts w:ascii="Times New Roman" w:hAnsi="Times New Roman" w:eastAsia="黑体"/>
                <w:b w:val="0"/>
                <w:i w:val="0"/>
                <w:color w:val="auto"/>
                <w:sz w:val="32"/>
              </w:rPr>
              <w:t>【生产者名称】</w:t>
            </w:r>
          </w:p>
          <w:p w14:paraId="309B4E5B">
            <w:pPr>
              <w:spacing w:before="0" w:after="40" w:line="336" w:lineRule="auto"/>
              <w:jc w:val="center"/>
              <w:rPr>
                <w:rFonts w:hint="eastAsia"/>
                <w:color w:val="auto"/>
                <w:vertAlign w:val="baseline"/>
                <w:lang w:eastAsia="zh-CN"/>
              </w:rPr>
            </w:pPr>
            <w:r>
              <w:rPr>
                <w:rFonts w:hint="eastAsia" w:ascii="Times New Roman" w:hAnsi="Times New Roman" w:eastAsia="黑体"/>
                <w:b w:val="0"/>
                <w:i w:val="0"/>
                <w:color w:val="auto"/>
                <w:sz w:val="32"/>
                <w:lang w:val="en-US" w:eastAsia="zh-CN"/>
              </w:rPr>
              <w:t>神湾菠萝</w:t>
            </w:r>
            <w:r>
              <w:rPr>
                <w:rFonts w:ascii="Times New Roman" w:hAnsi="Times New Roman" w:eastAsia="黑体"/>
                <w:b w:val="0"/>
                <w:i w:val="0"/>
                <w:color w:val="auto"/>
                <w:sz w:val="32"/>
              </w:rPr>
              <w:t>产品碳足迹报告</w:t>
            </w:r>
          </w:p>
          <w:p w14:paraId="7BA9F8B8">
            <w:pPr>
              <w:pStyle w:val="39"/>
              <w:rPr>
                <w:rFonts w:hint="eastAsia"/>
                <w:color w:val="auto"/>
                <w:vertAlign w:val="baseline"/>
                <w:lang w:eastAsia="zh-CN"/>
              </w:rPr>
            </w:pPr>
          </w:p>
          <w:p w14:paraId="2C348B0E">
            <w:pPr>
              <w:pStyle w:val="39"/>
              <w:rPr>
                <w:rFonts w:hint="eastAsia"/>
                <w:color w:val="auto"/>
                <w:vertAlign w:val="baseline"/>
                <w:lang w:eastAsia="zh-CN"/>
              </w:rPr>
            </w:pPr>
          </w:p>
          <w:p w14:paraId="514932D6">
            <w:pPr>
              <w:pStyle w:val="39"/>
              <w:rPr>
                <w:rFonts w:hint="eastAsia"/>
                <w:color w:val="auto"/>
                <w:vertAlign w:val="baseline"/>
                <w:lang w:eastAsia="zh-CN"/>
              </w:rPr>
            </w:pPr>
          </w:p>
          <w:p w14:paraId="20AEF256">
            <w:pPr>
              <w:pStyle w:val="39"/>
              <w:rPr>
                <w:rFonts w:hint="eastAsia"/>
                <w:color w:val="auto"/>
                <w:vertAlign w:val="baseline"/>
                <w:lang w:eastAsia="zh-CN"/>
              </w:rPr>
            </w:pPr>
          </w:p>
          <w:p w14:paraId="1D80A030">
            <w:pPr>
              <w:pStyle w:val="39"/>
              <w:rPr>
                <w:rFonts w:hint="eastAsia"/>
                <w:color w:val="auto"/>
                <w:vertAlign w:val="baseline"/>
                <w:lang w:eastAsia="zh-CN"/>
              </w:rPr>
            </w:pPr>
          </w:p>
          <w:p w14:paraId="68AB178D">
            <w:pPr>
              <w:pStyle w:val="39"/>
              <w:rPr>
                <w:rFonts w:hint="eastAsia"/>
                <w:color w:val="auto"/>
                <w:vertAlign w:val="baseline"/>
                <w:lang w:eastAsia="zh-CN"/>
              </w:rPr>
            </w:pPr>
          </w:p>
          <w:p w14:paraId="16125B8C">
            <w:pPr>
              <w:pStyle w:val="39"/>
              <w:rPr>
                <w:rFonts w:hint="eastAsia"/>
                <w:color w:val="auto"/>
                <w:vertAlign w:val="baseline"/>
                <w:lang w:eastAsia="zh-CN"/>
              </w:rPr>
            </w:pPr>
          </w:p>
          <w:p w14:paraId="57A87B7A">
            <w:pPr>
              <w:pStyle w:val="39"/>
              <w:rPr>
                <w:rFonts w:hint="eastAsia"/>
                <w:color w:val="auto"/>
                <w:vertAlign w:val="baseline"/>
                <w:lang w:eastAsia="zh-CN"/>
              </w:rPr>
            </w:pPr>
          </w:p>
          <w:p w14:paraId="07CDEC6F">
            <w:pPr>
              <w:pStyle w:val="39"/>
              <w:rPr>
                <w:rFonts w:hint="eastAsia"/>
                <w:color w:val="auto"/>
                <w:vertAlign w:val="baseline"/>
                <w:lang w:eastAsia="zh-CN"/>
              </w:rPr>
            </w:pPr>
          </w:p>
          <w:p w14:paraId="60CAC00F">
            <w:pPr>
              <w:pStyle w:val="39"/>
              <w:rPr>
                <w:rFonts w:hint="eastAsia"/>
                <w:color w:val="auto"/>
                <w:vertAlign w:val="baseline"/>
                <w:lang w:val="en-US" w:eastAsia="zh-CN"/>
              </w:rPr>
            </w:pPr>
          </w:p>
          <w:p w14:paraId="4E086A4A">
            <w:pPr>
              <w:pStyle w:val="39"/>
              <w:rPr>
                <w:rFonts w:hint="eastAsia"/>
                <w:color w:val="auto"/>
                <w:vertAlign w:val="baseline"/>
                <w:lang w:val="en-US" w:eastAsia="zh-CN"/>
              </w:rPr>
            </w:pPr>
          </w:p>
          <w:p w14:paraId="32AD6598">
            <w:pPr>
              <w:pStyle w:val="39"/>
              <w:rPr>
                <w:rFonts w:hint="eastAsia"/>
                <w:color w:val="auto"/>
                <w:vertAlign w:val="baseline"/>
                <w:lang w:val="en-US" w:eastAsia="zh-CN"/>
              </w:rPr>
            </w:pPr>
          </w:p>
          <w:p w14:paraId="5D0FA64E">
            <w:pPr>
              <w:pStyle w:val="39"/>
              <w:rPr>
                <w:rFonts w:hint="eastAsia"/>
                <w:color w:val="auto"/>
                <w:vertAlign w:val="baseline"/>
                <w:lang w:val="en-US" w:eastAsia="zh-CN"/>
              </w:rPr>
            </w:pPr>
          </w:p>
          <w:p w14:paraId="45C9A657">
            <w:pPr>
              <w:pStyle w:val="39"/>
              <w:rPr>
                <w:rFonts w:hint="eastAsia"/>
                <w:color w:val="auto"/>
                <w:vertAlign w:val="baseline"/>
                <w:lang w:val="en-US" w:eastAsia="zh-CN"/>
              </w:rPr>
            </w:pPr>
          </w:p>
          <w:p w14:paraId="2F20CDB9">
            <w:pPr>
              <w:pStyle w:val="39"/>
              <w:rPr>
                <w:rFonts w:hint="eastAsia"/>
                <w:color w:val="auto"/>
                <w:vertAlign w:val="baseline"/>
                <w:lang w:val="en-US" w:eastAsia="zh-CN"/>
              </w:rPr>
            </w:pPr>
          </w:p>
          <w:p w14:paraId="10C51335">
            <w:pPr>
              <w:pStyle w:val="39"/>
              <w:rPr>
                <w:rFonts w:hint="eastAsia"/>
                <w:color w:val="auto"/>
                <w:vertAlign w:val="baseline"/>
                <w:lang w:val="en-US" w:eastAsia="zh-CN"/>
              </w:rPr>
            </w:pPr>
          </w:p>
          <w:p w14:paraId="5AE03318">
            <w:pPr>
              <w:pStyle w:val="39"/>
              <w:rPr>
                <w:rFonts w:hint="eastAsia"/>
                <w:color w:val="auto"/>
                <w:vertAlign w:val="baseline"/>
                <w:lang w:val="en-US" w:eastAsia="zh-CN"/>
              </w:rPr>
            </w:pPr>
          </w:p>
          <w:p w14:paraId="55062E55">
            <w:pPr>
              <w:pStyle w:val="39"/>
              <w:rPr>
                <w:rFonts w:hint="eastAsia"/>
                <w:color w:val="auto"/>
                <w:vertAlign w:val="baseline"/>
                <w:lang w:val="en-US" w:eastAsia="zh-CN"/>
              </w:rPr>
            </w:pPr>
          </w:p>
          <w:p w14:paraId="2930B38C">
            <w:pPr>
              <w:pStyle w:val="39"/>
              <w:rPr>
                <w:rFonts w:hint="eastAsia"/>
                <w:color w:val="auto"/>
                <w:vertAlign w:val="baseline"/>
                <w:lang w:val="en-US" w:eastAsia="zh-CN"/>
              </w:rPr>
            </w:pPr>
          </w:p>
          <w:p w14:paraId="41B06C2D">
            <w:pPr>
              <w:pStyle w:val="39"/>
              <w:rPr>
                <w:rFonts w:hint="eastAsia"/>
                <w:color w:val="auto"/>
                <w:vertAlign w:val="baseline"/>
                <w:lang w:val="en-US" w:eastAsia="zh-CN"/>
              </w:rPr>
            </w:pPr>
          </w:p>
          <w:p w14:paraId="74618FD6">
            <w:pPr>
              <w:pStyle w:val="39"/>
              <w:rPr>
                <w:rFonts w:hint="eastAsia"/>
                <w:color w:val="auto"/>
                <w:vertAlign w:val="baseline"/>
                <w:lang w:val="en-US" w:eastAsia="zh-CN"/>
              </w:rPr>
            </w:pPr>
          </w:p>
          <w:p w14:paraId="066B9C28">
            <w:pPr>
              <w:pStyle w:val="39"/>
              <w:rPr>
                <w:rFonts w:hint="eastAsia"/>
                <w:color w:val="auto"/>
                <w:vertAlign w:val="baseline"/>
                <w:lang w:val="en-US" w:eastAsia="zh-CN"/>
              </w:rPr>
            </w:pPr>
          </w:p>
          <w:p w14:paraId="5E0ADE09">
            <w:pPr>
              <w:pStyle w:val="39"/>
              <w:rPr>
                <w:rFonts w:hint="eastAsia"/>
                <w:color w:val="auto"/>
                <w:vertAlign w:val="baseline"/>
                <w:lang w:val="en-US" w:eastAsia="zh-CN"/>
              </w:rPr>
            </w:pPr>
          </w:p>
          <w:p w14:paraId="3CADB9C7">
            <w:pPr>
              <w:pStyle w:val="39"/>
              <w:rPr>
                <w:rFonts w:hint="eastAsia"/>
                <w:color w:val="auto"/>
                <w:vertAlign w:val="baseline"/>
                <w:lang w:val="en-US" w:eastAsia="zh-CN"/>
              </w:rPr>
            </w:pPr>
          </w:p>
          <w:p w14:paraId="73756733">
            <w:pPr>
              <w:pStyle w:val="39"/>
              <w:rPr>
                <w:rFonts w:hint="eastAsia"/>
                <w:color w:val="auto"/>
                <w:vertAlign w:val="baseline"/>
                <w:lang w:val="en-US" w:eastAsia="zh-CN"/>
              </w:rPr>
            </w:pPr>
          </w:p>
          <w:p w14:paraId="1E1BC370">
            <w:pPr>
              <w:pStyle w:val="39"/>
              <w:rPr>
                <w:rFonts w:hint="eastAsia"/>
                <w:color w:val="auto"/>
                <w:vertAlign w:val="baseline"/>
                <w:lang w:val="en-US" w:eastAsia="zh-CN"/>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3"/>
              <w:gridCol w:w="5818"/>
            </w:tblGrid>
            <w:tr w14:paraId="6043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shd w:val="clear" w:color="auto" w:fill="D9D9D9"/>
                  <w:vAlign w:val="center"/>
                </w:tcPr>
                <w:p w14:paraId="7244ED02">
                  <w:pPr>
                    <w:spacing w:before="20" w:after="20" w:line="276" w:lineRule="auto"/>
                    <w:jc w:val="center"/>
                    <w:rPr>
                      <w:color w:val="auto"/>
                    </w:rPr>
                  </w:pPr>
                  <w:r>
                    <w:rPr>
                      <w:rFonts w:ascii="Times New Roman" w:hAnsi="Times New Roman" w:eastAsia="宋体"/>
                      <w:b/>
                      <w:i w:val="0"/>
                      <w:color w:val="auto"/>
                      <w:sz w:val="18"/>
                    </w:rPr>
                    <w:t>项    目</w:t>
                  </w:r>
                </w:p>
              </w:tc>
              <w:tc>
                <w:tcPr>
                  <w:tcW w:w="5818" w:type="dxa"/>
                  <w:shd w:val="clear" w:color="auto" w:fill="D9D9D9"/>
                  <w:vAlign w:val="center"/>
                </w:tcPr>
                <w:p w14:paraId="7BB9A12B">
                  <w:pPr>
                    <w:spacing w:before="20" w:after="20" w:line="276" w:lineRule="auto"/>
                    <w:jc w:val="center"/>
                    <w:rPr>
                      <w:color w:val="auto"/>
                    </w:rPr>
                  </w:pPr>
                  <w:r>
                    <w:rPr>
                      <w:rFonts w:ascii="Times New Roman" w:hAnsi="Times New Roman" w:eastAsia="宋体"/>
                      <w:b/>
                      <w:i w:val="0"/>
                      <w:color w:val="auto"/>
                      <w:sz w:val="18"/>
                    </w:rPr>
                    <w:t>内    容</w:t>
                  </w:r>
                </w:p>
              </w:tc>
            </w:tr>
            <w:tr w14:paraId="704E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13A8DC13">
                  <w:pPr>
                    <w:spacing w:before="20" w:after="20" w:line="276" w:lineRule="auto"/>
                    <w:jc w:val="left"/>
                    <w:rPr>
                      <w:color w:val="auto"/>
                    </w:rPr>
                  </w:pPr>
                  <w:r>
                    <w:rPr>
                      <w:rFonts w:ascii="Times New Roman" w:hAnsi="Times New Roman" w:eastAsia="宋体"/>
                      <w:b w:val="0"/>
                      <w:i w:val="0"/>
                      <w:color w:val="auto"/>
                      <w:sz w:val="18"/>
                    </w:rPr>
                    <w:t>产品名称：</w:t>
                  </w:r>
                </w:p>
              </w:tc>
              <w:tc>
                <w:tcPr>
                  <w:tcW w:w="5818" w:type="dxa"/>
                  <w:vAlign w:val="center"/>
                </w:tcPr>
                <w:p w14:paraId="0FBC716C">
                  <w:pPr>
                    <w:spacing w:before="20" w:after="20" w:line="276" w:lineRule="auto"/>
                    <w:jc w:val="center"/>
                    <w:rPr>
                      <w:color w:val="auto"/>
                    </w:rPr>
                  </w:pPr>
                  <w:r>
                    <w:rPr>
                      <w:rFonts w:ascii="Times New Roman" w:hAnsi="Times New Roman" w:eastAsia="宋体"/>
                      <w:b w:val="0"/>
                      <w:i w:val="0"/>
                      <w:color w:val="auto"/>
                      <w:sz w:val="18"/>
                    </w:rPr>
                    <w:t>【填写】</w:t>
                  </w:r>
                </w:p>
              </w:tc>
            </w:tr>
            <w:tr w14:paraId="4B81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769B6D95">
                  <w:pPr>
                    <w:spacing w:before="20" w:after="20" w:line="276" w:lineRule="auto"/>
                    <w:jc w:val="left"/>
                    <w:rPr>
                      <w:color w:val="auto"/>
                    </w:rPr>
                  </w:pPr>
                  <w:r>
                    <w:rPr>
                      <w:rFonts w:ascii="Times New Roman" w:hAnsi="Times New Roman" w:eastAsia="宋体"/>
                      <w:b w:val="0"/>
                      <w:i w:val="0"/>
                      <w:color w:val="auto"/>
                      <w:sz w:val="18"/>
                    </w:rPr>
                    <w:t>产品型号规格：</w:t>
                  </w:r>
                </w:p>
              </w:tc>
              <w:tc>
                <w:tcPr>
                  <w:tcW w:w="5818" w:type="dxa"/>
                  <w:vAlign w:val="center"/>
                </w:tcPr>
                <w:p w14:paraId="0E32451B">
                  <w:pPr>
                    <w:spacing w:before="20" w:after="20" w:line="276" w:lineRule="auto"/>
                    <w:jc w:val="center"/>
                    <w:rPr>
                      <w:color w:val="auto"/>
                    </w:rPr>
                  </w:pPr>
                  <w:r>
                    <w:rPr>
                      <w:rFonts w:ascii="Times New Roman" w:hAnsi="Times New Roman" w:eastAsia="宋体"/>
                      <w:b w:val="0"/>
                      <w:i w:val="0"/>
                      <w:color w:val="auto"/>
                      <w:sz w:val="18"/>
                    </w:rPr>
                    <w:t>【填写】</w:t>
                  </w:r>
                </w:p>
              </w:tc>
            </w:tr>
            <w:tr w14:paraId="3EBA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08F49B7B">
                  <w:pPr>
                    <w:spacing w:before="20" w:after="20" w:line="276" w:lineRule="auto"/>
                    <w:jc w:val="left"/>
                    <w:rPr>
                      <w:color w:val="auto"/>
                    </w:rPr>
                  </w:pPr>
                  <w:r>
                    <w:rPr>
                      <w:rFonts w:ascii="Times New Roman" w:hAnsi="Times New Roman" w:eastAsia="宋体"/>
                      <w:b w:val="0"/>
                      <w:i w:val="0"/>
                      <w:color w:val="auto"/>
                      <w:sz w:val="18"/>
                    </w:rPr>
                    <w:t>生产者名称：</w:t>
                  </w:r>
                </w:p>
              </w:tc>
              <w:tc>
                <w:tcPr>
                  <w:tcW w:w="5818" w:type="dxa"/>
                  <w:vAlign w:val="center"/>
                </w:tcPr>
                <w:p w14:paraId="1B97AB3D">
                  <w:pPr>
                    <w:spacing w:before="20" w:after="20" w:line="276" w:lineRule="auto"/>
                    <w:jc w:val="center"/>
                    <w:rPr>
                      <w:color w:val="auto"/>
                    </w:rPr>
                  </w:pPr>
                  <w:r>
                    <w:rPr>
                      <w:rFonts w:ascii="Times New Roman" w:hAnsi="Times New Roman" w:eastAsia="宋体"/>
                      <w:b w:val="0"/>
                      <w:i w:val="0"/>
                      <w:color w:val="auto"/>
                      <w:sz w:val="18"/>
                    </w:rPr>
                    <w:t>【填写，与营业执照一致】</w:t>
                  </w:r>
                </w:p>
              </w:tc>
            </w:tr>
            <w:tr w14:paraId="7088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703B9AA4">
                  <w:pPr>
                    <w:spacing w:before="20" w:after="20" w:line="276" w:lineRule="auto"/>
                    <w:jc w:val="left"/>
                    <w:rPr>
                      <w:color w:val="auto"/>
                    </w:rPr>
                  </w:pPr>
                  <w:r>
                    <w:rPr>
                      <w:rFonts w:ascii="Times New Roman" w:hAnsi="Times New Roman" w:eastAsia="宋体"/>
                      <w:b w:val="0"/>
                      <w:i w:val="0"/>
                      <w:color w:val="auto"/>
                      <w:sz w:val="18"/>
                    </w:rPr>
                    <w:t>报告编号：</w:t>
                  </w:r>
                </w:p>
              </w:tc>
              <w:tc>
                <w:tcPr>
                  <w:tcW w:w="5818" w:type="dxa"/>
                  <w:vAlign w:val="center"/>
                </w:tcPr>
                <w:p w14:paraId="625705DD">
                  <w:pPr>
                    <w:spacing w:before="20" w:after="20" w:line="276" w:lineRule="auto"/>
                    <w:jc w:val="center"/>
                    <w:rPr>
                      <w:color w:val="auto"/>
                    </w:rPr>
                  </w:pPr>
                  <w:r>
                    <w:rPr>
                      <w:rFonts w:ascii="Times New Roman" w:hAnsi="Times New Roman" w:eastAsia="宋体"/>
                      <w:b w:val="0"/>
                      <w:i w:val="0"/>
                      <w:color w:val="auto"/>
                      <w:sz w:val="18"/>
                    </w:rPr>
                    <w:t>【填写】</w:t>
                  </w:r>
                </w:p>
              </w:tc>
            </w:tr>
          </w:tbl>
          <w:p w14:paraId="35D6CDC9">
            <w:pPr>
              <w:pStyle w:val="39"/>
              <w:rPr>
                <w:rFonts w:hint="eastAsia"/>
                <w:color w:val="auto"/>
                <w:vertAlign w:val="baseline"/>
                <w:lang w:val="en-US" w:eastAsia="zh-CN"/>
              </w:rPr>
            </w:pPr>
          </w:p>
          <w:p w14:paraId="586F4A22">
            <w:pPr>
              <w:pStyle w:val="39"/>
              <w:rPr>
                <w:rFonts w:hint="eastAsia"/>
                <w:color w:val="auto"/>
                <w:vertAlign w:val="baseline"/>
                <w:lang w:val="en-US" w:eastAsia="zh-CN"/>
              </w:rPr>
            </w:pPr>
          </w:p>
          <w:p w14:paraId="62D53E02">
            <w:pPr>
              <w:pStyle w:val="39"/>
              <w:rPr>
                <w:rFonts w:hint="eastAsia"/>
                <w:color w:val="auto"/>
                <w:vertAlign w:val="baseline"/>
                <w:lang w:val="en-US" w:eastAsia="zh-CN"/>
              </w:rPr>
            </w:pPr>
          </w:p>
          <w:p w14:paraId="61607AFB">
            <w:pPr>
              <w:pStyle w:val="39"/>
              <w:rPr>
                <w:rFonts w:hint="eastAsia"/>
                <w:color w:val="auto"/>
                <w:vertAlign w:val="baseline"/>
                <w:lang w:val="en-US" w:eastAsia="zh-CN"/>
              </w:rPr>
            </w:pPr>
          </w:p>
          <w:p w14:paraId="32F4C32D">
            <w:pPr>
              <w:spacing w:before="0" w:after="40" w:line="336" w:lineRule="auto"/>
              <w:jc w:val="center"/>
              <w:rPr>
                <w:color w:val="auto"/>
              </w:rPr>
            </w:pPr>
            <w:r>
              <w:rPr>
                <w:rFonts w:ascii="Times New Roman" w:hAnsi="Times New Roman" w:eastAsia="宋体"/>
                <w:b w:val="0"/>
                <w:i w:val="0"/>
                <w:color w:val="auto"/>
                <w:sz w:val="24"/>
              </w:rPr>
              <w:t>【评价机构名称】</w:t>
            </w:r>
          </w:p>
          <w:p w14:paraId="00795947">
            <w:pPr>
              <w:spacing w:before="0" w:after="160" w:line="336" w:lineRule="auto"/>
              <w:jc w:val="center"/>
              <w:rPr>
                <w:rFonts w:ascii="Times New Roman" w:hAnsi="Times New Roman" w:eastAsia="宋体"/>
                <w:b w:val="0"/>
                <w:i w:val="0"/>
                <w:color w:val="auto"/>
                <w:sz w:val="24"/>
              </w:rPr>
            </w:pPr>
            <w:r>
              <w:rPr>
                <w:rFonts w:ascii="Times New Roman" w:hAnsi="Times New Roman" w:eastAsia="宋体"/>
                <w:b w:val="0"/>
                <w:i w:val="0"/>
                <w:color w:val="auto"/>
                <w:sz w:val="24"/>
              </w:rPr>
              <w:t>【YYYY】年【MM】月【DD】日</w:t>
            </w:r>
          </w:p>
          <w:p w14:paraId="3E77D31F">
            <w:pPr>
              <w:pStyle w:val="39"/>
              <w:rPr>
                <w:rFonts w:hint="eastAsia"/>
                <w:vertAlign w:val="baseline"/>
                <w:lang w:val="en-US" w:eastAsia="zh-CN"/>
              </w:rPr>
            </w:pPr>
          </w:p>
          <w:p w14:paraId="22E6A30D">
            <w:pPr>
              <w:pStyle w:val="39"/>
              <w:rPr>
                <w:rFonts w:hint="eastAsia"/>
                <w:vertAlign w:val="baseline"/>
                <w:lang w:val="en-US" w:eastAsia="zh-CN"/>
              </w:rPr>
            </w:pPr>
          </w:p>
          <w:p w14:paraId="3477E748">
            <w:pPr>
              <w:pStyle w:val="39"/>
              <w:ind w:left="0" w:leftChars="0" w:firstLine="0" w:firstLineChars="0"/>
              <w:rPr>
                <w:rFonts w:hint="eastAsia"/>
                <w:vertAlign w:val="baseline"/>
                <w:lang w:val="en-US" w:eastAsia="zh-CN"/>
              </w:rPr>
            </w:pPr>
            <w:r>
              <w:rPr>
                <w:rFonts w:hint="eastAsia" w:eastAsia="黑体"/>
                <w:b w:val="0"/>
                <w:i w:val="0"/>
                <w:sz w:val="28"/>
                <w:lang w:val="en-US" w:eastAsia="zh-CN"/>
              </w:rPr>
              <w:t>一、</w:t>
            </w:r>
            <w:r>
              <w:rPr>
                <w:rFonts w:ascii="Times New Roman" w:hAnsi="Times New Roman" w:eastAsia="黑体"/>
                <w:b w:val="0"/>
                <w:i w:val="0"/>
                <w:sz w:val="28"/>
              </w:rPr>
              <w:t>概况</w:t>
            </w:r>
          </w:p>
          <w:p w14:paraId="627C96FA">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1．生产者信息</w:t>
            </w:r>
          </w:p>
          <w:p w14:paraId="69F599C7">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生产</w:t>
            </w:r>
            <w:r>
              <w:rPr>
                <w:rFonts w:hint="eastAsia" w:cs="Times New Roman"/>
                <w:color w:val="auto"/>
                <w:sz w:val="21"/>
                <w:szCs w:val="21"/>
                <w:vertAlign w:val="baseline"/>
                <w:lang w:val="en-US" w:eastAsia="zh-CN"/>
              </w:rPr>
              <w:t>单位</w:t>
            </w:r>
            <w:r>
              <w:rPr>
                <w:rFonts w:hint="default" w:ascii="Times New Roman" w:hAnsi="Times New Roman" w:eastAsia="宋体" w:cs="Times New Roman"/>
                <w:color w:val="auto"/>
                <w:sz w:val="21"/>
                <w:szCs w:val="21"/>
                <w:vertAlign w:val="baseline"/>
                <w:lang w:val="en-US" w:eastAsia="zh-CN"/>
              </w:rPr>
              <w:t>名称：</w:t>
            </w:r>
          </w:p>
          <w:p w14:paraId="69988377">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地址：</w:t>
            </w:r>
          </w:p>
          <w:p w14:paraId="2361DE73">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法定代表人：</w:t>
            </w:r>
          </w:p>
          <w:p w14:paraId="02DA76FC">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授权人（联系人）：</w:t>
            </w:r>
          </w:p>
          <w:p w14:paraId="6602CB74">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联系电话：</w:t>
            </w:r>
          </w:p>
          <w:p w14:paraId="61595F27">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企业概况：</w:t>
            </w:r>
          </w:p>
          <w:p w14:paraId="3A54A449">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eastAsia"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b w:val="0"/>
                <w:i w:val="0"/>
                <w:color w:val="auto"/>
                <w:sz w:val="21"/>
                <w:szCs w:val="21"/>
                <w:u w:val="single"/>
              </w:rPr>
              <w:t>含生产规模、经营模式</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资质认证、绿色发展基础</w:t>
            </w:r>
            <w:r>
              <w:rPr>
                <w:rFonts w:hint="eastAsia" w:cs="Times New Roman"/>
                <w:b w:val="0"/>
                <w:i w:val="0"/>
                <w:color w:val="auto"/>
                <w:sz w:val="21"/>
                <w:szCs w:val="21"/>
                <w:u w:val="single"/>
                <w:lang w:eastAsia="zh-CN"/>
              </w:rPr>
              <w:t>。</w:t>
            </w:r>
          </w:p>
          <w:p w14:paraId="3800D040">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2．产品信息</w:t>
            </w:r>
          </w:p>
          <w:p w14:paraId="21E7D1B8">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eastAsia="zh-CN"/>
              </w:rPr>
              <w:t>产品名称：</w:t>
            </w:r>
            <w:r>
              <w:rPr>
                <w:rFonts w:hint="eastAsia" w:cs="Times New Roman"/>
                <w:color w:val="auto"/>
                <w:sz w:val="21"/>
                <w:szCs w:val="21"/>
                <w:u w:val="single"/>
                <w:vertAlign w:val="baseline"/>
                <w:lang w:val="en-US" w:eastAsia="zh-CN"/>
              </w:rPr>
              <w:t>神湾菠萝</w:t>
            </w:r>
          </w:p>
          <w:p w14:paraId="46B67107">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产品介绍：</w:t>
            </w:r>
          </w:p>
          <w:p w14:paraId="683FEB9F">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b w:val="0"/>
                <w:i w:val="0"/>
                <w:color w:val="auto"/>
                <w:sz w:val="21"/>
                <w:szCs w:val="21"/>
                <w:u w:val="single"/>
              </w:rPr>
              <w:t>含产地</w:t>
            </w:r>
            <w:r>
              <w:rPr>
                <w:rFonts w:hint="eastAsia" w:cs="Times New Roman"/>
                <w:b w:val="0"/>
                <w:i w:val="0"/>
                <w:color w:val="auto"/>
                <w:sz w:val="21"/>
                <w:szCs w:val="21"/>
                <w:u w:val="single"/>
                <w:lang w:val="en-US" w:eastAsia="zh-CN"/>
              </w:rPr>
              <w:t>基本信息（包括位置、管理措施、气候条件、土壤条件等）</w:t>
            </w:r>
            <w:r>
              <w:rPr>
                <w:rFonts w:hint="default" w:ascii="Times New Roman" w:hAnsi="Times New Roman" w:eastAsia="宋体" w:cs="Times New Roman"/>
                <w:b w:val="0"/>
                <w:i w:val="0"/>
                <w:color w:val="auto"/>
                <w:sz w:val="21"/>
                <w:szCs w:val="21"/>
                <w:u w:val="single"/>
              </w:rPr>
              <w:t>、</w:t>
            </w:r>
            <w:r>
              <w:rPr>
                <w:rFonts w:hint="eastAsia" w:cs="Times New Roman"/>
                <w:b w:val="0"/>
                <w:i w:val="0"/>
                <w:color w:val="auto"/>
                <w:sz w:val="21"/>
                <w:szCs w:val="21"/>
                <w:u w:val="single"/>
                <w:lang w:val="en-US" w:eastAsia="zh-CN"/>
              </w:rPr>
              <w:t>神湾菠萝信息（种植面积、单位产量、单果重量、单位产值等）。</w:t>
            </w:r>
          </w:p>
          <w:p w14:paraId="3AA753AC">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w:t>
            </w:r>
            <w:r>
              <w:rPr>
                <w:rFonts w:hint="default" w:ascii="Times New Roman" w:hAnsi="Times New Roman" w:eastAsia="宋体" w:cs="Times New Roman"/>
                <w:color w:val="auto"/>
                <w:sz w:val="21"/>
                <w:szCs w:val="21"/>
                <w:vertAlign w:val="baseline"/>
                <w:lang w:val="en-US" w:eastAsia="zh-CN"/>
              </w:rPr>
              <w:t>图片</w:t>
            </w:r>
            <w:r>
              <w:rPr>
                <w:rFonts w:hint="default" w:ascii="Times New Roman" w:hAnsi="Times New Roman" w:eastAsia="宋体" w:cs="Times New Roman"/>
                <w:color w:val="auto"/>
                <w:sz w:val="21"/>
                <w:szCs w:val="21"/>
                <w:vertAlign w:val="baseline"/>
                <w:lang w:eastAsia="zh-CN"/>
              </w:rPr>
              <w:t>：</w:t>
            </w:r>
          </w:p>
          <w:p w14:paraId="4AC95D85">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w:t>
            </w:r>
            <w:r>
              <w:rPr>
                <w:rFonts w:hint="default" w:ascii="Times New Roman" w:hAnsi="Times New Roman" w:eastAsia="宋体" w:cs="Times New Roman"/>
                <w:color w:val="auto"/>
                <w:sz w:val="21"/>
                <w:szCs w:val="21"/>
                <w:vertAlign w:val="baseline"/>
                <w:lang w:val="en-US" w:eastAsia="zh-CN"/>
              </w:rPr>
              <w:t>种植流程</w:t>
            </w:r>
            <w:r>
              <w:rPr>
                <w:rFonts w:hint="default" w:ascii="Times New Roman" w:hAnsi="Times New Roman" w:eastAsia="宋体" w:cs="Times New Roman"/>
                <w:color w:val="auto"/>
                <w:sz w:val="21"/>
                <w:szCs w:val="21"/>
                <w:vertAlign w:val="baseline"/>
                <w:lang w:eastAsia="zh-CN"/>
              </w:rPr>
              <w:t>：</w:t>
            </w:r>
            <w:r>
              <w:rPr>
                <w:rFonts w:hint="default" w:ascii="Times New Roman" w:hAnsi="Times New Roman" w:eastAsia="宋体" w:cs="Times New Roman"/>
                <w:color w:val="auto"/>
                <w:sz w:val="21"/>
                <w:szCs w:val="21"/>
                <w:u w:val="single"/>
                <w:vertAlign w:val="baseline"/>
                <w:lang w:eastAsia="zh-CN"/>
              </w:rPr>
              <w:t>宜给出从芽苗繁育（采后留株培育）</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定植</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栽培管护</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果实采收</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芽苗采收</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母株清园</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鲜果包装</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装箱出厂的流程图。</w:t>
            </w:r>
          </w:p>
          <w:p w14:paraId="32F7DBB0">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3．量化方法</w:t>
            </w:r>
          </w:p>
          <w:p w14:paraId="203704E9">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1）</w:t>
            </w:r>
            <w:r>
              <w:rPr>
                <w:rFonts w:hint="default" w:ascii="Times New Roman" w:hAnsi="Times New Roman" w:eastAsia="宋体" w:cs="Times New Roman"/>
                <w:color w:val="auto"/>
                <w:sz w:val="21"/>
                <w:szCs w:val="21"/>
                <w:u w:val="single"/>
                <w:vertAlign w:val="baseline"/>
                <w:lang w:eastAsia="zh-CN"/>
              </w:rPr>
              <w:t>《ISO 14067：2018</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温室气体</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产品碳足迹</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量化要求及指南》；</w:t>
            </w:r>
          </w:p>
          <w:p w14:paraId="26EAE949">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2）</w:t>
            </w:r>
            <w:r>
              <w:rPr>
                <w:rFonts w:hint="default" w:ascii="Times New Roman" w:hAnsi="Times New Roman" w:eastAsia="宋体" w:cs="Times New Roman"/>
                <w:color w:val="auto"/>
                <w:sz w:val="21"/>
                <w:szCs w:val="21"/>
                <w:u w:val="single"/>
                <w:vertAlign w:val="baseline"/>
                <w:lang w:eastAsia="zh-CN"/>
              </w:rPr>
              <w:t>《PAS 2050</w:t>
            </w:r>
            <w:r>
              <w:rPr>
                <w:rFonts w:hint="default" w:ascii="Times New Roman" w:hAnsi="Times New Roman" w:eastAsia="宋体" w:cs="Times New Roman"/>
                <w:b w:val="0"/>
                <w:i w:val="0"/>
                <w:color w:val="auto"/>
                <w:sz w:val="21"/>
                <w:szCs w:val="21"/>
                <w:u w:val="single"/>
              </w:rPr>
              <w:t>—</w:t>
            </w:r>
            <w:r>
              <w:rPr>
                <w:rFonts w:hint="default" w:ascii="Times New Roman" w:hAnsi="Times New Roman" w:eastAsia="宋体" w:cs="Times New Roman"/>
                <w:color w:val="auto"/>
                <w:sz w:val="21"/>
                <w:szCs w:val="21"/>
                <w:u w:val="single"/>
                <w:vertAlign w:val="baseline"/>
                <w:lang w:eastAsia="zh-CN"/>
              </w:rPr>
              <w:t>2011：商品和服务的生命周期温室气体排放评价规范》；</w:t>
            </w:r>
          </w:p>
          <w:p w14:paraId="1CFA09C5">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3）</w:t>
            </w:r>
            <w:r>
              <w:rPr>
                <w:rFonts w:hint="default" w:ascii="Times New Roman" w:hAnsi="Times New Roman" w:eastAsia="宋体" w:cs="Times New Roman"/>
                <w:color w:val="auto"/>
                <w:sz w:val="21"/>
                <w:szCs w:val="21"/>
                <w:u w:val="single"/>
                <w:vertAlign w:val="baseline"/>
                <w:lang w:eastAsia="zh-CN"/>
              </w:rPr>
              <w:t>《GB/T 24067</w:t>
            </w:r>
            <w:r>
              <w:rPr>
                <w:rFonts w:hint="default" w:ascii="Times New Roman" w:hAnsi="Times New Roman" w:eastAsia="宋体" w:cs="Times New Roman"/>
                <w:b w:val="0"/>
                <w:i w:val="0"/>
                <w:color w:val="auto"/>
                <w:sz w:val="21"/>
                <w:szCs w:val="21"/>
                <w:u w:val="single"/>
              </w:rPr>
              <w:t>—</w:t>
            </w:r>
            <w:r>
              <w:rPr>
                <w:rFonts w:hint="default" w:ascii="Times New Roman" w:hAnsi="Times New Roman" w:eastAsia="宋体" w:cs="Times New Roman"/>
                <w:color w:val="auto"/>
                <w:sz w:val="21"/>
                <w:szCs w:val="21"/>
                <w:u w:val="single"/>
                <w:vertAlign w:val="baseline"/>
                <w:lang w:eastAsia="zh-CN"/>
              </w:rPr>
              <w:t>2024：温室气体 产品碳足迹 量化要求和指南》；</w:t>
            </w:r>
          </w:p>
          <w:p w14:paraId="12673A0C">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b w:val="0"/>
                <w:i w:val="0"/>
                <w:color w:val="auto"/>
                <w:sz w:val="21"/>
                <w:szCs w:val="21"/>
                <w:u w:val="single"/>
              </w:rPr>
            </w:pPr>
            <w:r>
              <w:rPr>
                <w:rFonts w:hint="default" w:ascii="Times New Roman" w:hAnsi="Times New Roman" w:eastAsia="宋体"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lang w:val="en-US" w:eastAsia="zh-CN"/>
              </w:rPr>
              <w:t>4）</w:t>
            </w:r>
            <w:r>
              <w:rPr>
                <w:rFonts w:hint="eastAsia" w:cs="Times New Roman"/>
                <w:b w:val="0"/>
                <w:i w:val="0"/>
                <w:color w:val="auto"/>
                <w:sz w:val="21"/>
                <w:szCs w:val="21"/>
                <w:u w:val="single"/>
                <w:lang w:val="en-US" w:eastAsia="zh-CN"/>
              </w:rPr>
              <w:t>《</w:t>
            </w:r>
            <w:r>
              <w:rPr>
                <w:rFonts w:hint="default" w:ascii="Times New Roman" w:hAnsi="Times New Roman" w:eastAsia="宋体" w:cs="Times New Roman"/>
                <w:b w:val="0"/>
                <w:i w:val="0"/>
                <w:color w:val="auto"/>
                <w:sz w:val="21"/>
                <w:szCs w:val="21"/>
                <w:u w:val="single"/>
              </w:rPr>
              <w:t>GB/T 24040—2008</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环境管理 生命周期评价 原则与框架》；</w:t>
            </w:r>
          </w:p>
          <w:p w14:paraId="55FFB811">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lang w:val="en-US" w:eastAsia="zh-CN"/>
              </w:rPr>
              <w:t>5）</w:t>
            </w:r>
            <w:r>
              <w:rPr>
                <w:rFonts w:hint="eastAsia" w:cs="Times New Roman"/>
                <w:b w:val="0"/>
                <w:i w:val="0"/>
                <w:color w:val="auto"/>
                <w:sz w:val="21"/>
                <w:szCs w:val="21"/>
                <w:u w:val="single"/>
                <w:lang w:val="en-US" w:eastAsia="zh-CN"/>
              </w:rPr>
              <w:t>《</w:t>
            </w:r>
            <w:r>
              <w:rPr>
                <w:rFonts w:hint="default" w:ascii="Times New Roman" w:hAnsi="Times New Roman" w:eastAsia="宋体" w:cs="Times New Roman"/>
                <w:b w:val="0"/>
                <w:i w:val="0"/>
                <w:color w:val="auto"/>
                <w:sz w:val="21"/>
                <w:szCs w:val="21"/>
                <w:u w:val="single"/>
              </w:rPr>
              <w:t>GB/T 24044—2008</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环境管理 生命周期评价 要求与指南》</w:t>
            </w:r>
            <w:r>
              <w:rPr>
                <w:rFonts w:hint="default" w:ascii="Times New Roman" w:hAnsi="Times New Roman" w:eastAsia="宋体" w:cs="Times New Roman"/>
                <w:b w:val="0"/>
                <w:i w:val="0"/>
                <w:color w:val="auto"/>
                <w:sz w:val="21"/>
                <w:szCs w:val="21"/>
                <w:u w:val="single"/>
                <w:lang w:eastAsia="zh-CN"/>
              </w:rPr>
              <w:t>。</w:t>
            </w:r>
          </w:p>
          <w:p w14:paraId="72B1FD7D">
            <w:pPr>
              <w:pStyle w:val="39"/>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二、量化目的</w:t>
            </w:r>
          </w:p>
          <w:p w14:paraId="05EC7075">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u w:val="single"/>
                <w:vertAlign w:val="baseline"/>
                <w:lang w:eastAsia="zh-CN"/>
              </w:rPr>
              <w:t>明确评价用途、覆盖阶段（原材料获取与投入阶段、生产阶段）与预期成果。</w:t>
            </w:r>
          </w:p>
          <w:p w14:paraId="010CA5D7">
            <w:pPr>
              <w:pStyle w:val="39"/>
              <w:ind w:left="0" w:leftChars="0" w:firstLine="0" w:firstLineChars="0"/>
              <w:rPr>
                <w:rFonts w:hint="default" w:ascii="Times New Roman" w:hAnsi="Times New Roman" w:eastAsia="黑体"/>
                <w:b w:val="0"/>
                <w:i w:val="0"/>
                <w:sz w:val="28"/>
                <w:lang w:val="en-US" w:eastAsia="zh-CN"/>
              </w:rPr>
            </w:pPr>
            <w:r>
              <w:rPr>
                <w:rFonts w:hint="eastAsia" w:ascii="Times New Roman" w:hAnsi="Times New Roman" w:eastAsia="黑体"/>
                <w:b w:val="0"/>
                <w:i w:val="0"/>
                <w:sz w:val="28"/>
                <w:lang w:val="en-US" w:eastAsia="zh-CN"/>
              </w:rPr>
              <w:t>三</w:t>
            </w:r>
            <w:r>
              <w:rPr>
                <w:rFonts w:hint="eastAsia" w:ascii="Times New Roman" w:hAnsi="Times New Roman" w:eastAsia="黑体"/>
                <w:b w:val="0"/>
                <w:i w:val="0"/>
                <w:sz w:val="28"/>
                <w:lang w:eastAsia="zh-CN"/>
              </w:rPr>
              <w:t>、量化</w:t>
            </w:r>
            <w:r>
              <w:rPr>
                <w:rFonts w:hint="eastAsia" w:ascii="Times New Roman" w:hAnsi="Times New Roman" w:eastAsia="黑体"/>
                <w:b w:val="0"/>
                <w:i w:val="0"/>
                <w:sz w:val="28"/>
                <w:lang w:val="en-US" w:eastAsia="zh-CN"/>
              </w:rPr>
              <w:t>范围</w:t>
            </w:r>
          </w:p>
          <w:p w14:paraId="60CE65F0">
            <w:pPr>
              <w:pStyle w:val="39"/>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1．功能单位</w:t>
            </w:r>
          </w:p>
          <w:p w14:paraId="2872054B">
            <w:pPr>
              <w:pStyle w:val="39"/>
              <w:keepNext w:val="0"/>
              <w:keepLines w:val="0"/>
              <w:pageBreakBefore w:val="0"/>
              <w:kinsoku/>
              <w:wordWrap/>
              <w:overflowPunct/>
              <w:topLinePunct w:val="0"/>
              <w:bidi w:val="0"/>
              <w:adjustRightInd/>
              <w:snapToGrid/>
              <w:spacing w:line="360" w:lineRule="exact"/>
              <w:ind w:left="0" w:firstLine="420" w:firstLineChars="200"/>
              <w:textAlignment w:val="auto"/>
              <w:rPr>
                <w:rFonts w:hint="default"/>
                <w:color w:val="auto"/>
                <w:sz w:val="21"/>
                <w:szCs w:val="21"/>
                <w:vertAlign w:val="baseline"/>
                <w:lang w:val="en-US" w:eastAsia="zh-CN"/>
              </w:rPr>
            </w:pPr>
            <w:r>
              <w:rPr>
                <w:rFonts w:hint="eastAsia"/>
                <w:color w:val="auto"/>
                <w:sz w:val="21"/>
                <w:szCs w:val="21"/>
                <w:u w:val="single"/>
                <w:vertAlign w:val="baseline"/>
                <w:lang w:val="en-US" w:eastAsia="zh-CN"/>
              </w:rPr>
              <w:t>神湾菠萝碳足迹核算的功能单位，为“1kg 神湾菠萝鲜果”。</w:t>
            </w:r>
          </w:p>
          <w:p w14:paraId="444E425B">
            <w:pPr>
              <w:pStyle w:val="39"/>
              <w:keepNext w:val="0"/>
              <w:keepLines w:val="0"/>
              <w:pageBreakBefore w:val="0"/>
              <w:widowControl/>
              <w:numPr>
                <w:ilvl w:val="0"/>
                <w:numId w:val="39"/>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系统边界</w:t>
            </w:r>
          </w:p>
          <w:p w14:paraId="46C91397">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default"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color w:val="auto"/>
                <w:sz w:val="21"/>
                <w:szCs w:val="21"/>
                <w:u w:val="single"/>
                <w:vertAlign w:val="baseline"/>
                <w:lang w:val="en-US" w:eastAsia="zh-CN"/>
              </w:rPr>
              <w:t>碳足迹核算的系统边界描述，按“原材料获取与投入阶段”与“生产阶段（种植阶段、包装阶段）”分别说明。</w:t>
            </w:r>
          </w:p>
          <w:p w14:paraId="033D6942">
            <w:pPr>
              <w:pStyle w:val="39"/>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3．取舍原则</w:t>
            </w:r>
          </w:p>
          <w:p w14:paraId="59EA9A5D">
            <w:pPr>
              <w:keepNext w:val="0"/>
              <w:keepLines w:val="0"/>
              <w:pageBreakBefore w:val="0"/>
              <w:kinsoku/>
              <w:wordWrap/>
              <w:overflowPunct/>
              <w:topLinePunct w:val="0"/>
              <w:bidi w:val="0"/>
              <w:adjustRightInd/>
              <w:snapToGrid/>
              <w:spacing w:line="360" w:lineRule="exact"/>
              <w:ind w:left="0" w:firstLine="420" w:firstLineChars="200"/>
              <w:jc w:val="both"/>
              <w:textAlignment w:val="auto"/>
              <w:rPr>
                <w:rFonts w:ascii="Times New Roman" w:hAnsi="Times New Roman" w:eastAsia="宋体"/>
                <w:b w:val="0"/>
                <w:i w:val="0"/>
                <w:color w:val="auto"/>
                <w:sz w:val="21"/>
                <w:szCs w:val="21"/>
                <w:u w:val="single"/>
              </w:rPr>
            </w:pPr>
            <w:r>
              <w:rPr>
                <w:rFonts w:ascii="Times New Roman" w:hAnsi="Times New Roman" w:eastAsia="宋体"/>
                <w:b w:val="0"/>
                <w:i w:val="0"/>
                <w:color w:val="auto"/>
                <w:sz w:val="21"/>
                <w:szCs w:val="21"/>
                <w:u w:val="single"/>
              </w:rPr>
              <w:t>采用的取舍准则以 GB/T 24067—2024《温室气体 产品碳足迹 量化要求和指南》为依据。即可舍弃产品碳足迹影响小于 1% 的环节，但舍弃环节总的影响不应超过产品碳足迹总量的 5%。</w:t>
            </w:r>
          </w:p>
          <w:p w14:paraId="01943251">
            <w:pPr>
              <w:pStyle w:val="39"/>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4．时间边界与分配原则</w:t>
            </w:r>
          </w:p>
          <w:p w14:paraId="1B17A85E">
            <w:pPr>
              <w:keepNext w:val="0"/>
              <w:keepLines w:val="0"/>
              <w:pageBreakBefore w:val="0"/>
              <w:kinsoku/>
              <w:wordWrap/>
              <w:overflowPunct/>
              <w:topLinePunct w:val="0"/>
              <w:bidi w:val="0"/>
              <w:adjustRightInd/>
              <w:snapToGrid/>
              <w:spacing w:line="360" w:lineRule="exact"/>
              <w:ind w:left="0" w:firstLine="420" w:firstLineChars="200"/>
              <w:jc w:val="both"/>
              <w:textAlignment w:val="auto"/>
              <w:rPr>
                <w:rFonts w:ascii="Times New Roman" w:hAnsi="Times New Roman" w:eastAsia="宋体"/>
                <w:b w:val="0"/>
                <w:i w:val="0"/>
                <w:color w:val="auto"/>
                <w:sz w:val="21"/>
                <w:szCs w:val="21"/>
                <w:u w:val="single"/>
              </w:rPr>
            </w:pPr>
            <w:r>
              <w:rPr>
                <w:rFonts w:hint="eastAsia" w:ascii="Times New Roman" w:hAnsi="Times New Roman" w:eastAsia="宋体"/>
                <w:b w:val="0"/>
                <w:i w:val="0"/>
                <w:color w:val="auto"/>
                <w:sz w:val="21"/>
                <w:szCs w:val="21"/>
                <w:u w:val="single"/>
              </w:rPr>
              <w:t>说明核算周期（覆盖从芽苗定植至母株清园的完整生产周期）、周期内的芽苗繁育与果实采收情况，以及鲜果与芽苗的分配方法与依据。</w:t>
            </w:r>
          </w:p>
          <w:p w14:paraId="40B56B86">
            <w:pPr>
              <w:pStyle w:val="39"/>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四、清单分析</w:t>
            </w:r>
          </w:p>
          <w:p w14:paraId="0763B993">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1．数据来源说明</w:t>
            </w:r>
          </w:p>
          <w:p w14:paraId="35F9E2E6">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1.1　初级数据</w:t>
            </w:r>
          </w:p>
          <w:p w14:paraId="1160826D">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b w:val="0"/>
                <w:i w:val="0"/>
                <w:sz w:val="21"/>
                <w:u w:val="single"/>
                <w:lang w:eastAsia="zh-CN"/>
              </w:rPr>
            </w:pPr>
            <w:r>
              <w:rPr>
                <w:rFonts w:ascii="Times New Roman" w:hAnsi="Times New Roman" w:eastAsia="宋体"/>
                <w:b w:val="0"/>
                <w:i w:val="0"/>
                <w:sz w:val="21"/>
                <w:u w:val="single"/>
              </w:rPr>
              <w:t>产品生命周期各阶段的活动数据</w:t>
            </w:r>
            <w:r>
              <w:rPr>
                <w:rFonts w:hint="eastAsia"/>
                <w:b w:val="0"/>
                <w:i w:val="0"/>
                <w:sz w:val="21"/>
                <w:u w:val="single"/>
                <w:lang w:eastAsia="zh-CN"/>
              </w:rPr>
              <w:t>。</w:t>
            </w:r>
          </w:p>
          <w:p w14:paraId="086DB7DA">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（1）原材料获取与投入阶段</w:t>
            </w:r>
          </w:p>
          <w:p w14:paraId="05FDF326">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1</w:t>
            </w:r>
            <w:r>
              <w:rPr>
                <w:rFonts w:ascii="Times New Roman" w:hAnsi="Times New Roman" w:eastAsia="黑体"/>
                <w:b w:val="0"/>
                <w:i w:val="0"/>
                <w:sz w:val="21"/>
              </w:rPr>
              <w:t xml:space="preserve">  农业投入品</w:t>
            </w:r>
            <w:r>
              <w:rPr>
                <w:rFonts w:hint="eastAsia" w:ascii="Times New Roman" w:hAnsi="Times New Roman" w:eastAsia="黑体"/>
                <w:b w:val="0"/>
                <w:i w:val="0"/>
                <w:sz w:val="21"/>
                <w:lang w:val="en-US" w:eastAsia="zh-CN"/>
              </w:rPr>
              <w:t>与包装材料</w:t>
            </w:r>
            <w:r>
              <w:rPr>
                <w:rFonts w:ascii="Times New Roman" w:hAnsi="Times New Roman" w:eastAsia="黑体"/>
                <w:b w:val="0"/>
                <w:i w:val="0"/>
                <w:sz w:val="21"/>
              </w:rPr>
              <w:t>生产与运输清单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662"/>
              <w:gridCol w:w="1330"/>
              <w:gridCol w:w="665"/>
              <w:gridCol w:w="997"/>
              <w:gridCol w:w="1164"/>
              <w:gridCol w:w="1496"/>
            </w:tblGrid>
            <w:tr w14:paraId="0CC1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shd w:val="clear" w:color="auto" w:fill="D9D9D9"/>
                  <w:vAlign w:val="center"/>
                </w:tcPr>
                <w:p w14:paraId="157FDE9C">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3CF2F126">
                  <w:pPr>
                    <w:spacing w:before="20" w:after="20" w:line="276" w:lineRule="auto"/>
                    <w:jc w:val="center"/>
                  </w:pPr>
                  <w:r>
                    <w:rPr>
                      <w:rFonts w:ascii="Times New Roman" w:hAnsi="Times New Roman" w:eastAsia="宋体"/>
                      <w:b/>
                      <w:i w:val="0"/>
                      <w:sz w:val="18"/>
                    </w:rPr>
                    <w:t>构成/规格</w:t>
                  </w:r>
                </w:p>
              </w:tc>
              <w:tc>
                <w:tcPr>
                  <w:tcW w:w="1330" w:type="dxa"/>
                  <w:shd w:val="clear" w:color="auto" w:fill="D9D9D9"/>
                  <w:vAlign w:val="center"/>
                </w:tcPr>
                <w:p w14:paraId="2B424E7A">
                  <w:pPr>
                    <w:spacing w:before="20" w:after="20" w:line="276" w:lineRule="auto"/>
                    <w:jc w:val="center"/>
                  </w:pPr>
                  <w:r>
                    <w:rPr>
                      <w:rFonts w:ascii="Times New Roman" w:hAnsi="Times New Roman" w:eastAsia="宋体"/>
                      <w:b/>
                      <w:i w:val="0"/>
                      <w:sz w:val="18"/>
                    </w:rPr>
                    <w:t>每功能单位使用量</w:t>
                  </w:r>
                </w:p>
              </w:tc>
              <w:tc>
                <w:tcPr>
                  <w:tcW w:w="665" w:type="dxa"/>
                  <w:shd w:val="clear" w:color="auto" w:fill="D9D9D9"/>
                  <w:vAlign w:val="center"/>
                </w:tcPr>
                <w:p w14:paraId="1174EF0F">
                  <w:pPr>
                    <w:spacing w:before="20" w:after="20" w:line="276" w:lineRule="auto"/>
                    <w:jc w:val="center"/>
                  </w:pPr>
                  <w:r>
                    <w:rPr>
                      <w:rFonts w:ascii="Times New Roman" w:hAnsi="Times New Roman" w:eastAsia="宋体"/>
                      <w:b/>
                      <w:i w:val="0"/>
                      <w:sz w:val="18"/>
                    </w:rPr>
                    <w:t>单位</w:t>
                  </w:r>
                </w:p>
              </w:tc>
              <w:tc>
                <w:tcPr>
                  <w:tcW w:w="997" w:type="dxa"/>
                  <w:shd w:val="clear" w:color="auto" w:fill="D9D9D9"/>
                  <w:vAlign w:val="center"/>
                </w:tcPr>
                <w:p w14:paraId="330CB517">
                  <w:pPr>
                    <w:spacing w:before="20" w:after="20" w:line="276" w:lineRule="auto"/>
                    <w:jc w:val="center"/>
                  </w:pPr>
                  <w:r>
                    <w:rPr>
                      <w:rFonts w:ascii="Times New Roman" w:hAnsi="Times New Roman" w:eastAsia="宋体"/>
                      <w:b/>
                      <w:i w:val="0"/>
                      <w:sz w:val="18"/>
                    </w:rPr>
                    <w:t>运输方式</w:t>
                  </w:r>
                </w:p>
              </w:tc>
              <w:tc>
                <w:tcPr>
                  <w:tcW w:w="1164" w:type="dxa"/>
                  <w:shd w:val="clear" w:color="auto" w:fill="D9D9D9"/>
                  <w:vAlign w:val="center"/>
                </w:tcPr>
                <w:p w14:paraId="1A61B0B0">
                  <w:pPr>
                    <w:spacing w:before="20" w:after="20" w:line="276" w:lineRule="auto"/>
                    <w:jc w:val="center"/>
                  </w:pPr>
                  <w:r>
                    <w:rPr>
                      <w:rFonts w:ascii="Times New Roman" w:hAnsi="Times New Roman" w:eastAsia="宋体"/>
                      <w:b/>
                      <w:i w:val="0"/>
                      <w:sz w:val="18"/>
                    </w:rPr>
                    <w:t>运输距离（km）</w:t>
                  </w:r>
                </w:p>
              </w:tc>
              <w:tc>
                <w:tcPr>
                  <w:tcW w:w="1496" w:type="dxa"/>
                  <w:shd w:val="clear" w:color="auto" w:fill="D9D9D9"/>
                  <w:vAlign w:val="center"/>
                </w:tcPr>
                <w:p w14:paraId="01CB73AE">
                  <w:pPr>
                    <w:spacing w:before="20" w:after="20" w:line="276" w:lineRule="auto"/>
                    <w:jc w:val="center"/>
                  </w:pPr>
                  <w:r>
                    <w:rPr>
                      <w:rFonts w:ascii="Times New Roman" w:hAnsi="Times New Roman" w:eastAsia="宋体"/>
                      <w:b/>
                      <w:i w:val="0"/>
                      <w:sz w:val="18"/>
                    </w:rPr>
                    <w:t>数据来源</w:t>
                  </w:r>
                </w:p>
              </w:tc>
            </w:tr>
            <w:tr w14:paraId="29AD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4AF99128">
                  <w:pPr>
                    <w:spacing w:before="20" w:after="20" w:line="276" w:lineRule="auto"/>
                    <w:jc w:val="left"/>
                  </w:pPr>
                </w:p>
              </w:tc>
              <w:tc>
                <w:tcPr>
                  <w:tcW w:w="1662" w:type="dxa"/>
                  <w:vAlign w:val="center"/>
                </w:tcPr>
                <w:p w14:paraId="28A4D995">
                  <w:pPr>
                    <w:spacing w:before="20" w:after="20" w:line="276" w:lineRule="auto"/>
                    <w:jc w:val="center"/>
                  </w:pPr>
                </w:p>
              </w:tc>
              <w:tc>
                <w:tcPr>
                  <w:tcW w:w="1330" w:type="dxa"/>
                  <w:vAlign w:val="center"/>
                </w:tcPr>
                <w:p w14:paraId="2CBD8C7F">
                  <w:pPr>
                    <w:spacing w:before="20" w:after="20" w:line="276" w:lineRule="auto"/>
                    <w:jc w:val="center"/>
                  </w:pPr>
                </w:p>
              </w:tc>
              <w:tc>
                <w:tcPr>
                  <w:tcW w:w="665" w:type="dxa"/>
                  <w:vAlign w:val="center"/>
                </w:tcPr>
                <w:p w14:paraId="72089395">
                  <w:pPr>
                    <w:spacing w:before="20" w:after="20" w:line="276" w:lineRule="auto"/>
                    <w:jc w:val="center"/>
                  </w:pPr>
                </w:p>
              </w:tc>
              <w:tc>
                <w:tcPr>
                  <w:tcW w:w="997" w:type="dxa"/>
                  <w:vAlign w:val="center"/>
                </w:tcPr>
                <w:p w14:paraId="38DC70CC">
                  <w:pPr>
                    <w:spacing w:before="20" w:after="20" w:line="276" w:lineRule="auto"/>
                    <w:jc w:val="center"/>
                  </w:pPr>
                </w:p>
              </w:tc>
              <w:tc>
                <w:tcPr>
                  <w:tcW w:w="1164" w:type="dxa"/>
                  <w:vAlign w:val="center"/>
                </w:tcPr>
                <w:p w14:paraId="3A6BD477">
                  <w:pPr>
                    <w:spacing w:before="20" w:after="20" w:line="276" w:lineRule="auto"/>
                    <w:jc w:val="center"/>
                  </w:pPr>
                </w:p>
              </w:tc>
              <w:tc>
                <w:tcPr>
                  <w:tcW w:w="1496" w:type="dxa"/>
                  <w:vAlign w:val="center"/>
                </w:tcPr>
                <w:p w14:paraId="57009B61">
                  <w:pPr>
                    <w:spacing w:before="20" w:after="20" w:line="276" w:lineRule="auto"/>
                    <w:jc w:val="center"/>
                  </w:pPr>
                </w:p>
              </w:tc>
            </w:tr>
            <w:tr w14:paraId="2644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4ED26920">
                  <w:pPr>
                    <w:spacing w:before="20" w:after="20" w:line="276" w:lineRule="auto"/>
                    <w:jc w:val="left"/>
                  </w:pPr>
                </w:p>
              </w:tc>
              <w:tc>
                <w:tcPr>
                  <w:tcW w:w="1662" w:type="dxa"/>
                  <w:vAlign w:val="center"/>
                </w:tcPr>
                <w:p w14:paraId="6676C750">
                  <w:pPr>
                    <w:spacing w:before="20" w:after="20" w:line="276" w:lineRule="auto"/>
                    <w:jc w:val="center"/>
                  </w:pPr>
                </w:p>
              </w:tc>
              <w:tc>
                <w:tcPr>
                  <w:tcW w:w="1330" w:type="dxa"/>
                  <w:vAlign w:val="center"/>
                </w:tcPr>
                <w:p w14:paraId="66B26126">
                  <w:pPr>
                    <w:spacing w:before="20" w:after="20" w:line="276" w:lineRule="auto"/>
                    <w:jc w:val="center"/>
                  </w:pPr>
                </w:p>
              </w:tc>
              <w:tc>
                <w:tcPr>
                  <w:tcW w:w="665" w:type="dxa"/>
                  <w:vAlign w:val="center"/>
                </w:tcPr>
                <w:p w14:paraId="49171950">
                  <w:pPr>
                    <w:spacing w:before="20" w:after="20" w:line="276" w:lineRule="auto"/>
                    <w:jc w:val="center"/>
                  </w:pPr>
                </w:p>
              </w:tc>
              <w:tc>
                <w:tcPr>
                  <w:tcW w:w="997" w:type="dxa"/>
                  <w:vAlign w:val="center"/>
                </w:tcPr>
                <w:p w14:paraId="56DF7213">
                  <w:pPr>
                    <w:spacing w:before="20" w:after="20" w:line="276" w:lineRule="auto"/>
                    <w:jc w:val="center"/>
                  </w:pPr>
                </w:p>
              </w:tc>
              <w:tc>
                <w:tcPr>
                  <w:tcW w:w="1164" w:type="dxa"/>
                  <w:vAlign w:val="center"/>
                </w:tcPr>
                <w:p w14:paraId="39BA4FB8">
                  <w:pPr>
                    <w:spacing w:before="20" w:after="20" w:line="276" w:lineRule="auto"/>
                    <w:jc w:val="center"/>
                  </w:pPr>
                </w:p>
              </w:tc>
              <w:tc>
                <w:tcPr>
                  <w:tcW w:w="1496" w:type="dxa"/>
                  <w:vAlign w:val="center"/>
                </w:tcPr>
                <w:p w14:paraId="5F439812">
                  <w:pPr>
                    <w:spacing w:before="20" w:after="20" w:line="276" w:lineRule="auto"/>
                    <w:jc w:val="center"/>
                  </w:pPr>
                </w:p>
              </w:tc>
            </w:tr>
          </w:tbl>
          <w:p w14:paraId="4C1CF94F">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p>
          <w:p w14:paraId="1FDC92BE">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w:t>
            </w:r>
            <w:r>
              <w:rPr>
                <w:rFonts w:hint="eastAsia"/>
                <w:vertAlign w:val="baseline"/>
                <w:lang w:val="en-US" w:eastAsia="zh-CN"/>
              </w:rPr>
              <w:t>2）</w:t>
            </w:r>
            <w:r>
              <w:rPr>
                <w:rFonts w:hint="eastAsia"/>
                <w:vertAlign w:val="baseline"/>
                <w:lang w:eastAsia="zh-CN"/>
              </w:rPr>
              <w:t>种植阶段</w:t>
            </w:r>
          </w:p>
          <w:p w14:paraId="78FB8FA5">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2</w:t>
            </w:r>
            <w:r>
              <w:rPr>
                <w:rFonts w:ascii="Times New Roman" w:hAnsi="Times New Roman" w:eastAsia="黑体"/>
                <w:b w:val="0"/>
                <w:i w:val="0"/>
                <w:sz w:val="21"/>
              </w:rPr>
              <w:t xml:space="preserve">  种植过程能源消耗清单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1"/>
              <w:gridCol w:w="1995"/>
              <w:gridCol w:w="1164"/>
              <w:gridCol w:w="2992"/>
            </w:tblGrid>
            <w:tr w14:paraId="01ED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shd w:val="clear" w:color="auto" w:fill="D9D9D9"/>
                  <w:vAlign w:val="center"/>
                </w:tcPr>
                <w:p w14:paraId="1D2092FC">
                  <w:pPr>
                    <w:spacing w:before="20" w:after="20" w:line="276" w:lineRule="auto"/>
                    <w:jc w:val="center"/>
                  </w:pPr>
                  <w:r>
                    <w:rPr>
                      <w:rFonts w:ascii="Times New Roman" w:hAnsi="Times New Roman" w:eastAsia="宋体"/>
                      <w:b/>
                      <w:i w:val="0"/>
                      <w:sz w:val="18"/>
                    </w:rPr>
                    <w:t>能源种类</w:t>
                  </w:r>
                </w:p>
              </w:tc>
              <w:tc>
                <w:tcPr>
                  <w:tcW w:w="1995" w:type="dxa"/>
                  <w:shd w:val="clear" w:color="auto" w:fill="D9D9D9"/>
                  <w:vAlign w:val="center"/>
                </w:tcPr>
                <w:p w14:paraId="1A0130B3">
                  <w:pPr>
                    <w:spacing w:before="20" w:after="20" w:line="276" w:lineRule="auto"/>
                    <w:jc w:val="center"/>
                  </w:pPr>
                  <w:r>
                    <w:rPr>
                      <w:rFonts w:ascii="Times New Roman" w:hAnsi="Times New Roman" w:eastAsia="宋体"/>
                      <w:b/>
                      <w:i w:val="0"/>
                      <w:sz w:val="18"/>
                    </w:rPr>
                    <w:t>每功能单位消耗量</w:t>
                  </w:r>
                </w:p>
              </w:tc>
              <w:tc>
                <w:tcPr>
                  <w:tcW w:w="1164" w:type="dxa"/>
                  <w:shd w:val="clear" w:color="auto" w:fill="D9D9D9"/>
                  <w:vAlign w:val="center"/>
                </w:tcPr>
                <w:p w14:paraId="5327FAFC">
                  <w:pPr>
                    <w:spacing w:before="20" w:after="20" w:line="276" w:lineRule="auto"/>
                    <w:jc w:val="center"/>
                  </w:pPr>
                  <w:r>
                    <w:rPr>
                      <w:rFonts w:ascii="Times New Roman" w:hAnsi="Times New Roman" w:eastAsia="宋体"/>
                      <w:b/>
                      <w:i w:val="0"/>
                      <w:sz w:val="18"/>
                    </w:rPr>
                    <w:t>单位</w:t>
                  </w:r>
                </w:p>
              </w:tc>
              <w:tc>
                <w:tcPr>
                  <w:tcW w:w="2992" w:type="dxa"/>
                  <w:shd w:val="clear" w:color="auto" w:fill="D9D9D9"/>
                  <w:vAlign w:val="center"/>
                </w:tcPr>
                <w:p w14:paraId="0424AFFC">
                  <w:pPr>
                    <w:spacing w:before="20" w:after="20" w:line="276" w:lineRule="auto"/>
                    <w:jc w:val="center"/>
                  </w:pPr>
                  <w:r>
                    <w:rPr>
                      <w:rFonts w:ascii="Times New Roman" w:hAnsi="Times New Roman" w:eastAsia="宋体"/>
                      <w:b/>
                      <w:i w:val="0"/>
                      <w:sz w:val="18"/>
                    </w:rPr>
                    <w:t>数据来源</w:t>
                  </w:r>
                </w:p>
              </w:tc>
            </w:tr>
            <w:tr w14:paraId="6540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vAlign w:val="center"/>
                </w:tcPr>
                <w:p w14:paraId="463C0C9C">
                  <w:pPr>
                    <w:spacing w:before="20" w:after="20" w:line="276" w:lineRule="auto"/>
                    <w:jc w:val="left"/>
                  </w:pPr>
                </w:p>
              </w:tc>
              <w:tc>
                <w:tcPr>
                  <w:tcW w:w="1995" w:type="dxa"/>
                  <w:vAlign w:val="center"/>
                </w:tcPr>
                <w:p w14:paraId="1C5E9263">
                  <w:pPr>
                    <w:spacing w:before="20" w:after="20" w:line="276" w:lineRule="auto"/>
                    <w:jc w:val="center"/>
                  </w:pPr>
                </w:p>
              </w:tc>
              <w:tc>
                <w:tcPr>
                  <w:tcW w:w="1164" w:type="dxa"/>
                  <w:vAlign w:val="center"/>
                </w:tcPr>
                <w:p w14:paraId="56EFB2AE">
                  <w:pPr>
                    <w:spacing w:before="20" w:after="20" w:line="276" w:lineRule="auto"/>
                    <w:jc w:val="center"/>
                  </w:pPr>
                </w:p>
              </w:tc>
              <w:tc>
                <w:tcPr>
                  <w:tcW w:w="2992" w:type="dxa"/>
                  <w:vAlign w:val="center"/>
                </w:tcPr>
                <w:p w14:paraId="610FC431">
                  <w:pPr>
                    <w:spacing w:before="20" w:after="20" w:line="276" w:lineRule="auto"/>
                    <w:jc w:val="center"/>
                  </w:pPr>
                </w:p>
              </w:tc>
            </w:tr>
            <w:tr w14:paraId="3004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vAlign w:val="center"/>
                </w:tcPr>
                <w:p w14:paraId="4C320070">
                  <w:pPr>
                    <w:spacing w:before="20" w:after="20" w:line="276" w:lineRule="auto"/>
                    <w:jc w:val="left"/>
                  </w:pPr>
                </w:p>
              </w:tc>
              <w:tc>
                <w:tcPr>
                  <w:tcW w:w="1995" w:type="dxa"/>
                  <w:vAlign w:val="center"/>
                </w:tcPr>
                <w:p w14:paraId="7F6D4357">
                  <w:pPr>
                    <w:spacing w:before="20" w:after="20" w:line="276" w:lineRule="auto"/>
                    <w:jc w:val="center"/>
                  </w:pPr>
                </w:p>
              </w:tc>
              <w:tc>
                <w:tcPr>
                  <w:tcW w:w="1164" w:type="dxa"/>
                  <w:vAlign w:val="center"/>
                </w:tcPr>
                <w:p w14:paraId="2ABCD296">
                  <w:pPr>
                    <w:spacing w:before="20" w:after="20" w:line="276" w:lineRule="auto"/>
                    <w:jc w:val="center"/>
                  </w:pPr>
                </w:p>
              </w:tc>
              <w:tc>
                <w:tcPr>
                  <w:tcW w:w="2992" w:type="dxa"/>
                  <w:vAlign w:val="center"/>
                </w:tcPr>
                <w:p w14:paraId="1A017C14">
                  <w:pPr>
                    <w:spacing w:before="20" w:after="20" w:line="276" w:lineRule="auto"/>
                    <w:jc w:val="center"/>
                  </w:pPr>
                </w:p>
              </w:tc>
            </w:tr>
          </w:tbl>
          <w:p w14:paraId="0841F8BF">
            <w:pPr>
              <w:pStyle w:val="39"/>
              <w:ind w:left="0" w:leftChars="0" w:firstLine="0" w:firstLineChars="0"/>
              <w:rPr>
                <w:rFonts w:hint="eastAsia"/>
                <w:vertAlign w:val="baseline"/>
                <w:lang w:eastAsia="zh-CN"/>
              </w:rPr>
            </w:pPr>
          </w:p>
          <w:p w14:paraId="3CCCE5D1">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3</w:t>
            </w:r>
            <w:r>
              <w:rPr>
                <w:rFonts w:ascii="Times New Roman" w:hAnsi="Times New Roman" w:eastAsia="黑体"/>
                <w:b w:val="0"/>
                <w:i w:val="0"/>
                <w:sz w:val="21"/>
              </w:rPr>
              <w:t xml:space="preserve">  农田 N₂O 排放清单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7"/>
              <w:gridCol w:w="2826"/>
              <w:gridCol w:w="3158"/>
            </w:tblGrid>
            <w:tr w14:paraId="721A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shd w:val="clear" w:color="auto" w:fill="D9D9D9"/>
                  <w:vAlign w:val="center"/>
                </w:tcPr>
                <w:p w14:paraId="5E0BDA6C">
                  <w:pPr>
                    <w:spacing w:before="20" w:after="20" w:line="276" w:lineRule="auto"/>
                    <w:jc w:val="center"/>
                  </w:pPr>
                  <w:r>
                    <w:rPr>
                      <w:rFonts w:ascii="Times New Roman" w:hAnsi="Times New Roman" w:eastAsia="宋体"/>
                      <w:b/>
                      <w:i w:val="0"/>
                      <w:sz w:val="18"/>
                    </w:rPr>
                    <w:t>名称</w:t>
                  </w:r>
                </w:p>
              </w:tc>
              <w:tc>
                <w:tcPr>
                  <w:tcW w:w="2826" w:type="dxa"/>
                  <w:shd w:val="clear" w:color="auto" w:fill="D9D9D9"/>
                  <w:vAlign w:val="center"/>
                </w:tcPr>
                <w:p w14:paraId="5F93AB41">
                  <w:pPr>
                    <w:spacing w:before="20" w:after="20" w:line="276" w:lineRule="auto"/>
                    <w:jc w:val="center"/>
                  </w:pPr>
                  <w:r>
                    <w:rPr>
                      <w:rFonts w:ascii="Times New Roman" w:hAnsi="Times New Roman" w:eastAsia="宋体"/>
                      <w:b/>
                      <w:i w:val="0"/>
                      <w:sz w:val="18"/>
                    </w:rPr>
                    <w:t>每功能单位排放量（kg CO₂e）</w:t>
                  </w:r>
                </w:p>
              </w:tc>
              <w:tc>
                <w:tcPr>
                  <w:tcW w:w="3158" w:type="dxa"/>
                  <w:shd w:val="clear" w:color="auto" w:fill="D9D9D9"/>
                  <w:vAlign w:val="center"/>
                </w:tcPr>
                <w:p w14:paraId="519A5193">
                  <w:pPr>
                    <w:spacing w:before="20" w:after="20" w:line="276" w:lineRule="auto"/>
                    <w:jc w:val="center"/>
                  </w:pPr>
                  <w:r>
                    <w:rPr>
                      <w:rFonts w:ascii="Times New Roman" w:hAnsi="Times New Roman" w:eastAsia="宋体"/>
                      <w:b/>
                      <w:i w:val="0"/>
                      <w:sz w:val="18"/>
                    </w:rPr>
                    <w:t>计算依据</w:t>
                  </w:r>
                </w:p>
              </w:tc>
            </w:tr>
            <w:tr w14:paraId="4FD0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vAlign w:val="center"/>
                </w:tcPr>
                <w:p w14:paraId="4FF16C75">
                  <w:pPr>
                    <w:spacing w:before="20" w:after="20" w:line="276" w:lineRule="auto"/>
                    <w:jc w:val="left"/>
                  </w:pPr>
                </w:p>
              </w:tc>
              <w:tc>
                <w:tcPr>
                  <w:tcW w:w="2826" w:type="dxa"/>
                  <w:vAlign w:val="center"/>
                </w:tcPr>
                <w:p w14:paraId="7A674E0B">
                  <w:pPr>
                    <w:spacing w:before="20" w:after="20" w:line="276" w:lineRule="auto"/>
                    <w:jc w:val="center"/>
                  </w:pPr>
                </w:p>
              </w:tc>
              <w:tc>
                <w:tcPr>
                  <w:tcW w:w="3158" w:type="dxa"/>
                  <w:vAlign w:val="center"/>
                </w:tcPr>
                <w:p w14:paraId="0F404BEA">
                  <w:pPr>
                    <w:spacing w:before="20" w:after="20" w:line="276" w:lineRule="auto"/>
                    <w:jc w:val="center"/>
                  </w:pPr>
                </w:p>
              </w:tc>
            </w:tr>
            <w:tr w14:paraId="557D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vAlign w:val="center"/>
                </w:tcPr>
                <w:p w14:paraId="3F08EFFC">
                  <w:pPr>
                    <w:spacing w:before="20" w:after="20" w:line="276" w:lineRule="auto"/>
                    <w:jc w:val="left"/>
                  </w:pPr>
                </w:p>
              </w:tc>
              <w:tc>
                <w:tcPr>
                  <w:tcW w:w="2826" w:type="dxa"/>
                  <w:vAlign w:val="center"/>
                </w:tcPr>
                <w:p w14:paraId="086A518B">
                  <w:pPr>
                    <w:spacing w:before="20" w:after="20" w:line="276" w:lineRule="auto"/>
                    <w:jc w:val="center"/>
                  </w:pPr>
                </w:p>
              </w:tc>
              <w:tc>
                <w:tcPr>
                  <w:tcW w:w="3158" w:type="dxa"/>
                  <w:vAlign w:val="center"/>
                </w:tcPr>
                <w:p w14:paraId="401CC532">
                  <w:pPr>
                    <w:spacing w:before="20" w:after="20" w:line="276" w:lineRule="auto"/>
                    <w:jc w:val="center"/>
                  </w:pPr>
                </w:p>
              </w:tc>
            </w:tr>
          </w:tbl>
          <w:p w14:paraId="697246C1">
            <w:pPr>
              <w:pStyle w:val="39"/>
              <w:ind w:left="0" w:leftChars="0" w:firstLine="0" w:firstLineChars="0"/>
              <w:rPr>
                <w:rFonts w:hint="eastAsia"/>
                <w:vertAlign w:val="baseline"/>
                <w:lang w:eastAsia="zh-CN"/>
              </w:rPr>
            </w:pPr>
          </w:p>
          <w:p w14:paraId="2E1458CC">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4</w:t>
            </w:r>
            <w:r>
              <w:rPr>
                <w:rFonts w:ascii="Times New Roman" w:hAnsi="Times New Roman" w:eastAsia="黑体"/>
                <w:b w:val="0"/>
                <w:i w:val="0"/>
                <w:sz w:val="21"/>
              </w:rPr>
              <w:t xml:space="preserve">  种植废弃物处理清单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1662"/>
              <w:gridCol w:w="1662"/>
              <w:gridCol w:w="831"/>
              <w:gridCol w:w="1662"/>
              <w:gridCol w:w="1164"/>
            </w:tblGrid>
            <w:tr w14:paraId="3E64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shd w:val="clear" w:color="auto" w:fill="D9D9D9"/>
                  <w:vAlign w:val="center"/>
                </w:tcPr>
                <w:p w14:paraId="76438F65">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54D39246">
                  <w:pPr>
                    <w:spacing w:before="20" w:after="20" w:line="276" w:lineRule="auto"/>
                    <w:jc w:val="center"/>
                  </w:pPr>
                  <w:r>
                    <w:rPr>
                      <w:rFonts w:ascii="Times New Roman" w:hAnsi="Times New Roman" w:eastAsia="宋体"/>
                      <w:b/>
                      <w:i w:val="0"/>
                      <w:sz w:val="18"/>
                    </w:rPr>
                    <w:t>构成</w:t>
                  </w:r>
                </w:p>
              </w:tc>
              <w:tc>
                <w:tcPr>
                  <w:tcW w:w="1662" w:type="dxa"/>
                  <w:shd w:val="clear" w:color="auto" w:fill="D9D9D9"/>
                  <w:vAlign w:val="center"/>
                </w:tcPr>
                <w:p w14:paraId="71C7F11E">
                  <w:pPr>
                    <w:spacing w:before="20" w:after="20" w:line="276" w:lineRule="auto"/>
                    <w:jc w:val="center"/>
                  </w:pPr>
                  <w:r>
                    <w:rPr>
                      <w:rFonts w:ascii="Times New Roman" w:hAnsi="Times New Roman" w:eastAsia="宋体"/>
                      <w:b/>
                      <w:i w:val="0"/>
                      <w:sz w:val="18"/>
                    </w:rPr>
                    <w:t>每功能单位产生量</w:t>
                  </w:r>
                </w:p>
              </w:tc>
              <w:tc>
                <w:tcPr>
                  <w:tcW w:w="831" w:type="dxa"/>
                  <w:shd w:val="clear" w:color="auto" w:fill="D9D9D9"/>
                  <w:vAlign w:val="center"/>
                </w:tcPr>
                <w:p w14:paraId="03C75310">
                  <w:pPr>
                    <w:spacing w:before="20" w:after="20" w:line="276" w:lineRule="auto"/>
                    <w:jc w:val="center"/>
                  </w:pPr>
                  <w:r>
                    <w:rPr>
                      <w:rFonts w:ascii="Times New Roman" w:hAnsi="Times New Roman" w:eastAsia="宋体"/>
                      <w:b/>
                      <w:i w:val="0"/>
                      <w:sz w:val="18"/>
                    </w:rPr>
                    <w:t>单位</w:t>
                  </w:r>
                </w:p>
              </w:tc>
              <w:tc>
                <w:tcPr>
                  <w:tcW w:w="1662" w:type="dxa"/>
                  <w:shd w:val="clear" w:color="auto" w:fill="D9D9D9"/>
                  <w:vAlign w:val="center"/>
                </w:tcPr>
                <w:p w14:paraId="02FD0E22">
                  <w:pPr>
                    <w:spacing w:before="20" w:after="20" w:line="276" w:lineRule="auto"/>
                    <w:jc w:val="center"/>
                  </w:pPr>
                  <w:r>
                    <w:rPr>
                      <w:rFonts w:ascii="Times New Roman" w:hAnsi="Times New Roman" w:eastAsia="宋体"/>
                      <w:b/>
                      <w:i w:val="0"/>
                      <w:sz w:val="18"/>
                    </w:rPr>
                    <w:t>处理方式</w:t>
                  </w:r>
                </w:p>
              </w:tc>
              <w:tc>
                <w:tcPr>
                  <w:tcW w:w="1164" w:type="dxa"/>
                  <w:shd w:val="clear" w:color="auto" w:fill="D9D9D9"/>
                  <w:vAlign w:val="center"/>
                </w:tcPr>
                <w:p w14:paraId="73CE43D2">
                  <w:pPr>
                    <w:spacing w:before="20" w:after="20" w:line="276" w:lineRule="auto"/>
                    <w:jc w:val="center"/>
                  </w:pPr>
                  <w:r>
                    <w:rPr>
                      <w:rFonts w:ascii="Times New Roman" w:hAnsi="Times New Roman" w:eastAsia="宋体"/>
                      <w:b/>
                      <w:i w:val="0"/>
                      <w:sz w:val="18"/>
                    </w:rPr>
                    <w:t>运输距离（km）</w:t>
                  </w:r>
                </w:p>
              </w:tc>
            </w:tr>
            <w:tr w14:paraId="762D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4BD4A002">
                  <w:pPr>
                    <w:spacing w:before="20" w:after="20" w:line="276" w:lineRule="auto"/>
                    <w:jc w:val="left"/>
                  </w:pPr>
                </w:p>
              </w:tc>
              <w:tc>
                <w:tcPr>
                  <w:tcW w:w="1662" w:type="dxa"/>
                  <w:vAlign w:val="center"/>
                </w:tcPr>
                <w:p w14:paraId="146D7170">
                  <w:pPr>
                    <w:spacing w:before="20" w:after="20" w:line="276" w:lineRule="auto"/>
                    <w:jc w:val="center"/>
                  </w:pPr>
                </w:p>
              </w:tc>
              <w:tc>
                <w:tcPr>
                  <w:tcW w:w="1662" w:type="dxa"/>
                  <w:vAlign w:val="center"/>
                </w:tcPr>
                <w:p w14:paraId="6043CE84">
                  <w:pPr>
                    <w:spacing w:before="20" w:after="20" w:line="276" w:lineRule="auto"/>
                    <w:jc w:val="center"/>
                  </w:pPr>
                </w:p>
              </w:tc>
              <w:tc>
                <w:tcPr>
                  <w:tcW w:w="831" w:type="dxa"/>
                  <w:vAlign w:val="center"/>
                </w:tcPr>
                <w:p w14:paraId="484A04D1">
                  <w:pPr>
                    <w:spacing w:before="20" w:after="20" w:line="276" w:lineRule="auto"/>
                    <w:jc w:val="center"/>
                  </w:pPr>
                </w:p>
              </w:tc>
              <w:tc>
                <w:tcPr>
                  <w:tcW w:w="1662" w:type="dxa"/>
                  <w:vAlign w:val="center"/>
                </w:tcPr>
                <w:p w14:paraId="0E2F3E16">
                  <w:pPr>
                    <w:spacing w:before="20" w:after="20" w:line="276" w:lineRule="auto"/>
                    <w:jc w:val="center"/>
                  </w:pPr>
                </w:p>
              </w:tc>
              <w:tc>
                <w:tcPr>
                  <w:tcW w:w="1164" w:type="dxa"/>
                  <w:vAlign w:val="center"/>
                </w:tcPr>
                <w:p w14:paraId="1897FF11">
                  <w:pPr>
                    <w:spacing w:before="20" w:after="20" w:line="276" w:lineRule="auto"/>
                    <w:jc w:val="center"/>
                  </w:pPr>
                </w:p>
              </w:tc>
            </w:tr>
            <w:tr w14:paraId="5933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4E8E7AB9">
                  <w:pPr>
                    <w:spacing w:before="20" w:after="20" w:line="276" w:lineRule="auto"/>
                    <w:jc w:val="left"/>
                  </w:pPr>
                </w:p>
              </w:tc>
              <w:tc>
                <w:tcPr>
                  <w:tcW w:w="1662" w:type="dxa"/>
                  <w:vAlign w:val="center"/>
                </w:tcPr>
                <w:p w14:paraId="5F985580">
                  <w:pPr>
                    <w:spacing w:before="20" w:after="20" w:line="276" w:lineRule="auto"/>
                    <w:jc w:val="center"/>
                  </w:pPr>
                </w:p>
              </w:tc>
              <w:tc>
                <w:tcPr>
                  <w:tcW w:w="1662" w:type="dxa"/>
                  <w:vAlign w:val="center"/>
                </w:tcPr>
                <w:p w14:paraId="73F7316B">
                  <w:pPr>
                    <w:spacing w:before="20" w:after="20" w:line="276" w:lineRule="auto"/>
                    <w:jc w:val="center"/>
                  </w:pPr>
                </w:p>
              </w:tc>
              <w:tc>
                <w:tcPr>
                  <w:tcW w:w="831" w:type="dxa"/>
                  <w:vAlign w:val="center"/>
                </w:tcPr>
                <w:p w14:paraId="580B4324">
                  <w:pPr>
                    <w:spacing w:before="20" w:after="20" w:line="276" w:lineRule="auto"/>
                    <w:jc w:val="center"/>
                  </w:pPr>
                </w:p>
              </w:tc>
              <w:tc>
                <w:tcPr>
                  <w:tcW w:w="1662" w:type="dxa"/>
                  <w:vAlign w:val="center"/>
                </w:tcPr>
                <w:p w14:paraId="79170610">
                  <w:pPr>
                    <w:spacing w:before="20" w:after="20" w:line="276" w:lineRule="auto"/>
                    <w:jc w:val="center"/>
                  </w:pPr>
                </w:p>
              </w:tc>
              <w:tc>
                <w:tcPr>
                  <w:tcW w:w="1164" w:type="dxa"/>
                  <w:vAlign w:val="center"/>
                </w:tcPr>
                <w:p w14:paraId="6FFF1534">
                  <w:pPr>
                    <w:spacing w:before="20" w:after="20" w:line="276" w:lineRule="auto"/>
                    <w:jc w:val="center"/>
                  </w:pPr>
                </w:p>
              </w:tc>
            </w:tr>
          </w:tbl>
          <w:p w14:paraId="2C6DCA1C">
            <w:pPr>
              <w:pStyle w:val="39"/>
              <w:ind w:left="0" w:leftChars="0" w:firstLine="0" w:firstLineChars="0"/>
              <w:rPr>
                <w:rFonts w:hint="eastAsia"/>
                <w:vertAlign w:val="baseline"/>
                <w:lang w:eastAsia="zh-CN"/>
              </w:rPr>
            </w:pPr>
          </w:p>
          <w:p w14:paraId="620C1BF3">
            <w:pPr>
              <w:pStyle w:val="39"/>
              <w:keepNext w:val="0"/>
              <w:keepLines w:val="0"/>
              <w:pageBreakBefore w:val="0"/>
              <w:widowControl/>
              <w:numPr>
                <w:numId w:val="0"/>
              </w:numPr>
              <w:kinsoku/>
              <w:wordWrap/>
              <w:overflowPunct/>
              <w:topLinePunct w:val="0"/>
              <w:autoSpaceDE w:val="0"/>
              <w:autoSpaceDN w:val="0"/>
              <w:bidi w:val="0"/>
              <w:adjustRightInd/>
              <w:snapToGrid/>
              <w:spacing w:line="360" w:lineRule="exact"/>
              <w:ind w:leftChars="200"/>
              <w:textAlignment w:val="auto"/>
              <w:rPr>
                <w:rFonts w:hint="eastAsia"/>
                <w:vertAlign w:val="baseline"/>
                <w:lang w:eastAsia="zh-CN"/>
              </w:rPr>
            </w:pPr>
            <w:r>
              <w:rPr>
                <w:rFonts w:hint="eastAsia"/>
                <w:vertAlign w:val="baseline"/>
                <w:lang w:eastAsia="zh-CN"/>
              </w:rPr>
              <w:t>（</w:t>
            </w:r>
            <w:r>
              <w:rPr>
                <w:rFonts w:hint="eastAsia"/>
                <w:vertAlign w:val="baseline"/>
                <w:lang w:val="en-US" w:eastAsia="zh-CN"/>
              </w:rPr>
              <w:t>3）</w:t>
            </w:r>
            <w:r>
              <w:rPr>
                <w:rFonts w:hint="eastAsia"/>
                <w:vertAlign w:val="baseline"/>
                <w:lang w:eastAsia="zh-CN"/>
              </w:rPr>
              <w:t>包装阶段</w:t>
            </w:r>
          </w:p>
          <w:p w14:paraId="5443E95F">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5</w:t>
            </w:r>
            <w:r>
              <w:rPr>
                <w:rFonts w:ascii="Times New Roman" w:hAnsi="Times New Roman" w:eastAsia="黑体"/>
                <w:b w:val="0"/>
                <w:i w:val="0"/>
                <w:sz w:val="21"/>
              </w:rPr>
              <w:t xml:space="preserve">  包装</w:t>
            </w:r>
            <w:r>
              <w:rPr>
                <w:rFonts w:hint="eastAsia" w:ascii="Times New Roman" w:hAnsi="Times New Roman" w:eastAsia="黑体"/>
                <w:b w:val="0"/>
                <w:i w:val="0"/>
                <w:sz w:val="21"/>
              </w:rPr>
              <w:t>过程能源消耗清单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1"/>
              <w:gridCol w:w="1995"/>
              <w:gridCol w:w="1164"/>
              <w:gridCol w:w="2992"/>
            </w:tblGrid>
            <w:tr w14:paraId="79BF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shd w:val="clear" w:color="auto" w:fill="D9D9D9"/>
                  <w:vAlign w:val="center"/>
                </w:tcPr>
                <w:p w14:paraId="6EE96210">
                  <w:pPr>
                    <w:spacing w:before="20" w:after="20" w:line="276" w:lineRule="auto"/>
                    <w:jc w:val="center"/>
                  </w:pPr>
                  <w:r>
                    <w:rPr>
                      <w:rFonts w:ascii="Times New Roman" w:hAnsi="Times New Roman" w:eastAsia="宋体"/>
                      <w:b/>
                      <w:i w:val="0"/>
                      <w:sz w:val="18"/>
                    </w:rPr>
                    <w:t>能源种类</w:t>
                  </w:r>
                </w:p>
              </w:tc>
              <w:tc>
                <w:tcPr>
                  <w:tcW w:w="1995" w:type="dxa"/>
                  <w:shd w:val="clear" w:color="auto" w:fill="D9D9D9"/>
                  <w:vAlign w:val="center"/>
                </w:tcPr>
                <w:p w14:paraId="00444975">
                  <w:pPr>
                    <w:spacing w:before="20" w:after="20" w:line="276" w:lineRule="auto"/>
                    <w:jc w:val="center"/>
                  </w:pPr>
                  <w:r>
                    <w:rPr>
                      <w:rFonts w:ascii="Times New Roman" w:hAnsi="Times New Roman" w:eastAsia="宋体"/>
                      <w:b/>
                      <w:i w:val="0"/>
                      <w:sz w:val="18"/>
                    </w:rPr>
                    <w:t>每功能单位消耗量</w:t>
                  </w:r>
                </w:p>
              </w:tc>
              <w:tc>
                <w:tcPr>
                  <w:tcW w:w="1164" w:type="dxa"/>
                  <w:shd w:val="clear" w:color="auto" w:fill="D9D9D9"/>
                  <w:vAlign w:val="center"/>
                </w:tcPr>
                <w:p w14:paraId="12E059BB">
                  <w:pPr>
                    <w:spacing w:before="20" w:after="20" w:line="276" w:lineRule="auto"/>
                    <w:jc w:val="center"/>
                  </w:pPr>
                  <w:r>
                    <w:rPr>
                      <w:rFonts w:ascii="Times New Roman" w:hAnsi="Times New Roman" w:eastAsia="宋体"/>
                      <w:b/>
                      <w:i w:val="0"/>
                      <w:sz w:val="18"/>
                    </w:rPr>
                    <w:t>单位</w:t>
                  </w:r>
                </w:p>
              </w:tc>
              <w:tc>
                <w:tcPr>
                  <w:tcW w:w="2992" w:type="dxa"/>
                  <w:shd w:val="clear" w:color="auto" w:fill="D9D9D9"/>
                  <w:vAlign w:val="center"/>
                </w:tcPr>
                <w:p w14:paraId="0E510B3D">
                  <w:pPr>
                    <w:spacing w:before="20" w:after="20" w:line="276" w:lineRule="auto"/>
                    <w:jc w:val="center"/>
                  </w:pPr>
                  <w:r>
                    <w:rPr>
                      <w:rFonts w:ascii="Times New Roman" w:hAnsi="Times New Roman" w:eastAsia="宋体"/>
                      <w:b/>
                      <w:i w:val="0"/>
                      <w:sz w:val="18"/>
                    </w:rPr>
                    <w:t>数据来源</w:t>
                  </w:r>
                </w:p>
              </w:tc>
            </w:tr>
            <w:tr w14:paraId="3095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vAlign w:val="center"/>
                </w:tcPr>
                <w:p w14:paraId="5ABB1743">
                  <w:pPr>
                    <w:spacing w:before="20" w:after="20" w:line="276" w:lineRule="auto"/>
                    <w:jc w:val="left"/>
                  </w:pPr>
                </w:p>
              </w:tc>
              <w:tc>
                <w:tcPr>
                  <w:tcW w:w="1995" w:type="dxa"/>
                  <w:vAlign w:val="center"/>
                </w:tcPr>
                <w:p w14:paraId="781B10F2">
                  <w:pPr>
                    <w:spacing w:before="20" w:after="20" w:line="276" w:lineRule="auto"/>
                    <w:jc w:val="center"/>
                  </w:pPr>
                </w:p>
              </w:tc>
              <w:tc>
                <w:tcPr>
                  <w:tcW w:w="1164" w:type="dxa"/>
                  <w:vAlign w:val="center"/>
                </w:tcPr>
                <w:p w14:paraId="49DA1DBF">
                  <w:pPr>
                    <w:spacing w:before="20" w:after="20" w:line="276" w:lineRule="auto"/>
                    <w:jc w:val="center"/>
                  </w:pPr>
                </w:p>
              </w:tc>
              <w:tc>
                <w:tcPr>
                  <w:tcW w:w="2992" w:type="dxa"/>
                  <w:vAlign w:val="center"/>
                </w:tcPr>
                <w:p w14:paraId="41A55BD6">
                  <w:pPr>
                    <w:spacing w:before="20" w:after="20" w:line="276" w:lineRule="auto"/>
                    <w:jc w:val="center"/>
                  </w:pPr>
                </w:p>
              </w:tc>
            </w:tr>
            <w:tr w14:paraId="336A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vAlign w:val="center"/>
                </w:tcPr>
                <w:p w14:paraId="427F5E9D">
                  <w:pPr>
                    <w:spacing w:before="20" w:after="20" w:line="276" w:lineRule="auto"/>
                    <w:jc w:val="left"/>
                  </w:pPr>
                </w:p>
              </w:tc>
              <w:tc>
                <w:tcPr>
                  <w:tcW w:w="1995" w:type="dxa"/>
                  <w:vAlign w:val="center"/>
                </w:tcPr>
                <w:p w14:paraId="7B602DAB">
                  <w:pPr>
                    <w:spacing w:before="20" w:after="20" w:line="276" w:lineRule="auto"/>
                    <w:jc w:val="center"/>
                  </w:pPr>
                </w:p>
              </w:tc>
              <w:tc>
                <w:tcPr>
                  <w:tcW w:w="1164" w:type="dxa"/>
                  <w:vAlign w:val="center"/>
                </w:tcPr>
                <w:p w14:paraId="17EB0C85">
                  <w:pPr>
                    <w:spacing w:before="20" w:after="20" w:line="276" w:lineRule="auto"/>
                    <w:jc w:val="center"/>
                  </w:pPr>
                </w:p>
              </w:tc>
              <w:tc>
                <w:tcPr>
                  <w:tcW w:w="2992" w:type="dxa"/>
                  <w:vAlign w:val="center"/>
                </w:tcPr>
                <w:p w14:paraId="3CC92300">
                  <w:pPr>
                    <w:spacing w:before="20" w:after="20" w:line="276" w:lineRule="auto"/>
                    <w:jc w:val="center"/>
                  </w:pPr>
                </w:p>
              </w:tc>
            </w:tr>
          </w:tbl>
          <w:p w14:paraId="294AD04A">
            <w:pPr>
              <w:pStyle w:val="39"/>
              <w:numPr>
                <w:ilvl w:val="0"/>
                <w:numId w:val="0"/>
              </w:numPr>
              <w:autoSpaceDE w:val="0"/>
              <w:autoSpaceDN w:val="0"/>
              <w:jc w:val="both"/>
              <w:rPr>
                <w:rFonts w:hint="default"/>
                <w:vertAlign w:val="baseline"/>
                <w:lang w:val="en-US" w:eastAsia="zh-CN"/>
              </w:rPr>
            </w:pPr>
          </w:p>
          <w:p w14:paraId="519D742E">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b w:val="0"/>
                <w:i w:val="0"/>
                <w:color w:val="auto"/>
                <w:sz w:val="21"/>
                <w:lang w:eastAsia="zh-CN"/>
              </w:rPr>
            </w:pPr>
            <w:r>
              <w:rPr>
                <w:rFonts w:hint="eastAsia"/>
                <w:vertAlign w:val="baseline"/>
                <w:lang w:eastAsia="zh-CN"/>
              </w:rPr>
              <w:t>1.2　</w:t>
            </w:r>
            <w:r>
              <w:rPr>
                <w:rFonts w:hint="eastAsia" w:ascii="Times New Roman" w:hAnsi="Times New Roman" w:eastAsia="宋体"/>
                <w:b w:val="0"/>
                <w:i w:val="0"/>
                <w:color w:val="auto"/>
                <w:sz w:val="21"/>
                <w:lang w:eastAsia="zh-CN"/>
              </w:rPr>
              <w:t xml:space="preserve">次级数据 </w:t>
            </w:r>
          </w:p>
          <w:p w14:paraId="2286ECA6">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eastAsia="宋体"/>
                <w:b w:val="0"/>
                <w:i w:val="0"/>
                <w:sz w:val="21"/>
                <w:u w:val="single"/>
                <w:lang w:val="en-US" w:eastAsia="zh-CN"/>
              </w:rPr>
            </w:pPr>
            <w:r>
              <w:rPr>
                <w:rFonts w:ascii="Times New Roman" w:hAnsi="Times New Roman" w:eastAsia="宋体"/>
                <w:b w:val="0"/>
                <w:i w:val="0"/>
                <w:color w:val="auto"/>
                <w:sz w:val="21"/>
                <w:u w:val="single"/>
              </w:rPr>
              <w:t>次级数据主要为各项活动数据对应的排放因子</w:t>
            </w:r>
            <w:r>
              <w:rPr>
                <w:rFonts w:hint="eastAsia"/>
                <w:b w:val="0"/>
                <w:i w:val="0"/>
                <w:color w:val="auto"/>
                <w:sz w:val="21"/>
                <w:u w:val="single"/>
                <w:lang w:eastAsia="zh-CN"/>
              </w:rPr>
              <w:t>。</w:t>
            </w:r>
          </w:p>
          <w:p w14:paraId="5BD87026">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6</w:t>
            </w:r>
            <w:r>
              <w:rPr>
                <w:rFonts w:ascii="Times New Roman" w:hAnsi="Times New Roman" w:eastAsia="黑体"/>
                <w:b w:val="0"/>
                <w:i w:val="0"/>
                <w:sz w:val="21"/>
              </w:rPr>
              <w:t xml:space="preserve">  排放因子清单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2161"/>
              <w:gridCol w:w="3158"/>
              <w:gridCol w:w="1662"/>
            </w:tblGrid>
            <w:tr w14:paraId="2EAF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shd w:val="clear" w:color="auto" w:fill="D9D9D9"/>
                  <w:vAlign w:val="center"/>
                </w:tcPr>
                <w:p w14:paraId="56726DFA">
                  <w:pPr>
                    <w:spacing w:before="20" w:after="20" w:line="276" w:lineRule="auto"/>
                    <w:jc w:val="center"/>
                  </w:pPr>
                  <w:r>
                    <w:rPr>
                      <w:rFonts w:ascii="Times New Roman" w:hAnsi="Times New Roman" w:eastAsia="宋体"/>
                      <w:b/>
                      <w:i w:val="0"/>
                      <w:sz w:val="18"/>
                    </w:rPr>
                    <w:t>生命周期阶段</w:t>
                  </w:r>
                </w:p>
              </w:tc>
              <w:tc>
                <w:tcPr>
                  <w:tcW w:w="2161" w:type="dxa"/>
                  <w:shd w:val="clear" w:color="auto" w:fill="D9D9D9"/>
                  <w:vAlign w:val="center"/>
                </w:tcPr>
                <w:p w14:paraId="32DECC02">
                  <w:pPr>
                    <w:spacing w:before="20" w:after="20" w:line="276" w:lineRule="auto"/>
                    <w:jc w:val="center"/>
                  </w:pPr>
                  <w:r>
                    <w:rPr>
                      <w:rFonts w:ascii="Times New Roman" w:hAnsi="Times New Roman" w:eastAsia="宋体"/>
                      <w:b/>
                      <w:i w:val="0"/>
                      <w:sz w:val="18"/>
                    </w:rPr>
                    <w:t>活动数据</w:t>
                  </w:r>
                </w:p>
              </w:tc>
              <w:tc>
                <w:tcPr>
                  <w:tcW w:w="3158" w:type="dxa"/>
                  <w:shd w:val="clear" w:color="auto" w:fill="D9D9D9"/>
                  <w:vAlign w:val="center"/>
                </w:tcPr>
                <w:p w14:paraId="5F9C12CD">
                  <w:pPr>
                    <w:spacing w:before="20" w:after="20" w:line="276" w:lineRule="auto"/>
                    <w:jc w:val="center"/>
                  </w:pPr>
                  <w:r>
                    <w:rPr>
                      <w:rFonts w:ascii="Times New Roman" w:hAnsi="Times New Roman" w:eastAsia="宋体"/>
                      <w:b/>
                      <w:i w:val="0"/>
                      <w:sz w:val="18"/>
                    </w:rPr>
                    <w:t>排放因子</w:t>
                  </w:r>
                </w:p>
              </w:tc>
              <w:tc>
                <w:tcPr>
                  <w:tcW w:w="1662" w:type="dxa"/>
                  <w:shd w:val="clear" w:color="auto" w:fill="D9D9D9"/>
                  <w:vAlign w:val="center"/>
                </w:tcPr>
                <w:p w14:paraId="58746FD3">
                  <w:pPr>
                    <w:spacing w:before="20" w:after="20" w:line="276" w:lineRule="auto"/>
                    <w:jc w:val="center"/>
                  </w:pPr>
                  <w:r>
                    <w:rPr>
                      <w:rFonts w:ascii="Times New Roman" w:hAnsi="Times New Roman" w:eastAsia="宋体"/>
                      <w:b/>
                      <w:i w:val="0"/>
                      <w:sz w:val="18"/>
                    </w:rPr>
                    <w:t>数据来源</w:t>
                  </w:r>
                </w:p>
              </w:tc>
            </w:tr>
            <w:tr w14:paraId="2C16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3903D7DA">
                  <w:pPr>
                    <w:spacing w:before="20" w:after="20" w:line="276" w:lineRule="auto"/>
                    <w:jc w:val="left"/>
                  </w:pPr>
                </w:p>
              </w:tc>
              <w:tc>
                <w:tcPr>
                  <w:tcW w:w="2161" w:type="dxa"/>
                  <w:vAlign w:val="center"/>
                </w:tcPr>
                <w:p w14:paraId="59AC319C">
                  <w:pPr>
                    <w:spacing w:before="20" w:after="20" w:line="276" w:lineRule="auto"/>
                    <w:jc w:val="center"/>
                  </w:pPr>
                </w:p>
              </w:tc>
              <w:tc>
                <w:tcPr>
                  <w:tcW w:w="3158" w:type="dxa"/>
                  <w:vAlign w:val="center"/>
                </w:tcPr>
                <w:p w14:paraId="461A18F4">
                  <w:pPr>
                    <w:spacing w:before="20" w:after="20" w:line="276" w:lineRule="auto"/>
                    <w:jc w:val="center"/>
                  </w:pPr>
                </w:p>
              </w:tc>
              <w:tc>
                <w:tcPr>
                  <w:tcW w:w="1662" w:type="dxa"/>
                  <w:vAlign w:val="center"/>
                </w:tcPr>
                <w:p w14:paraId="5AE9E83D">
                  <w:pPr>
                    <w:spacing w:before="20" w:after="20" w:line="276" w:lineRule="auto"/>
                    <w:jc w:val="center"/>
                  </w:pPr>
                </w:p>
              </w:tc>
            </w:tr>
            <w:tr w14:paraId="17D2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0C254E29">
                  <w:pPr>
                    <w:spacing w:before="20" w:after="20" w:line="276" w:lineRule="auto"/>
                    <w:jc w:val="left"/>
                  </w:pPr>
                </w:p>
              </w:tc>
              <w:tc>
                <w:tcPr>
                  <w:tcW w:w="2161" w:type="dxa"/>
                  <w:vAlign w:val="center"/>
                </w:tcPr>
                <w:p w14:paraId="1ABB337B">
                  <w:pPr>
                    <w:spacing w:before="20" w:after="20" w:line="276" w:lineRule="auto"/>
                    <w:jc w:val="center"/>
                  </w:pPr>
                </w:p>
              </w:tc>
              <w:tc>
                <w:tcPr>
                  <w:tcW w:w="3158" w:type="dxa"/>
                  <w:vAlign w:val="center"/>
                </w:tcPr>
                <w:p w14:paraId="64B8795C">
                  <w:pPr>
                    <w:spacing w:before="20" w:after="20" w:line="276" w:lineRule="auto"/>
                    <w:jc w:val="center"/>
                  </w:pPr>
                </w:p>
              </w:tc>
              <w:tc>
                <w:tcPr>
                  <w:tcW w:w="1662" w:type="dxa"/>
                  <w:vAlign w:val="center"/>
                </w:tcPr>
                <w:p w14:paraId="5C28599F">
                  <w:pPr>
                    <w:spacing w:before="20" w:after="20" w:line="276" w:lineRule="auto"/>
                    <w:jc w:val="center"/>
                  </w:pPr>
                </w:p>
              </w:tc>
            </w:tr>
          </w:tbl>
          <w:p w14:paraId="2C4AF589">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vertAlign w:val="baseline"/>
                <w:lang w:eastAsia="zh-CN"/>
              </w:rPr>
            </w:pPr>
            <w:r>
              <w:rPr>
                <w:rFonts w:hint="eastAsia"/>
                <w:vertAlign w:val="baseline"/>
                <w:lang w:val="en-US" w:eastAsia="zh-CN"/>
              </w:rPr>
              <w:t>2</w:t>
            </w:r>
            <w:r>
              <w:rPr>
                <w:rFonts w:hint="eastAsia"/>
                <w:vertAlign w:val="baseline"/>
                <w:lang w:eastAsia="zh-CN"/>
              </w:rPr>
              <w:t>．分配原则与程序</w:t>
            </w:r>
          </w:p>
          <w:p w14:paraId="5BF56666">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textAlignment w:val="auto"/>
              <w:rPr>
                <w:rFonts w:hint="eastAsia"/>
                <w:vertAlign w:val="baseline"/>
                <w:lang w:eastAsia="zh-CN"/>
              </w:rPr>
            </w:pPr>
            <w:r>
              <w:rPr>
                <w:rFonts w:hint="eastAsia"/>
                <w:u w:val="single"/>
                <w:vertAlign w:val="baseline"/>
                <w:lang w:eastAsia="zh-CN"/>
              </w:rPr>
              <w:t>说明鲜果与芽苗的分配原则、程序与方法，列出产值或产量等分配依据数据。</w:t>
            </w:r>
          </w:p>
          <w:p w14:paraId="073BCA39">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3．数据质量评价</w:t>
            </w:r>
          </w:p>
          <w:p w14:paraId="668A1DD1">
            <w:pPr>
              <w:pStyle w:val="39"/>
              <w:ind w:left="0" w:leftChars="0" w:firstLine="420" w:firstLineChars="200"/>
              <w:rPr>
                <w:rFonts w:hint="eastAsia"/>
                <w:u w:val="single"/>
                <w:vertAlign w:val="baseline"/>
                <w:lang w:eastAsia="zh-CN"/>
              </w:rPr>
            </w:pPr>
            <w:r>
              <w:rPr>
                <w:rFonts w:hint="eastAsia"/>
                <w:u w:val="single"/>
                <w:vertAlign w:val="baseline"/>
                <w:lang w:eastAsia="zh-CN"/>
              </w:rPr>
              <w:t>对活动数据</w:t>
            </w:r>
            <w:r>
              <w:rPr>
                <w:rFonts w:hint="eastAsia"/>
                <w:u w:val="single"/>
                <w:vertAlign w:val="baseline"/>
                <w:lang w:val="en-US" w:eastAsia="zh-CN"/>
              </w:rPr>
              <w:t>与</w:t>
            </w:r>
            <w:r>
              <w:rPr>
                <w:rFonts w:hint="eastAsia"/>
                <w:u w:val="single"/>
                <w:vertAlign w:val="baseline"/>
                <w:lang w:eastAsia="zh-CN"/>
              </w:rPr>
              <w:t>排放因子做质量评判，说明数据的时间代表性、地域代表性、技术代表性、完整性、不确定性，说明数据是否满足本评价目标。</w:t>
            </w:r>
          </w:p>
          <w:p w14:paraId="0A2E0B05">
            <w:pPr>
              <w:pStyle w:val="39"/>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五、影响评价</w:t>
            </w:r>
          </w:p>
          <w:p w14:paraId="15E8C4F8">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1．影响类型和特征化因子选择</w:t>
            </w:r>
          </w:p>
          <w:p w14:paraId="64565A8A">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u w:val="single"/>
                <w:vertAlign w:val="baseline"/>
                <w:lang w:eastAsia="zh-CN"/>
              </w:rPr>
              <w:t>说明选取了哪些环境影响类别、用哪一套特征化因子、数据来源。</w:t>
            </w:r>
          </w:p>
          <w:p w14:paraId="22EB9DA7">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vertAlign w:val="baseline"/>
                <w:lang w:eastAsia="zh-CN"/>
              </w:rPr>
            </w:pPr>
            <w:r>
              <w:rPr>
                <w:rFonts w:hint="eastAsia"/>
                <w:vertAlign w:val="baseline"/>
                <w:lang w:val="en-US" w:eastAsia="zh-CN"/>
              </w:rPr>
              <w:t>2</w:t>
            </w:r>
            <w:r>
              <w:rPr>
                <w:rFonts w:hint="eastAsia"/>
                <w:vertAlign w:val="baseline"/>
                <w:lang w:eastAsia="zh-CN"/>
              </w:rPr>
              <w:t>．产品碳足迹结果计算</w:t>
            </w:r>
          </w:p>
          <w:p w14:paraId="02A7765B">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u w:val="single"/>
                <w:vertAlign w:val="baseline"/>
                <w:lang w:eastAsia="zh-CN"/>
              </w:rPr>
            </w:pPr>
            <w:r>
              <w:rPr>
                <w:rFonts w:hint="eastAsia"/>
                <w:u w:val="single"/>
                <w:vertAlign w:val="baseline"/>
                <w:lang w:eastAsia="zh-CN"/>
              </w:rPr>
              <w:t>给出整套计算公式、变量释义、功能单位，分步展示产品碳足迹的完整计算逻辑。</w:t>
            </w:r>
          </w:p>
          <w:p w14:paraId="1102A890">
            <w:pPr>
              <w:pStyle w:val="39"/>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 xml:space="preserve">六、结果解释 </w:t>
            </w:r>
          </w:p>
          <w:p w14:paraId="20134D61">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1．结果说明</w:t>
            </w:r>
          </w:p>
          <w:p w14:paraId="5DDB3D4D">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u w:val="single"/>
                <w:vertAlign w:val="baseline"/>
                <w:lang w:eastAsia="zh-CN"/>
              </w:rPr>
            </w:pPr>
            <w:r>
              <w:rPr>
                <w:rFonts w:hint="eastAsia"/>
                <w:u w:val="single"/>
                <w:vertAlign w:val="baseline"/>
                <w:lang w:val="en-US" w:eastAsia="zh-CN"/>
              </w:rPr>
              <w:t>（神湾菠萝种植单位名称)</w:t>
            </w:r>
            <w:r>
              <w:rPr>
                <w:rFonts w:hint="eastAsia"/>
                <w:u w:val="single"/>
                <w:vertAlign w:val="baseline"/>
                <w:lang w:eastAsia="zh-CN"/>
              </w:rPr>
              <w:t>生产的</w:t>
            </w:r>
            <w:r>
              <w:rPr>
                <w:rFonts w:hint="eastAsia"/>
                <w:u w:val="single"/>
                <w:vertAlign w:val="baseline"/>
                <w:lang w:val="en-US" w:eastAsia="zh-CN"/>
              </w:rPr>
              <w:t>(</w:t>
            </w:r>
            <w:r>
              <w:rPr>
                <w:rFonts w:hint="eastAsia"/>
                <w:u w:val="single"/>
                <w:vertAlign w:val="baseline"/>
                <w:lang w:eastAsia="zh-CN"/>
              </w:rPr>
              <w:t>神湾菠萝</w:t>
            </w:r>
            <w:r>
              <w:rPr>
                <w:rFonts w:hint="eastAsia"/>
                <w:u w:val="single"/>
                <w:vertAlign w:val="baseline"/>
                <w:lang w:val="en-US" w:eastAsia="zh-CN"/>
              </w:rPr>
              <w:t>)</w:t>
            </w:r>
            <w:r>
              <w:rPr>
                <w:rFonts w:hint="eastAsia"/>
                <w:u w:val="single"/>
                <w:vertAlign w:val="baseline"/>
                <w:lang w:eastAsia="zh-CN"/>
              </w:rPr>
              <w:t>产品，从</w:t>
            </w:r>
            <w:r>
              <w:rPr>
                <w:rFonts w:hint="eastAsia"/>
                <w:u w:val="single"/>
                <w:vertAlign w:val="baseline"/>
                <w:lang w:val="en-US" w:eastAsia="zh-CN"/>
              </w:rPr>
              <w:t>(</w:t>
            </w:r>
            <w:r>
              <w:rPr>
                <w:rFonts w:hint="eastAsia"/>
                <w:u w:val="single"/>
                <w:vertAlign w:val="baseline"/>
                <w:lang w:eastAsia="zh-CN"/>
              </w:rPr>
              <w:t>种植到包装阶段</w:t>
            </w:r>
            <w:r>
              <w:rPr>
                <w:rFonts w:hint="eastAsia"/>
                <w:u w:val="single"/>
                <w:vertAlign w:val="baseline"/>
                <w:lang w:val="en-US" w:eastAsia="zh-CN"/>
              </w:rPr>
              <w:t>)</w:t>
            </w:r>
            <w:r>
              <w:rPr>
                <w:rFonts w:hint="eastAsia"/>
                <w:u w:val="single"/>
                <w:vertAlign w:val="baseline"/>
                <w:lang w:eastAsia="zh-CN"/>
              </w:rPr>
              <w:t>生命周期碳足迹为</w:t>
            </w:r>
            <w:r>
              <w:rPr>
                <w:rFonts w:hint="eastAsia"/>
                <w:u w:val="single"/>
                <w:vertAlign w:val="baseline"/>
                <w:lang w:val="en-US" w:eastAsia="zh-CN"/>
              </w:rPr>
              <w:t xml:space="preserve">(XXX </w:t>
            </w:r>
            <w:r>
              <w:rPr>
                <w:rFonts w:hint="eastAsia"/>
                <w:u w:val="single"/>
                <w:vertAlign w:val="baseline"/>
                <w:lang w:eastAsia="zh-CN"/>
              </w:rPr>
              <w:t>kg</w:t>
            </w:r>
            <w:r>
              <w:rPr>
                <w:rFonts w:hint="eastAsia"/>
                <w:u w:val="single"/>
                <w:vertAlign w:val="baseline"/>
                <w:lang w:val="en-US" w:eastAsia="zh-CN"/>
              </w:rPr>
              <w:t xml:space="preserve"> </w:t>
            </w:r>
            <w:r>
              <w:rPr>
                <w:rFonts w:hint="eastAsia"/>
                <w:u w:val="single"/>
                <w:vertAlign w:val="baseline"/>
                <w:lang w:eastAsia="zh-CN"/>
              </w:rPr>
              <w:t>CO</w:t>
            </w:r>
            <w:r>
              <w:rPr>
                <w:rFonts w:hint="eastAsia"/>
                <w:u w:val="single"/>
                <w:vertAlign w:val="subscript"/>
                <w:lang w:eastAsia="zh-CN"/>
              </w:rPr>
              <w:t>2</w:t>
            </w:r>
            <w:r>
              <w:rPr>
                <w:rFonts w:hint="eastAsia"/>
                <w:u w:val="single"/>
                <w:vertAlign w:val="baseline"/>
                <w:lang w:eastAsia="zh-CN"/>
              </w:rPr>
              <w:t>e</w:t>
            </w:r>
            <w:r>
              <w:rPr>
                <w:rFonts w:hint="eastAsia"/>
                <w:u w:val="single"/>
                <w:vertAlign w:val="baseline"/>
                <w:lang w:val="en-US" w:eastAsia="zh-CN"/>
              </w:rPr>
              <w:t xml:space="preserve"> / kg)</w:t>
            </w:r>
            <w:r>
              <w:rPr>
                <w:rFonts w:hint="eastAsia"/>
                <w:u w:val="single"/>
                <w:vertAlign w:val="baseline"/>
                <w:lang w:eastAsia="zh-CN"/>
              </w:rPr>
              <w:t>。</w:t>
            </w:r>
          </w:p>
          <w:p w14:paraId="00B8E16C">
            <w:pPr>
              <w:spacing w:before="120" w:after="40" w:line="288" w:lineRule="auto"/>
              <w:jc w:val="center"/>
              <w:rPr>
                <w:rFonts w:hint="eastAsia" w:ascii="Times New Roman" w:hAnsi="Times New Roman" w:eastAsia="黑体"/>
                <w:b w:val="0"/>
                <w:i w:val="0"/>
                <w:sz w:val="21"/>
              </w:rPr>
            </w:pPr>
            <w:r>
              <w:rPr>
                <w:rFonts w:hint="eastAsia" w:ascii="Times New Roman" w:hAnsi="Times New Roman" w:eastAsia="黑体"/>
                <w:b w:val="0"/>
                <w:i w:val="0"/>
                <w:sz w:val="21"/>
              </w:rPr>
              <w:t>表</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7</w:t>
            </w:r>
            <w:r>
              <w:rPr>
                <w:rFonts w:hint="eastAsia" w:ascii="Times New Roman" w:hAnsi="Times New Roman" w:eastAsia="黑体"/>
                <w:b w:val="0"/>
                <w:i w:val="0"/>
                <w:sz w:val="21"/>
              </w:rPr>
              <w:t xml:space="preserve"> </w:t>
            </w:r>
            <w:r>
              <w:rPr>
                <w:rFonts w:hint="eastAsia" w:ascii="Times New Roman" w:hAnsi="Times New Roman" w:eastAsia="黑体"/>
                <w:b w:val="0"/>
                <w:i w:val="0"/>
                <w:sz w:val="21"/>
                <w:lang w:val="en-US" w:eastAsia="zh-CN"/>
              </w:rPr>
              <w:t xml:space="preserve"> </w:t>
            </w:r>
            <w:r>
              <w:rPr>
                <w:rFonts w:hint="eastAsia" w:ascii="Times New Roman" w:hAnsi="Times New Roman" w:eastAsia="黑体"/>
                <w:b w:val="0"/>
                <w:i w:val="0"/>
                <w:sz w:val="21"/>
              </w:rPr>
              <w:t>产品生命周期各阶段温室气体排放情况</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0"/>
              <w:gridCol w:w="2051"/>
              <w:gridCol w:w="2232"/>
              <w:gridCol w:w="1482"/>
            </w:tblGrid>
            <w:tr w14:paraId="45B5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0" w:type="dxa"/>
                  <w:shd w:val="clear" w:color="auto" w:fill="D9D9D9"/>
                  <w:vAlign w:val="center"/>
                </w:tcPr>
                <w:p w14:paraId="4E1DACC4">
                  <w:pPr>
                    <w:spacing w:before="20" w:after="20" w:line="276" w:lineRule="auto"/>
                    <w:jc w:val="center"/>
                  </w:pPr>
                  <w:r>
                    <w:rPr>
                      <w:rFonts w:ascii="Times New Roman" w:hAnsi="Times New Roman" w:eastAsia="宋体"/>
                      <w:b/>
                      <w:i w:val="0"/>
                      <w:sz w:val="18"/>
                    </w:rPr>
                    <w:t>生命周期阶段</w:t>
                  </w:r>
                </w:p>
              </w:tc>
              <w:tc>
                <w:tcPr>
                  <w:tcW w:w="2051" w:type="dxa"/>
                  <w:shd w:val="clear" w:color="auto" w:fill="D9D9D9"/>
                  <w:vAlign w:val="center"/>
                </w:tcPr>
                <w:p w14:paraId="768142AD">
                  <w:pPr>
                    <w:spacing w:before="20" w:after="20" w:line="276" w:lineRule="auto"/>
                    <w:jc w:val="center"/>
                    <w:rPr>
                      <w:rFonts w:hint="eastAsia" w:ascii="Times New Roman" w:hAnsi="Times New Roman" w:eastAsia="宋体"/>
                      <w:b/>
                      <w:i w:val="0"/>
                      <w:sz w:val="18"/>
                      <w:lang w:val="en-US" w:eastAsia="zh-CN"/>
                    </w:rPr>
                  </w:pPr>
                  <w:r>
                    <w:rPr>
                      <w:rFonts w:hint="eastAsia" w:ascii="Times New Roman" w:hAnsi="Times New Roman" w:eastAsia="宋体"/>
                      <w:b/>
                      <w:i w:val="0"/>
                      <w:sz w:val="18"/>
                      <w:lang w:val="en-US" w:eastAsia="zh-CN"/>
                    </w:rPr>
                    <w:t>名称</w:t>
                  </w:r>
                </w:p>
              </w:tc>
              <w:tc>
                <w:tcPr>
                  <w:tcW w:w="2232" w:type="dxa"/>
                  <w:shd w:val="clear" w:color="auto" w:fill="D9D9D9"/>
                  <w:vAlign w:val="center"/>
                </w:tcPr>
                <w:p w14:paraId="04E48740">
                  <w:pPr>
                    <w:spacing w:before="20" w:after="20" w:line="276" w:lineRule="auto"/>
                    <w:jc w:val="center"/>
                    <w:rPr>
                      <w:rFonts w:hint="eastAsia" w:ascii="Times New Roman" w:hAnsi="Times New Roman" w:eastAsia="宋体"/>
                      <w:b/>
                      <w:i w:val="0"/>
                      <w:sz w:val="18"/>
                      <w:lang w:val="en-US" w:eastAsia="zh-CN"/>
                    </w:rPr>
                  </w:pPr>
                  <w:r>
                    <w:rPr>
                      <w:rFonts w:ascii="Times New Roman" w:hAnsi="Times New Roman" w:eastAsia="宋体"/>
                      <w:b/>
                      <w:i w:val="0"/>
                      <w:sz w:val="18"/>
                    </w:rPr>
                    <w:t>排放</w:t>
                  </w:r>
                  <w:r>
                    <w:rPr>
                      <w:rFonts w:hint="eastAsia" w:ascii="Times New Roman" w:hAnsi="Times New Roman"/>
                      <w:b/>
                      <w:i w:val="0"/>
                      <w:sz w:val="18"/>
                      <w:lang w:val="en-US" w:eastAsia="zh-CN"/>
                    </w:rPr>
                    <w:t>/清除量（</w:t>
                  </w:r>
                  <w:r>
                    <w:rPr>
                      <w:rFonts w:ascii="Times New Roman" w:hAnsi="Times New Roman" w:eastAsia="宋体"/>
                      <w:b/>
                      <w:i w:val="0"/>
                      <w:sz w:val="18"/>
                    </w:rPr>
                    <w:t>kg CO₂e）</w:t>
                  </w:r>
                </w:p>
              </w:tc>
              <w:tc>
                <w:tcPr>
                  <w:tcW w:w="1482" w:type="dxa"/>
                  <w:shd w:val="clear" w:color="auto" w:fill="D9D9D9"/>
                  <w:vAlign w:val="center"/>
                </w:tcPr>
                <w:p w14:paraId="7F25B796">
                  <w:pPr>
                    <w:spacing w:before="20" w:after="20" w:line="276" w:lineRule="auto"/>
                    <w:jc w:val="center"/>
                    <w:rPr>
                      <w:rFonts w:hint="eastAsia" w:ascii="Times New Roman" w:hAnsi="Times New Roman" w:eastAsia="宋体"/>
                      <w:b/>
                      <w:i w:val="0"/>
                      <w:sz w:val="18"/>
                      <w:lang w:eastAsia="zh-CN"/>
                    </w:rPr>
                  </w:pPr>
                  <w:r>
                    <w:rPr>
                      <w:rFonts w:hint="eastAsia" w:ascii="Times New Roman" w:hAnsi="Times New Roman"/>
                      <w:b/>
                      <w:i w:val="0"/>
                      <w:sz w:val="18"/>
                      <w:lang w:val="en-US" w:eastAsia="zh-CN"/>
                    </w:rPr>
                    <w:t>占比</w:t>
                  </w:r>
                </w:p>
              </w:tc>
            </w:tr>
            <w:tr w14:paraId="4462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0" w:type="dxa"/>
                  <w:vAlign w:val="center"/>
                </w:tcPr>
                <w:p w14:paraId="63444245">
                  <w:pPr>
                    <w:spacing w:before="20" w:after="20" w:line="276" w:lineRule="auto"/>
                    <w:jc w:val="left"/>
                    <w:rPr>
                      <w:rFonts w:hint="default"/>
                      <w:lang w:val="en-US" w:eastAsia="zh-CN"/>
                    </w:rPr>
                  </w:pPr>
                  <w:r>
                    <w:rPr>
                      <w:rFonts w:hint="eastAsia"/>
                      <w:b/>
                      <w:bCs/>
                      <w:lang w:val="en-US" w:eastAsia="zh-CN"/>
                    </w:rPr>
                    <w:t>碳排放清单</w:t>
                  </w:r>
                </w:p>
              </w:tc>
              <w:tc>
                <w:tcPr>
                  <w:tcW w:w="2051" w:type="dxa"/>
                  <w:vAlign w:val="center"/>
                </w:tcPr>
                <w:p w14:paraId="013D91BE">
                  <w:pPr>
                    <w:spacing w:before="20" w:after="20" w:line="276" w:lineRule="auto"/>
                    <w:jc w:val="center"/>
                  </w:pPr>
                </w:p>
              </w:tc>
              <w:tc>
                <w:tcPr>
                  <w:tcW w:w="2232" w:type="dxa"/>
                  <w:vAlign w:val="center"/>
                </w:tcPr>
                <w:p w14:paraId="690FB54A">
                  <w:pPr>
                    <w:spacing w:before="20" w:after="20" w:line="276" w:lineRule="auto"/>
                    <w:jc w:val="center"/>
                  </w:pPr>
                </w:p>
              </w:tc>
              <w:tc>
                <w:tcPr>
                  <w:tcW w:w="1482" w:type="dxa"/>
                  <w:vAlign w:val="center"/>
                </w:tcPr>
                <w:p w14:paraId="5BDAC8A5">
                  <w:pPr>
                    <w:spacing w:before="20" w:after="20" w:line="276" w:lineRule="auto"/>
                    <w:jc w:val="center"/>
                  </w:pPr>
                </w:p>
              </w:tc>
            </w:tr>
            <w:tr w14:paraId="4D83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0" w:type="dxa"/>
                  <w:vAlign w:val="center"/>
                </w:tcPr>
                <w:p w14:paraId="6A6542F7">
                  <w:pPr>
                    <w:spacing w:before="20" w:after="20" w:line="276" w:lineRule="auto"/>
                    <w:jc w:val="left"/>
                    <w:rPr>
                      <w:rFonts w:hint="eastAsia"/>
                      <w:lang w:val="en-US" w:eastAsia="zh-CN"/>
                    </w:rPr>
                  </w:pPr>
                  <w:r>
                    <w:rPr>
                      <w:rFonts w:hint="eastAsia"/>
                      <w:lang w:val="en-US" w:eastAsia="zh-CN"/>
                    </w:rPr>
                    <w:t>原材料获取与投入阶段</w:t>
                  </w:r>
                </w:p>
              </w:tc>
              <w:tc>
                <w:tcPr>
                  <w:tcW w:w="2051" w:type="dxa"/>
                  <w:vAlign w:val="center"/>
                </w:tcPr>
                <w:p w14:paraId="1D29176F">
                  <w:pPr>
                    <w:spacing w:before="20" w:after="20" w:line="276" w:lineRule="auto"/>
                    <w:jc w:val="center"/>
                  </w:pPr>
                </w:p>
              </w:tc>
              <w:tc>
                <w:tcPr>
                  <w:tcW w:w="2232" w:type="dxa"/>
                  <w:vAlign w:val="center"/>
                </w:tcPr>
                <w:p w14:paraId="105DED1B">
                  <w:pPr>
                    <w:spacing w:before="20" w:after="20" w:line="276" w:lineRule="auto"/>
                    <w:jc w:val="center"/>
                  </w:pPr>
                </w:p>
              </w:tc>
              <w:tc>
                <w:tcPr>
                  <w:tcW w:w="1482" w:type="dxa"/>
                  <w:vAlign w:val="center"/>
                </w:tcPr>
                <w:p w14:paraId="081D0822">
                  <w:pPr>
                    <w:spacing w:before="20" w:after="20" w:line="276" w:lineRule="auto"/>
                    <w:jc w:val="center"/>
                  </w:pPr>
                </w:p>
              </w:tc>
            </w:tr>
            <w:tr w14:paraId="0DC8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0" w:type="dxa"/>
                  <w:vAlign w:val="center"/>
                </w:tcPr>
                <w:p w14:paraId="213E88E8">
                  <w:pPr>
                    <w:spacing w:before="20" w:after="20" w:line="276" w:lineRule="auto"/>
                    <w:jc w:val="left"/>
                    <w:rPr>
                      <w:rFonts w:hint="eastAsia"/>
                      <w:lang w:val="en-US" w:eastAsia="zh-CN"/>
                    </w:rPr>
                  </w:pPr>
                  <w:r>
                    <w:rPr>
                      <w:rFonts w:hint="eastAsia"/>
                      <w:lang w:val="en-US" w:eastAsia="zh-CN"/>
                    </w:rPr>
                    <w:t>生产阶段（种植阶段）</w:t>
                  </w:r>
                </w:p>
              </w:tc>
              <w:tc>
                <w:tcPr>
                  <w:tcW w:w="2051" w:type="dxa"/>
                  <w:vAlign w:val="center"/>
                </w:tcPr>
                <w:p w14:paraId="3BC86BF3">
                  <w:pPr>
                    <w:spacing w:before="20" w:after="20" w:line="276" w:lineRule="auto"/>
                    <w:jc w:val="center"/>
                  </w:pPr>
                </w:p>
              </w:tc>
              <w:tc>
                <w:tcPr>
                  <w:tcW w:w="2232" w:type="dxa"/>
                  <w:vAlign w:val="center"/>
                </w:tcPr>
                <w:p w14:paraId="733A40DF">
                  <w:pPr>
                    <w:spacing w:before="20" w:after="20" w:line="276" w:lineRule="auto"/>
                    <w:jc w:val="center"/>
                  </w:pPr>
                </w:p>
              </w:tc>
              <w:tc>
                <w:tcPr>
                  <w:tcW w:w="1482" w:type="dxa"/>
                  <w:vAlign w:val="center"/>
                </w:tcPr>
                <w:p w14:paraId="49850CD7">
                  <w:pPr>
                    <w:spacing w:before="20" w:after="20" w:line="276" w:lineRule="auto"/>
                    <w:jc w:val="center"/>
                  </w:pPr>
                </w:p>
              </w:tc>
            </w:tr>
            <w:tr w14:paraId="0D9D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0" w:type="dxa"/>
                  <w:vAlign w:val="center"/>
                </w:tcPr>
                <w:p w14:paraId="7690D31D">
                  <w:pPr>
                    <w:spacing w:before="20" w:after="20" w:line="276" w:lineRule="auto"/>
                    <w:jc w:val="left"/>
                    <w:rPr>
                      <w:rFonts w:hint="default"/>
                      <w:lang w:val="en-US" w:eastAsia="zh-CN"/>
                    </w:rPr>
                  </w:pPr>
                  <w:r>
                    <w:rPr>
                      <w:rFonts w:hint="eastAsia"/>
                      <w:lang w:val="en-US" w:eastAsia="zh-CN"/>
                    </w:rPr>
                    <w:t>生产阶段（包装阶段）</w:t>
                  </w:r>
                </w:p>
              </w:tc>
              <w:tc>
                <w:tcPr>
                  <w:tcW w:w="2051" w:type="dxa"/>
                  <w:vAlign w:val="center"/>
                </w:tcPr>
                <w:p w14:paraId="66B80C5B">
                  <w:pPr>
                    <w:spacing w:before="20" w:after="20" w:line="276" w:lineRule="auto"/>
                    <w:jc w:val="center"/>
                  </w:pPr>
                </w:p>
              </w:tc>
              <w:tc>
                <w:tcPr>
                  <w:tcW w:w="2232" w:type="dxa"/>
                  <w:vAlign w:val="center"/>
                </w:tcPr>
                <w:p w14:paraId="3B001B66">
                  <w:pPr>
                    <w:spacing w:before="20" w:after="20" w:line="276" w:lineRule="auto"/>
                    <w:jc w:val="center"/>
                  </w:pPr>
                </w:p>
              </w:tc>
              <w:tc>
                <w:tcPr>
                  <w:tcW w:w="1482" w:type="dxa"/>
                  <w:vAlign w:val="center"/>
                </w:tcPr>
                <w:p w14:paraId="618DF6F5">
                  <w:pPr>
                    <w:spacing w:before="20" w:after="20" w:line="276" w:lineRule="auto"/>
                    <w:jc w:val="center"/>
                  </w:pPr>
                </w:p>
              </w:tc>
            </w:tr>
            <w:tr w14:paraId="64C1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0" w:type="dxa"/>
                  <w:vAlign w:val="center"/>
                </w:tcPr>
                <w:p w14:paraId="231C2113">
                  <w:pPr>
                    <w:spacing w:before="20" w:after="20" w:line="276" w:lineRule="auto"/>
                    <w:jc w:val="left"/>
                    <w:rPr>
                      <w:rFonts w:hint="default" w:eastAsia="宋体"/>
                      <w:lang w:val="en-US" w:eastAsia="zh-CN"/>
                    </w:rPr>
                  </w:pPr>
                  <w:r>
                    <w:rPr>
                      <w:rFonts w:hint="eastAsia"/>
                      <w:lang w:val="en-US" w:eastAsia="zh-CN"/>
                    </w:rPr>
                    <w:t>小计</w:t>
                  </w:r>
                </w:p>
              </w:tc>
              <w:tc>
                <w:tcPr>
                  <w:tcW w:w="2051" w:type="dxa"/>
                  <w:vAlign w:val="center"/>
                </w:tcPr>
                <w:p w14:paraId="7169C393">
                  <w:pPr>
                    <w:spacing w:before="20" w:after="20" w:line="276" w:lineRule="auto"/>
                    <w:jc w:val="center"/>
                  </w:pPr>
                </w:p>
              </w:tc>
              <w:tc>
                <w:tcPr>
                  <w:tcW w:w="2232" w:type="dxa"/>
                  <w:vAlign w:val="center"/>
                </w:tcPr>
                <w:p w14:paraId="110BD688">
                  <w:pPr>
                    <w:spacing w:before="20" w:after="20" w:line="276" w:lineRule="auto"/>
                    <w:jc w:val="center"/>
                  </w:pPr>
                </w:p>
              </w:tc>
              <w:tc>
                <w:tcPr>
                  <w:tcW w:w="1482" w:type="dxa"/>
                  <w:vAlign w:val="center"/>
                </w:tcPr>
                <w:p w14:paraId="3D74087E">
                  <w:pPr>
                    <w:spacing w:before="20" w:after="20" w:line="276" w:lineRule="auto"/>
                    <w:jc w:val="center"/>
                  </w:pPr>
                </w:p>
              </w:tc>
            </w:tr>
            <w:tr w14:paraId="6CC0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0" w:type="dxa"/>
                  <w:vAlign w:val="center"/>
                </w:tcPr>
                <w:p w14:paraId="67594E24">
                  <w:pPr>
                    <w:spacing w:before="20" w:after="20" w:line="276" w:lineRule="auto"/>
                    <w:jc w:val="left"/>
                    <w:rPr>
                      <w:rFonts w:hint="default"/>
                      <w:lang w:val="en-US" w:eastAsia="zh-CN"/>
                    </w:rPr>
                  </w:pPr>
                  <w:r>
                    <w:rPr>
                      <w:rFonts w:hint="eastAsia"/>
                      <w:b/>
                      <w:bCs/>
                      <w:lang w:val="en-US" w:eastAsia="zh-CN"/>
                    </w:rPr>
                    <w:t>碳汇清单</w:t>
                  </w:r>
                </w:p>
              </w:tc>
              <w:tc>
                <w:tcPr>
                  <w:tcW w:w="2051" w:type="dxa"/>
                  <w:vAlign w:val="center"/>
                </w:tcPr>
                <w:p w14:paraId="7E32E1E4">
                  <w:pPr>
                    <w:spacing w:before="20" w:after="20" w:line="276" w:lineRule="auto"/>
                    <w:jc w:val="center"/>
                  </w:pPr>
                </w:p>
              </w:tc>
              <w:tc>
                <w:tcPr>
                  <w:tcW w:w="2232" w:type="dxa"/>
                  <w:vAlign w:val="center"/>
                </w:tcPr>
                <w:p w14:paraId="35FE33C4">
                  <w:pPr>
                    <w:spacing w:before="20" w:after="20" w:line="276" w:lineRule="auto"/>
                    <w:jc w:val="center"/>
                  </w:pPr>
                </w:p>
              </w:tc>
              <w:tc>
                <w:tcPr>
                  <w:tcW w:w="1482" w:type="dxa"/>
                  <w:vAlign w:val="center"/>
                </w:tcPr>
                <w:p w14:paraId="2E701536">
                  <w:pPr>
                    <w:spacing w:before="20" w:after="20" w:line="276" w:lineRule="auto"/>
                    <w:jc w:val="center"/>
                  </w:pPr>
                </w:p>
              </w:tc>
            </w:tr>
            <w:tr w14:paraId="7D8E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0" w:type="dxa"/>
                  <w:vAlign w:val="center"/>
                </w:tcPr>
                <w:p w14:paraId="484600BF">
                  <w:pPr>
                    <w:spacing w:before="20" w:after="20" w:line="276" w:lineRule="auto"/>
                    <w:jc w:val="left"/>
                    <w:rPr>
                      <w:rFonts w:hint="default"/>
                      <w:lang w:val="en-US" w:eastAsia="zh-CN"/>
                    </w:rPr>
                  </w:pPr>
                  <w:r>
                    <w:rPr>
                      <w:rFonts w:hint="eastAsia"/>
                      <w:lang w:val="en-US" w:eastAsia="zh-CN"/>
                    </w:rPr>
                    <w:t>种植阶段</w:t>
                  </w:r>
                </w:p>
              </w:tc>
              <w:tc>
                <w:tcPr>
                  <w:tcW w:w="2051" w:type="dxa"/>
                  <w:vAlign w:val="center"/>
                </w:tcPr>
                <w:p w14:paraId="395F96BF">
                  <w:pPr>
                    <w:spacing w:before="20" w:after="20" w:line="276" w:lineRule="auto"/>
                    <w:jc w:val="center"/>
                  </w:pPr>
                </w:p>
              </w:tc>
              <w:tc>
                <w:tcPr>
                  <w:tcW w:w="2232" w:type="dxa"/>
                  <w:vAlign w:val="center"/>
                </w:tcPr>
                <w:p w14:paraId="2A92B0F9">
                  <w:pPr>
                    <w:spacing w:before="20" w:after="20" w:line="276" w:lineRule="auto"/>
                    <w:jc w:val="center"/>
                  </w:pPr>
                </w:p>
              </w:tc>
              <w:tc>
                <w:tcPr>
                  <w:tcW w:w="1482" w:type="dxa"/>
                  <w:vAlign w:val="center"/>
                </w:tcPr>
                <w:p w14:paraId="2F68BE01">
                  <w:pPr>
                    <w:spacing w:before="20" w:after="20" w:line="276" w:lineRule="auto"/>
                    <w:jc w:val="center"/>
                  </w:pPr>
                </w:p>
              </w:tc>
            </w:tr>
            <w:tr w14:paraId="7E19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0" w:type="dxa"/>
                  <w:vAlign w:val="center"/>
                </w:tcPr>
                <w:p w14:paraId="19914927">
                  <w:pPr>
                    <w:spacing w:before="20" w:after="20" w:line="276" w:lineRule="auto"/>
                    <w:jc w:val="left"/>
                    <w:rPr>
                      <w:rFonts w:hint="default"/>
                      <w:lang w:val="en-US" w:eastAsia="zh-CN"/>
                    </w:rPr>
                  </w:pPr>
                  <w:r>
                    <w:rPr>
                      <w:rFonts w:hint="eastAsia"/>
                      <w:b/>
                      <w:bCs/>
                      <w:lang w:val="en-US" w:eastAsia="zh-CN"/>
                    </w:rPr>
                    <w:t>碳足迹结果</w:t>
                  </w:r>
                </w:p>
              </w:tc>
              <w:tc>
                <w:tcPr>
                  <w:tcW w:w="2051" w:type="dxa"/>
                  <w:vAlign w:val="center"/>
                </w:tcPr>
                <w:p w14:paraId="1DFB12B0">
                  <w:pPr>
                    <w:spacing w:before="20" w:after="20" w:line="276" w:lineRule="auto"/>
                    <w:jc w:val="center"/>
                  </w:pPr>
                </w:p>
              </w:tc>
              <w:tc>
                <w:tcPr>
                  <w:tcW w:w="2232" w:type="dxa"/>
                  <w:vAlign w:val="center"/>
                </w:tcPr>
                <w:p w14:paraId="56EA2012">
                  <w:pPr>
                    <w:spacing w:before="20" w:after="20" w:line="276" w:lineRule="auto"/>
                    <w:jc w:val="center"/>
                  </w:pPr>
                </w:p>
              </w:tc>
              <w:tc>
                <w:tcPr>
                  <w:tcW w:w="1482" w:type="dxa"/>
                  <w:vAlign w:val="center"/>
                </w:tcPr>
                <w:p w14:paraId="7386CAA0">
                  <w:pPr>
                    <w:spacing w:before="20" w:after="20" w:line="276" w:lineRule="auto"/>
                    <w:jc w:val="center"/>
                  </w:pPr>
                </w:p>
              </w:tc>
            </w:tr>
          </w:tbl>
          <w:p w14:paraId="7973BE79">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p>
          <w:p w14:paraId="43F64EE0">
            <w:pPr>
              <w:pStyle w:val="39"/>
              <w:keepNext w:val="0"/>
              <w:keepLines w:val="0"/>
              <w:pageBreakBefore w:val="0"/>
              <w:widowControl/>
              <w:numPr>
                <w:ilvl w:val="0"/>
                <w:numId w:val="40"/>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假设和局限性说明</w:t>
            </w:r>
          </w:p>
          <w:p w14:paraId="0BE8F9D4">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textAlignment w:val="auto"/>
              <w:rPr>
                <w:rFonts w:hint="eastAsia"/>
                <w:u w:val="single"/>
                <w:vertAlign w:val="baseline"/>
                <w:lang w:eastAsia="zh-CN"/>
              </w:rPr>
            </w:pPr>
            <w:r>
              <w:rPr>
                <w:rFonts w:hint="eastAsia"/>
                <w:u w:val="single"/>
                <w:vertAlign w:val="baseline"/>
                <w:lang w:eastAsia="zh-CN"/>
              </w:rPr>
              <w:t>写核算过程人为做出的假设前提，以及客观数据、方法带来的固有局限，说明结果的适用边界。</w:t>
            </w:r>
          </w:p>
          <w:p w14:paraId="71080CFB">
            <w:pPr>
              <w:pStyle w:val="39"/>
              <w:keepNext w:val="0"/>
              <w:keepLines w:val="0"/>
              <w:pageBreakBefore w:val="0"/>
              <w:widowControl/>
              <w:numPr>
                <w:ilvl w:val="0"/>
                <w:numId w:val="40"/>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敏感性说明</w:t>
            </w:r>
          </w:p>
          <w:p w14:paraId="0AF3C763">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jc w:val="both"/>
              <w:textAlignment w:val="auto"/>
              <w:rPr>
                <w:rFonts w:hint="eastAsia"/>
                <w:u w:val="single"/>
                <w:vertAlign w:val="baseline"/>
                <w:lang w:eastAsia="zh-CN"/>
              </w:rPr>
            </w:pPr>
            <w:r>
              <w:rPr>
                <w:rFonts w:hint="eastAsia"/>
                <w:u w:val="single"/>
                <w:vertAlign w:val="baseline"/>
                <w:lang w:eastAsia="zh-CN"/>
              </w:rPr>
              <w:t>分析哪些输入参数变动，会显著改变最终碳足迹结果；识别关键敏感参数，说明结果的稳定程度。</w:t>
            </w:r>
          </w:p>
          <w:p w14:paraId="36D4B536">
            <w:pPr>
              <w:pStyle w:val="39"/>
              <w:keepNext w:val="0"/>
              <w:keepLines w:val="0"/>
              <w:pageBreakBefore w:val="0"/>
              <w:widowControl/>
              <w:numPr>
                <w:ilvl w:val="0"/>
                <w:numId w:val="40"/>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特殊说明</w:t>
            </w:r>
          </w:p>
          <w:p w14:paraId="07428FD7">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jc w:val="both"/>
              <w:textAlignment w:val="auto"/>
              <w:rPr>
                <w:rFonts w:hint="eastAsia"/>
                <w:vertAlign w:val="baseline"/>
                <w:lang w:eastAsia="zh-CN"/>
              </w:rPr>
            </w:pPr>
            <w:r>
              <w:rPr>
                <w:rFonts w:hint="eastAsia"/>
                <w:u w:val="single"/>
                <w:vertAlign w:val="baseline"/>
                <w:lang w:eastAsia="zh-CN"/>
              </w:rPr>
              <w:t>需要特别留意的补充事项，是其它章节放不下的特殊约定、提醒、免责。</w:t>
            </w:r>
          </w:p>
          <w:p w14:paraId="777AF096">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5．结论及建议</w:t>
            </w:r>
          </w:p>
          <w:p w14:paraId="008C69A8">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bookmarkStart w:id="97" w:name="_GoBack"/>
            <w:bookmarkEnd w:id="97"/>
          </w:p>
        </w:tc>
      </w:tr>
    </w:tbl>
    <w:p w14:paraId="3D52181C">
      <w:pPr>
        <w:pStyle w:val="39"/>
        <w:ind w:left="0" w:leftChars="0" w:firstLine="0" w:firstLineChars="0"/>
      </w:pPr>
    </w:p>
    <w:p w14:paraId="6AC2E937">
      <w:pPr>
        <w:pStyle w:val="39"/>
        <w:sectPr>
          <w:pgSz w:w="11906" w:h="16838"/>
          <w:pgMar w:top="1928" w:right="1134" w:bottom="1134" w:left="1134" w:header="1418" w:footer="1134" w:gutter="284"/>
          <w:pgNumType w:fmt="decimal"/>
          <w:cols w:space="425" w:num="1"/>
          <w:formProt w:val="0"/>
          <w:docGrid w:linePitch="312" w:charSpace="0"/>
        </w:sectPr>
      </w:pPr>
    </w:p>
    <w:p w14:paraId="604AA26E">
      <w:pPr>
        <w:pStyle w:val="201"/>
        <w:bidi w:val="0"/>
      </w:pPr>
    </w:p>
    <w:p w14:paraId="167CE59A">
      <w:pPr>
        <w:pStyle w:val="202"/>
        <w:bidi w:val="0"/>
      </w:pPr>
    </w:p>
    <w:bookmarkEnd w:id="82"/>
    <w:p w14:paraId="4EEAAAEF">
      <w:pPr>
        <w:pStyle w:val="70"/>
        <w:bidi w:val="0"/>
        <w:rPr>
          <w:rFonts w:hint="eastAsia"/>
          <w:lang w:eastAsia="zh-CN"/>
        </w:rPr>
      </w:pPr>
      <w:bookmarkStart w:id="92" w:name="_Toc20286"/>
      <w:bookmarkStart w:id="93" w:name="_Toc10840"/>
      <w:bookmarkStart w:id="94" w:name="_Toc21172"/>
      <w:bookmarkStart w:id="95" w:name="BookMark6"/>
      <w:r>
        <w:rPr>
          <w:rFonts w:hint="eastAsia"/>
          <w:spacing w:val="105"/>
          <w:lang w:eastAsia="zh-CN"/>
        </w:rPr>
        <w:t>参考文</w:t>
      </w:r>
      <w:r>
        <w:rPr>
          <w:rFonts w:hint="eastAsia"/>
          <w:lang w:eastAsia="zh-CN"/>
        </w:rPr>
        <w:t>献</w:t>
      </w:r>
      <w:bookmarkEnd w:id="92"/>
      <w:bookmarkEnd w:id="93"/>
      <w:bookmarkEnd w:id="94"/>
    </w:p>
    <w:p w14:paraId="7C54C853">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rPr>
        <w:t>DB4420/T 2—2022 地理标志产品 神湾菠萝</w:t>
      </w:r>
    </w:p>
    <w:p w14:paraId="26B91E0A">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rPr>
        <w:t>T/CGFA 012—2025 温室气体 产品碳足迹量化方法与要求 种植农产品</w:t>
      </w:r>
    </w:p>
    <w:p w14:paraId="11900EE2">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rPr>
        <w:t>CNCA-CFP-00:2025 产品碳足迹标识认证通用实施规则（试行）</w:t>
      </w:r>
    </w:p>
    <w:p w14:paraId="4A13F186">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rPr>
        <w:t>ISO 14067:2018 Greenhouse gases—Carbon footprint of products—Requirements and guidelines for quantification</w:t>
      </w:r>
    </w:p>
    <w:p w14:paraId="64B261FB">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rPr>
        <w:t>PAS 2050:2011 Specification for the assessment of the life cycle greenhouse gas emissions of goods and services</w:t>
      </w:r>
    </w:p>
    <w:p w14:paraId="7F0445FC">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lang w:val="en-US" w:eastAsia="zh-CN"/>
        </w:rPr>
        <w:t>IPCC, 2006. IPCC Guidelines for National Greenhouse Gas Inventories, Volume4-Agriculture,Forestry and Other Land Use. Kanagawa: IGES</w:t>
      </w:r>
    </w:p>
    <w:p w14:paraId="426EF962">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rPr>
        <w:t>IPCC, 2019. Refinement to the 2006 IPCC Guidelines for National Greenhouse Gas</w:t>
      </w:r>
      <w:r>
        <w:rPr>
          <w:rFonts w:hint="default" w:ascii="Times New Roman" w:hAnsi="Times New Roman" w:cs="Times New Roman"/>
          <w:lang w:val="en-US" w:eastAsia="zh-CN"/>
        </w:rPr>
        <w:t xml:space="preserve"> </w:t>
      </w:r>
      <w:r>
        <w:rPr>
          <w:rFonts w:hint="default" w:ascii="Times New Roman" w:hAnsi="Times New Roman" w:cs="Times New Roman"/>
        </w:rPr>
        <w:t>Inventories Volume 4 Agriculture, Forestry and Other Land Use</w:t>
      </w:r>
    </w:p>
    <w:p w14:paraId="60E4A2F1">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rPr>
        <w:t>IPCC, 2021. Climate Change 2021: The Physical Science Basis. Contribution of Working Group I to the Sixth Assessment Report of the IPCC</w:t>
      </w:r>
    </w:p>
    <w:p w14:paraId="14E685D2">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rPr>
        <w:t>国家发展和改革委员会. 省级温室气体清单指南（试行）</w:t>
      </w:r>
    </w:p>
    <w:p w14:paraId="7F6C4E3E">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rPr>
        <w:t>生态环境部、国家统计局. 2022年电力二氧化碳排放因子公告</w:t>
      </w:r>
    </w:p>
    <w:p w14:paraId="6111BFD8">
      <w:pPr>
        <w:pStyle w:val="112"/>
        <w:numPr>
          <w:ilvl w:val="0"/>
          <w:numId w:val="41"/>
        </w:numPr>
        <w:bidi w:val="0"/>
        <w:ind w:firstLine="420" w:firstLineChars="200"/>
        <w:rPr>
          <w:rFonts w:hint="default" w:ascii="Times New Roman" w:hAnsi="Times New Roman" w:cs="Times New Roman"/>
        </w:rPr>
      </w:pPr>
      <w:r>
        <w:rPr>
          <w:rFonts w:hint="default" w:ascii="Times New Roman" w:hAnsi="Times New Roman" w:cs="Times New Roman"/>
        </w:rPr>
        <w:t>广东省农业农村厅. 广东省农业主推技术（鲜食菠萝品种栽培技术规程）</w:t>
      </w:r>
    </w:p>
    <w:p w14:paraId="27C22B85">
      <w:pPr>
        <w:pStyle w:val="112"/>
        <w:numPr>
          <w:ilvl w:val="1"/>
          <w:numId w:val="0"/>
        </w:numPr>
        <w:bidi w:val="0"/>
        <w:ind w:leftChars="200"/>
        <w:rPr>
          <w:rFonts w:hint="default" w:ascii="Times New Roman" w:hAnsi="Times New Roman" w:cs="Times New Roman"/>
        </w:rPr>
      </w:pPr>
    </w:p>
    <w:p w14:paraId="27A74D8E">
      <w:pPr>
        <w:pStyle w:val="112"/>
        <w:numPr>
          <w:ilvl w:val="1"/>
          <w:numId w:val="0"/>
        </w:numPr>
        <w:bidi w:val="0"/>
        <w:ind w:leftChars="200"/>
        <w:rPr>
          <w:rFonts w:hint="default" w:ascii="Times New Roman" w:hAnsi="Times New Roman" w:cs="Times New Roman"/>
        </w:rPr>
      </w:pPr>
    </w:p>
    <w:bookmarkEnd w:id="95"/>
    <w:p w14:paraId="680995A5">
      <w:pPr>
        <w:pStyle w:val="112"/>
        <w:numPr>
          <w:ilvl w:val="1"/>
          <w:numId w:val="0"/>
        </w:numPr>
        <w:bidi w:val="0"/>
        <w:ind w:leftChars="200" w:firstLine="0" w:firstLineChars="0"/>
        <w:jc w:val="center"/>
        <w:rPr>
          <w:rFonts w:hint="eastAsia" w:ascii="Times New Roman" w:hAnsi="Times New Roman" w:eastAsia="宋体" w:cs="Times New Roman"/>
          <w:lang w:eastAsia="zh-CN"/>
        </w:rPr>
      </w:pPr>
      <w:bookmarkStart w:id="96" w:name="BookMark8"/>
      <w:r>
        <w:rPr>
          <w:rFonts w:hint="eastAsia" w:ascii="Times New Roman" w:hAnsi="Times New Roman" w:eastAsia="宋体" w:cs="Times New Roman"/>
          <w:lang w:eastAsia="zh-CN"/>
        </w:rPr>
        <w:drawing>
          <wp:inline distT="0" distB="0" distL="114300" distR="114300">
            <wp:extent cx="1485900" cy="317500"/>
            <wp:effectExtent l="0" t="0" r="0" b="6350"/>
            <wp:docPr id="3" name="图片 3" descr="1"/>
            <wp:cNvGraphicFramePr/>
            <a:graphic xmlns:a="http://schemas.openxmlformats.org/drawingml/2006/main">
              <a:graphicData uri="http://schemas.openxmlformats.org/drawingml/2006/picture">
                <pic:pic xmlns:pic="http://schemas.openxmlformats.org/drawingml/2006/picture">
                  <pic:nvPicPr>
                    <pic:cNvPr id="3" name="图片 3" descr="1"/>
                    <pic:cNvPicPr/>
                  </pic:nvPicPr>
                  <pic:blipFill>
                    <a:blip r:embed="rId15"/>
                    <a:stretch>
                      <a:fillRect/>
                    </a:stretch>
                  </pic:blipFill>
                  <pic:spPr>
                    <a:xfrm>
                      <a:off x="0" y="0"/>
                      <a:ext cx="1485900" cy="317500"/>
                    </a:xfrm>
                    <a:prstGeom prst="rect">
                      <a:avLst/>
                    </a:prstGeom>
                  </pic:spPr>
                </pic:pic>
              </a:graphicData>
            </a:graphic>
          </wp:inline>
        </w:drawing>
      </w:r>
      <w:bookmarkEnd w:id="96"/>
    </w:p>
    <w:sectPr>
      <w:pgSz w:w="11906" w:h="16838"/>
      <w:pgMar w:top="1928" w:right="1134" w:bottom="1134" w:left="1134" w:header="1418" w:footer="1134" w:gutter="284"/>
      <w:pgNumType w:fmt="decimal"/>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6B6D">
    <w:pPr>
      <w:pStyle w:val="19"/>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8E29D">
    <w:pPr>
      <w:pStyle w:val="19"/>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2EF22">
    <w:pPr>
      <w:pStyle w:val="60"/>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61CD1">
    <w:pPr>
      <w:pStyle w:val="20"/>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3CA2E">
    <w:pPr>
      <w:pStyle w:val="20"/>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13336">
    <w:pPr>
      <w:pStyle w:val="68"/>
      <w:rPr>
        <w:rFonts w:hint="eastAsia"/>
      </w:rPr>
    </w:pPr>
    <w:r>
      <w:fldChar w:fldCharType="begin"/>
    </w:r>
    <w:r>
      <w:instrText xml:space="preserve"> STYLEREF  标准文件_文件编号  \* MERGEFORMAT </w:instrText>
    </w:r>
    <w:r>
      <w:fldChar w:fldCharType="separate"/>
    </w:r>
    <w:r>
      <w:t>T/ZSESS 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3B6C38"/>
    <w:multiLevelType w:val="singleLevel"/>
    <w:tmpl w:val="873B6C38"/>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1">
    <w:nsid w:val="A09020FA"/>
    <w:multiLevelType w:val="multilevel"/>
    <w:tmpl w:val="A09020F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B60A081F"/>
    <w:multiLevelType w:val="multilevel"/>
    <w:tmpl w:val="B60A081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C360CE77"/>
    <w:multiLevelType w:val="singleLevel"/>
    <w:tmpl w:val="C360CE77"/>
    <w:lvl w:ilvl="0" w:tentative="0">
      <w:start w:val="1"/>
      <w:numFmt w:val="decimal"/>
      <w:lvlText w:val="[%1]"/>
      <w:lvlJc w:val="left"/>
      <w:pPr>
        <w:tabs>
          <w:tab w:val="left" w:pos="312"/>
        </w:tabs>
      </w:pPr>
    </w:lvl>
  </w:abstractNum>
  <w:abstractNum w:abstractNumId="4">
    <w:nsid w:val="C8D573FB"/>
    <w:multiLevelType w:val="singleLevel"/>
    <w:tmpl w:val="C8D573FB"/>
    <w:lvl w:ilvl="0" w:tentative="0">
      <w:start w:val="1"/>
      <w:numFmt w:val="decimal"/>
      <w:pStyle w:val="12"/>
      <w:lvlText w:val="%1."/>
      <w:lvlJc w:val="left"/>
      <w:pPr>
        <w:tabs>
          <w:tab w:val="left" w:pos="360"/>
        </w:tabs>
        <w:ind w:left="360" w:hanging="360"/>
      </w:pPr>
    </w:lvl>
  </w:abstractNum>
  <w:abstractNum w:abstractNumId="5">
    <w:nsid w:val="E4B59F14"/>
    <w:multiLevelType w:val="singleLevel"/>
    <w:tmpl w:val="E4B59F14"/>
    <w:lvl w:ilvl="0" w:tentative="0">
      <w:start w:val="2"/>
      <w:numFmt w:val="decimal"/>
      <w:suff w:val="nothing"/>
      <w:lvlText w:val="%1．"/>
      <w:lvlJc w:val="left"/>
    </w:lvl>
  </w:abstractNum>
  <w:abstractNum w:abstractNumId="6">
    <w:nsid w:val="FBF14F6A"/>
    <w:multiLevelType w:val="multilevel"/>
    <w:tmpl w:val="FBF14F6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019369F7"/>
    <w:multiLevelType w:val="multilevel"/>
    <w:tmpl w:val="019369F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02837933"/>
    <w:multiLevelType w:val="multilevel"/>
    <w:tmpl w:val="02837933"/>
    <w:lvl w:ilvl="0" w:tentative="0">
      <w:start w:val="1"/>
      <w:numFmt w:val="decimal"/>
      <w:pStyle w:val="71"/>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9">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0">
    <w:nsid w:val="07ED3FEA"/>
    <w:multiLevelType w:val="multilevel"/>
    <w:tmpl w:val="07ED3FEA"/>
    <w:lvl w:ilvl="0" w:tentative="0">
      <w:start w:val="1"/>
      <w:numFmt w:val="none"/>
      <w:pStyle w:val="95"/>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2">
    <w:nsid w:val="0BDC1670"/>
    <w:multiLevelType w:val="multilevel"/>
    <w:tmpl w:val="0BDC1670"/>
    <w:lvl w:ilvl="0" w:tentative="0">
      <w:start w:val="1"/>
      <w:numFmt w:val="decimal"/>
      <w:pStyle w:val="73"/>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4">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1AF15012"/>
    <w:multiLevelType w:val="multilevel"/>
    <w:tmpl w:val="1AF15012"/>
    <w:lvl w:ilvl="0" w:tentative="0">
      <w:start w:val="1"/>
      <w:numFmt w:val="upperLetter"/>
      <w:pStyle w:val="91"/>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6">
    <w:nsid w:val="1EAA1992"/>
    <w:multiLevelType w:val="multilevel"/>
    <w:tmpl w:val="1EAA1992"/>
    <w:lvl w:ilvl="0" w:tentative="0">
      <w:start w:val="1"/>
      <w:numFmt w:val="none"/>
      <w:pStyle w:val="98"/>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7">
    <w:nsid w:val="21C722B5"/>
    <w:multiLevelType w:val="multilevel"/>
    <w:tmpl w:val="21C722B5"/>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8">
    <w:nsid w:val="2C5917C3"/>
    <w:multiLevelType w:val="multilevel"/>
    <w:tmpl w:val="2C5917C3"/>
    <w:lvl w:ilvl="0" w:tentative="0">
      <w:start w:val="1"/>
      <w:numFmt w:val="none"/>
      <w:pStyle w:val="13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9">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0">
    <w:nsid w:val="47D7A329"/>
    <w:multiLevelType w:val="multilevel"/>
    <w:tmpl w:val="47D7A329"/>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1">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9"/>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2">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3">
    <w:nsid w:val="4CDF9069"/>
    <w:multiLevelType w:val="multilevel"/>
    <w:tmpl w:val="4CDF9069"/>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4">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5">
    <w:nsid w:val="54632751"/>
    <w:multiLevelType w:val="multilevel"/>
    <w:tmpl w:val="54632751"/>
    <w:lvl w:ilvl="0" w:tentative="0">
      <w:start w:val="1"/>
      <w:numFmt w:val="none"/>
      <w:pStyle w:val="99"/>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6">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7">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3"/>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8">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0">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1">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2">
    <w:nsid w:val="657D3FBC"/>
    <w:multiLevelType w:val="multilevel"/>
    <w:tmpl w:val="657D3FBC"/>
    <w:lvl w:ilvl="0" w:tentative="0">
      <w:start w:val="1"/>
      <w:numFmt w:val="upperLetter"/>
      <w:pStyle w:val="82"/>
      <w:suff w:val="nothing"/>
      <w:lvlText w:val="附录%1"/>
      <w:lvlJc w:val="left"/>
      <w:pPr>
        <w:ind w:left="0" w:firstLine="0"/>
      </w:pPr>
      <w:rPr>
        <w:rFonts w:hint="eastAsia"/>
        <w:spacing w:val="100"/>
      </w:rPr>
    </w:lvl>
    <w:lvl w:ilvl="1" w:tentative="0">
      <w:start w:val="1"/>
      <w:numFmt w:val="decimal"/>
      <w:pStyle w:val="84"/>
      <w:suff w:val="nothing"/>
      <w:lvlText w:val="%1.%2　"/>
      <w:lvlJc w:val="left"/>
      <w:pPr>
        <w:ind w:left="0" w:firstLine="0"/>
      </w:pPr>
      <w:rPr>
        <w:rFonts w:hint="eastAsia" w:ascii="黑体" w:eastAsia="黑体"/>
        <w:b w:val="0"/>
        <w:i w:val="0"/>
        <w:sz w:val="21"/>
      </w:rPr>
    </w:lvl>
    <w:lvl w:ilvl="2" w:tentative="0">
      <w:start w:val="1"/>
      <w:numFmt w:val="decimal"/>
      <w:pStyle w:val="85"/>
      <w:suff w:val="nothing"/>
      <w:lvlText w:val="%1.%2.%3　"/>
      <w:lvlJc w:val="left"/>
      <w:pPr>
        <w:ind w:left="0" w:firstLine="0"/>
      </w:pPr>
      <w:rPr>
        <w:rFonts w:hint="eastAsia" w:ascii="黑体" w:eastAsia="黑体"/>
        <w:b w:val="0"/>
        <w:i w:val="0"/>
        <w:sz w:val="21"/>
      </w:rPr>
    </w:lvl>
    <w:lvl w:ilvl="3" w:tentative="0">
      <w:start w:val="1"/>
      <w:numFmt w:val="decimal"/>
      <w:pStyle w:val="87"/>
      <w:suff w:val="nothing"/>
      <w:lvlText w:val="%1.%2.%3.%4　"/>
      <w:lvlJc w:val="left"/>
      <w:pPr>
        <w:ind w:left="0" w:firstLine="0"/>
      </w:pPr>
      <w:rPr>
        <w:rFonts w:hint="eastAsia" w:ascii="黑体" w:eastAsia="黑体"/>
        <w:b w:val="0"/>
        <w:i w:val="0"/>
        <w:sz w:val="21"/>
      </w:rPr>
    </w:lvl>
    <w:lvl w:ilvl="4" w:tentative="0">
      <w:start w:val="1"/>
      <w:numFmt w:val="decimal"/>
      <w:pStyle w:val="88"/>
      <w:suff w:val="nothing"/>
      <w:lvlText w:val="%1.%2.%3.%4.%5　"/>
      <w:lvlJc w:val="left"/>
      <w:pPr>
        <w:ind w:left="0" w:firstLine="0"/>
      </w:pPr>
      <w:rPr>
        <w:rFonts w:hint="eastAsia" w:ascii="黑体" w:eastAsia="黑体"/>
        <w:b w:val="0"/>
        <w:i w:val="0"/>
        <w:sz w:val="21"/>
      </w:rPr>
    </w:lvl>
    <w:lvl w:ilvl="5" w:tentative="0">
      <w:start w:val="1"/>
      <w:numFmt w:val="decimal"/>
      <w:pStyle w:val="90"/>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3">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4">
    <w:nsid w:val="6CA41985"/>
    <w:multiLevelType w:val="multilevel"/>
    <w:tmpl w:val="6CA41985"/>
    <w:lvl w:ilvl="0" w:tentative="0">
      <w:start w:val="1"/>
      <w:numFmt w:val="decimal"/>
      <w:pStyle w:val="102"/>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38"/>
      <w:suff w:val="nothing"/>
      <w:lvlText w:val="%1%2.%3.%4　"/>
      <w:lvlJc w:val="left"/>
      <w:pPr>
        <w:ind w:left="0" w:firstLine="0"/>
      </w:pPr>
      <w:rPr>
        <w:rFonts w:hint="eastAsia" w:ascii="黑体" w:eastAsia="黑体"/>
        <w:b w:val="0"/>
        <w:i w:val="0"/>
        <w:sz w:val="21"/>
      </w:rPr>
    </w:lvl>
    <w:lvl w:ilvl="4" w:tentative="0">
      <w:start w:val="1"/>
      <w:numFmt w:val="decimal"/>
      <w:pStyle w:val="40"/>
      <w:suff w:val="nothing"/>
      <w:lvlText w:val="%1%2.%3.%4.%5　"/>
      <w:lvlJc w:val="left"/>
      <w:pPr>
        <w:ind w:left="0" w:firstLine="0"/>
      </w:pPr>
      <w:rPr>
        <w:rFonts w:hint="eastAsia" w:ascii="黑体" w:eastAsia="黑体"/>
        <w:b w:val="0"/>
        <w:i w:val="0"/>
        <w:sz w:val="21"/>
      </w:rPr>
    </w:lvl>
    <w:lvl w:ilvl="5" w:tentative="0">
      <w:start w:val="1"/>
      <w:numFmt w:val="decimal"/>
      <w:pStyle w:val="41"/>
      <w:suff w:val="nothing"/>
      <w:lvlText w:val="%1%2.%3.%4.%5.%6　"/>
      <w:lvlJc w:val="left"/>
      <w:pPr>
        <w:ind w:left="0" w:firstLine="0"/>
      </w:pPr>
      <w:rPr>
        <w:rFonts w:hint="eastAsia" w:ascii="黑体" w:eastAsia="黑体"/>
        <w:b w:val="0"/>
        <w:i w:val="0"/>
        <w:sz w:val="21"/>
      </w:rPr>
    </w:lvl>
    <w:lvl w:ilvl="6" w:tentative="0">
      <w:start w:val="1"/>
      <w:numFmt w:val="decimal"/>
      <w:pStyle w:val="42"/>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7">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8">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9">
    <w:nsid w:val="732A7B53"/>
    <w:multiLevelType w:val="singleLevel"/>
    <w:tmpl w:val="732A7B53"/>
    <w:lvl w:ilvl="0" w:tentative="0">
      <w:start w:val="2"/>
      <w:numFmt w:val="decimal"/>
      <w:suff w:val="nothing"/>
      <w:lvlText w:val="%1．"/>
      <w:lvlJc w:val="left"/>
    </w:lvl>
  </w:abstractNum>
  <w:abstractNum w:abstractNumId="40">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0"/>
  </w:num>
  <w:num w:numId="3">
    <w:abstractNumId w:val="36"/>
  </w:num>
  <w:num w:numId="4">
    <w:abstractNumId w:val="8"/>
  </w:num>
  <w:num w:numId="5">
    <w:abstractNumId w:val="12"/>
  </w:num>
  <w:num w:numId="6">
    <w:abstractNumId w:val="32"/>
  </w:num>
  <w:num w:numId="7">
    <w:abstractNumId w:val="27"/>
  </w:num>
  <w:num w:numId="8">
    <w:abstractNumId w:val="21"/>
  </w:num>
  <w:num w:numId="9">
    <w:abstractNumId w:val="15"/>
  </w:num>
  <w:num w:numId="10">
    <w:abstractNumId w:val="10"/>
  </w:num>
  <w:num w:numId="11">
    <w:abstractNumId w:val="16"/>
  </w:num>
  <w:num w:numId="12">
    <w:abstractNumId w:val="25"/>
  </w:num>
  <w:num w:numId="13">
    <w:abstractNumId w:val="34"/>
  </w:num>
  <w:num w:numId="14">
    <w:abstractNumId w:val="19"/>
  </w:num>
  <w:num w:numId="15">
    <w:abstractNumId w:val="17"/>
  </w:num>
  <w:num w:numId="16">
    <w:abstractNumId w:val="14"/>
  </w:num>
  <w:num w:numId="17">
    <w:abstractNumId w:val="28"/>
  </w:num>
  <w:num w:numId="18">
    <w:abstractNumId w:val="30"/>
  </w:num>
  <w:num w:numId="19">
    <w:abstractNumId w:val="26"/>
  </w:num>
  <w:num w:numId="20">
    <w:abstractNumId w:val="38"/>
  </w:num>
  <w:num w:numId="21">
    <w:abstractNumId w:val="24"/>
  </w:num>
  <w:num w:numId="22">
    <w:abstractNumId w:val="9"/>
  </w:num>
  <w:num w:numId="23">
    <w:abstractNumId w:val="18"/>
  </w:num>
  <w:num w:numId="24">
    <w:abstractNumId w:val="40"/>
  </w:num>
  <w:num w:numId="25">
    <w:abstractNumId w:val="29"/>
  </w:num>
  <w:num w:numId="26">
    <w:abstractNumId w:val="13"/>
  </w:num>
  <w:num w:numId="27">
    <w:abstractNumId w:val="35"/>
  </w:num>
  <w:num w:numId="28">
    <w:abstractNumId w:val="37"/>
  </w:num>
  <w:num w:numId="29">
    <w:abstractNumId w:val="20"/>
  </w:num>
  <w:num w:numId="30">
    <w:abstractNumId w:val="11"/>
  </w:num>
  <w:num w:numId="31">
    <w:abstractNumId w:val="22"/>
  </w:num>
  <w:num w:numId="32">
    <w:abstractNumId w:val="33"/>
  </w:num>
  <w:num w:numId="33">
    <w:abstractNumId w:val="31"/>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num>
  <w:num w:numId="40">
    <w:abstractNumId w:val="5"/>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forms" w:enforcement="1" w:cryptProviderType="rsaFull" w:cryptAlgorithmClass="hash" w:cryptAlgorithmType="typeAny" w:cryptAlgorithmSid="4" w:cryptSpinCount="0" w:hash="GYJNCWrMGZ/xabnMGFYYVt+JrN8=" w:salt="IMiIL/ZQPsqNA0PbLzam1w=="/>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1B24A9"/>
    <w:rsid w:val="0B656C96"/>
    <w:rsid w:val="0B893897"/>
    <w:rsid w:val="0DC60A32"/>
    <w:rsid w:val="0FCD487B"/>
    <w:rsid w:val="11762537"/>
    <w:rsid w:val="12384C58"/>
    <w:rsid w:val="14441EA0"/>
    <w:rsid w:val="176401DE"/>
    <w:rsid w:val="1B9E0073"/>
    <w:rsid w:val="23234936"/>
    <w:rsid w:val="24145614"/>
    <w:rsid w:val="24D87317"/>
    <w:rsid w:val="26B76E19"/>
    <w:rsid w:val="276B7E64"/>
    <w:rsid w:val="29F63254"/>
    <w:rsid w:val="2F1310C8"/>
    <w:rsid w:val="37515F05"/>
    <w:rsid w:val="47BF7BAF"/>
    <w:rsid w:val="48612794"/>
    <w:rsid w:val="4BE05906"/>
    <w:rsid w:val="4BF3547C"/>
    <w:rsid w:val="599B031F"/>
    <w:rsid w:val="5D354A0C"/>
    <w:rsid w:val="607062DB"/>
    <w:rsid w:val="60B83C2E"/>
    <w:rsid w:val="6CE30F3F"/>
    <w:rsid w:val="7345658F"/>
    <w:rsid w:val="74E46E95"/>
    <w:rsid w:val="75FF5C0C"/>
    <w:rsid w:val="76F419AF"/>
    <w:rsid w:val="778348AE"/>
    <w:rsid w:val="78471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4"/>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45"/>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6"/>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7"/>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8"/>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9"/>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50"/>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List Number"/>
    <w:basedOn w:val="1"/>
    <w:semiHidden/>
    <w:unhideWhenUsed/>
    <w:qFormat/>
    <w:uiPriority w:val="99"/>
    <w:pPr>
      <w:numPr>
        <w:ilvl w:val="0"/>
        <w:numId w:val="1"/>
      </w:numPr>
    </w:pPr>
  </w:style>
  <w:style w:type="paragraph" w:styleId="13">
    <w:name w:val="Normal Indent"/>
    <w:basedOn w:val="1"/>
    <w:qFormat/>
    <w:uiPriority w:val="0"/>
    <w:pPr>
      <w:ind w:firstLine="420"/>
    </w:pPr>
  </w:style>
  <w:style w:type="paragraph" w:styleId="14">
    <w:name w:val="List Bullet"/>
    <w:basedOn w:val="1"/>
    <w:semiHidden/>
    <w:unhideWhenUsed/>
    <w:qFormat/>
    <w:uiPriority w:val="99"/>
    <w:pPr>
      <w:numPr>
        <w:ilvl w:val="0"/>
        <w:numId w:val="2"/>
      </w:numPr>
    </w:pPr>
  </w:style>
  <w:style w:type="paragraph" w:styleId="15">
    <w:name w:val="Body Text"/>
    <w:basedOn w:val="1"/>
    <w:link w:val="92"/>
    <w:qFormat/>
    <w:uiPriority w:val="0"/>
    <w:pPr>
      <w:spacing w:after="120"/>
    </w:pPr>
  </w:style>
  <w:style w:type="paragraph" w:styleId="16">
    <w:name w:val="toc 5"/>
    <w:basedOn w:val="1"/>
    <w:next w:val="1"/>
    <w:autoRedefine/>
    <w:unhideWhenUsed/>
    <w:qFormat/>
    <w:uiPriority w:val="39"/>
    <w:pPr>
      <w:ind w:left="839"/>
    </w:pPr>
    <w:rPr>
      <w:rFonts w:ascii="宋体"/>
    </w:rPr>
  </w:style>
  <w:style w:type="paragraph" w:styleId="17">
    <w:name w:val="toc 3"/>
    <w:basedOn w:val="1"/>
    <w:next w:val="1"/>
    <w:autoRedefine/>
    <w:unhideWhenUsed/>
    <w:qFormat/>
    <w:uiPriority w:val="39"/>
    <w:pPr>
      <w:spacing w:line="300" w:lineRule="exact"/>
      <w:ind w:left="420"/>
    </w:pPr>
    <w:rPr>
      <w:rFonts w:ascii="宋体"/>
    </w:rPr>
  </w:style>
  <w:style w:type="paragraph" w:styleId="18">
    <w:name w:val="Balloon Text"/>
    <w:basedOn w:val="1"/>
    <w:link w:val="53"/>
    <w:semiHidden/>
    <w:unhideWhenUsed/>
    <w:qFormat/>
    <w:uiPriority w:val="99"/>
    <w:rPr>
      <w:sz w:val="18"/>
      <w:szCs w:val="18"/>
    </w:rPr>
  </w:style>
  <w:style w:type="paragraph" w:styleId="19">
    <w:name w:val="footer"/>
    <w:basedOn w:val="1"/>
    <w:link w:val="52"/>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51"/>
    <w:qFormat/>
    <w:uiPriority w:val="99"/>
    <w:pPr>
      <w:tabs>
        <w:tab w:val="center" w:pos="4153"/>
        <w:tab w:val="right" w:pos="8306"/>
      </w:tabs>
      <w:adjustRightInd/>
      <w:snapToGrid w:val="0"/>
      <w:jc w:val="center"/>
    </w:pPr>
    <w:rPr>
      <w:sz w:val="18"/>
      <w:szCs w:val="18"/>
    </w:rPr>
  </w:style>
  <w:style w:type="paragraph" w:styleId="21">
    <w:name w:val="toc 1"/>
    <w:basedOn w:val="1"/>
    <w:next w:val="1"/>
    <w:autoRedefine/>
    <w:unhideWhenUsed/>
    <w:qFormat/>
    <w:uiPriority w:val="39"/>
    <w:rPr>
      <w:rFonts w:ascii="宋体"/>
    </w:rPr>
  </w:style>
  <w:style w:type="paragraph" w:styleId="22">
    <w:name w:val="toc 4"/>
    <w:basedOn w:val="1"/>
    <w:next w:val="1"/>
    <w:autoRedefine/>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autoRedefine/>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autoRedefine/>
    <w:unhideWhenUsed/>
    <w:qFormat/>
    <w:uiPriority w:val="39"/>
    <w:pPr>
      <w:tabs>
        <w:tab w:val="right" w:leader="dot" w:pos="9344"/>
      </w:tabs>
      <w:spacing w:line="300" w:lineRule="exact"/>
      <w:ind w:left="210"/>
    </w:pPr>
    <w:rPr>
      <w:rFonts w:ascii="宋体"/>
    </w:rPr>
  </w:style>
  <w:style w:type="paragraph" w:styleId="2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8">
    <w:name w:val="Title"/>
    <w:basedOn w:val="1"/>
    <w:link w:val="56"/>
    <w:qFormat/>
    <w:uiPriority w:val="0"/>
    <w:pPr>
      <w:spacing w:before="240" w:after="60"/>
      <w:jc w:val="center"/>
      <w:outlineLvl w:val="0"/>
    </w:pPr>
    <w:rPr>
      <w:rFonts w:ascii="Arial" w:hAnsi="Arial" w:cs="Arial"/>
      <w:b/>
      <w:bCs/>
      <w:sz w:val="32"/>
      <w:szCs w:val="32"/>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footnote reference"/>
    <w:semiHidden/>
    <w:qFormat/>
    <w:uiPriority w:val="0"/>
    <w:rPr>
      <w:rFonts w:ascii="宋体" w:hAnsi="宋体" w:eastAsia="宋体" w:cs="Times New Roman"/>
      <w:spacing w:val="0"/>
      <w:sz w:val="18"/>
      <w:vertAlign w:val="superscript"/>
    </w:rPr>
  </w:style>
  <w:style w:type="character" w:customStyle="1" w:styleId="37">
    <w:name w:val="标题 3 字符"/>
    <w:link w:val="4"/>
    <w:qFormat/>
    <w:uiPriority w:val="0"/>
    <w:rPr>
      <w:b/>
      <w:bCs/>
      <w:kern w:val="2"/>
      <w:sz w:val="32"/>
      <w:szCs w:val="32"/>
    </w:rPr>
  </w:style>
  <w:style w:type="paragraph" w:customStyle="1" w:styleId="38">
    <w:name w:val="标准文件_二级条标题"/>
    <w:next w:val="39"/>
    <w:qFormat/>
    <w:uiPriority w:val="0"/>
    <w:pPr>
      <w:widowControl w:val="0"/>
      <w:numPr>
        <w:ilvl w:val="3"/>
        <w:numId w:val="3"/>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39">
    <w:name w:val="标准文件_段"/>
    <w:link w:val="187"/>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40">
    <w:name w:val="标准文件_三级条标题"/>
    <w:basedOn w:val="38"/>
    <w:next w:val="39"/>
    <w:qFormat/>
    <w:uiPriority w:val="0"/>
    <w:pPr>
      <w:widowControl/>
      <w:numPr>
        <w:ilvl w:val="4"/>
      </w:numPr>
      <w:outlineLvl w:val="3"/>
    </w:pPr>
  </w:style>
  <w:style w:type="paragraph" w:customStyle="1" w:styleId="41">
    <w:name w:val="标准文件_四级条标题"/>
    <w:next w:val="39"/>
    <w:qFormat/>
    <w:uiPriority w:val="0"/>
    <w:pPr>
      <w:widowControl w:val="0"/>
      <w:numPr>
        <w:ilvl w:val="5"/>
        <w:numId w:val="3"/>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42">
    <w:name w:val="标准文件_五级条标题"/>
    <w:next w:val="39"/>
    <w:qFormat/>
    <w:uiPriority w:val="0"/>
    <w:pPr>
      <w:widowControl w:val="0"/>
      <w:numPr>
        <w:ilvl w:val="6"/>
        <w:numId w:val="3"/>
      </w:numPr>
      <w:spacing w:before="50" w:beforeLines="50" w:after="50" w:afterLines="50"/>
      <w:jc w:val="both"/>
      <w:outlineLvl w:val="5"/>
    </w:pPr>
    <w:rPr>
      <w:rFonts w:ascii="黑体" w:hAnsi="Times New Roman" w:eastAsia="黑体" w:cs="Times New Roman"/>
      <w:sz w:val="21"/>
      <w:lang w:val="en-US" w:eastAsia="zh-CN" w:bidi="ar-SA"/>
    </w:rPr>
  </w:style>
  <w:style w:type="character" w:customStyle="1" w:styleId="43">
    <w:name w:val="标题 1 字符"/>
    <w:link w:val="2"/>
    <w:qFormat/>
    <w:uiPriority w:val="0"/>
    <w:rPr>
      <w:b/>
      <w:bCs/>
      <w:kern w:val="44"/>
      <w:sz w:val="44"/>
      <w:szCs w:val="44"/>
    </w:rPr>
  </w:style>
  <w:style w:type="character" w:customStyle="1" w:styleId="44">
    <w:name w:val="标题 2 字符"/>
    <w:link w:val="3"/>
    <w:qFormat/>
    <w:uiPriority w:val="0"/>
    <w:rPr>
      <w:rFonts w:ascii="Arial" w:hAnsi="Arial" w:eastAsia="黑体"/>
      <w:b/>
      <w:bCs/>
      <w:kern w:val="2"/>
      <w:sz w:val="32"/>
      <w:szCs w:val="32"/>
    </w:rPr>
  </w:style>
  <w:style w:type="character" w:customStyle="1" w:styleId="45">
    <w:name w:val="标题 4 字符"/>
    <w:link w:val="5"/>
    <w:qFormat/>
    <w:uiPriority w:val="0"/>
    <w:rPr>
      <w:rFonts w:ascii="Arial" w:hAnsi="Arial" w:eastAsia="黑体"/>
      <w:b/>
      <w:bCs/>
      <w:kern w:val="2"/>
      <w:sz w:val="28"/>
      <w:szCs w:val="28"/>
    </w:rPr>
  </w:style>
  <w:style w:type="character" w:customStyle="1" w:styleId="46">
    <w:name w:val="标题 5 字符"/>
    <w:link w:val="6"/>
    <w:qFormat/>
    <w:uiPriority w:val="0"/>
    <w:rPr>
      <w:b/>
      <w:bCs/>
      <w:kern w:val="2"/>
      <w:sz w:val="28"/>
      <w:szCs w:val="28"/>
    </w:rPr>
  </w:style>
  <w:style w:type="character" w:customStyle="1" w:styleId="47">
    <w:name w:val="标题 6 字符"/>
    <w:link w:val="7"/>
    <w:qFormat/>
    <w:uiPriority w:val="0"/>
    <w:rPr>
      <w:rFonts w:ascii="Arial" w:hAnsi="Arial" w:eastAsia="黑体"/>
      <w:b/>
      <w:bCs/>
      <w:kern w:val="2"/>
      <w:sz w:val="24"/>
      <w:szCs w:val="24"/>
    </w:rPr>
  </w:style>
  <w:style w:type="character" w:customStyle="1" w:styleId="48">
    <w:name w:val="标题 7 字符"/>
    <w:link w:val="8"/>
    <w:qFormat/>
    <w:uiPriority w:val="0"/>
    <w:rPr>
      <w:b/>
      <w:bCs/>
      <w:kern w:val="2"/>
      <w:sz w:val="24"/>
      <w:szCs w:val="24"/>
    </w:rPr>
  </w:style>
  <w:style w:type="character" w:customStyle="1" w:styleId="49">
    <w:name w:val="标题 8 字符"/>
    <w:link w:val="9"/>
    <w:qFormat/>
    <w:uiPriority w:val="0"/>
    <w:rPr>
      <w:rFonts w:ascii="Arial" w:hAnsi="Arial" w:eastAsia="黑体"/>
      <w:kern w:val="2"/>
      <w:sz w:val="24"/>
      <w:szCs w:val="24"/>
    </w:rPr>
  </w:style>
  <w:style w:type="character" w:customStyle="1" w:styleId="50">
    <w:name w:val="标题 9 字符"/>
    <w:link w:val="10"/>
    <w:qFormat/>
    <w:uiPriority w:val="0"/>
    <w:rPr>
      <w:rFonts w:ascii="Arial" w:hAnsi="Arial" w:eastAsia="黑体"/>
      <w:kern w:val="2"/>
      <w:sz w:val="21"/>
      <w:szCs w:val="21"/>
    </w:rPr>
  </w:style>
  <w:style w:type="character" w:customStyle="1" w:styleId="51">
    <w:name w:val="页眉 字符"/>
    <w:link w:val="20"/>
    <w:qFormat/>
    <w:uiPriority w:val="99"/>
    <w:rPr>
      <w:kern w:val="2"/>
      <w:sz w:val="18"/>
      <w:szCs w:val="18"/>
    </w:rPr>
  </w:style>
  <w:style w:type="character" w:customStyle="1" w:styleId="52">
    <w:name w:val="页脚 字符"/>
    <w:link w:val="19"/>
    <w:qFormat/>
    <w:uiPriority w:val="99"/>
    <w:rPr>
      <w:rFonts w:ascii="宋体"/>
      <w:kern w:val="2"/>
      <w:sz w:val="18"/>
      <w:szCs w:val="18"/>
    </w:rPr>
  </w:style>
  <w:style w:type="character" w:customStyle="1" w:styleId="53">
    <w:name w:val="批注框文本 字符"/>
    <w:link w:val="18"/>
    <w:semiHidden/>
    <w:qFormat/>
    <w:uiPriority w:val="99"/>
    <w:rPr>
      <w:kern w:val="2"/>
      <w:sz w:val="18"/>
      <w:szCs w:val="18"/>
    </w:rPr>
  </w:style>
  <w:style w:type="paragraph" w:styleId="54">
    <w:name w:val="Quote"/>
    <w:basedOn w:val="1"/>
    <w:next w:val="1"/>
    <w:link w:val="55"/>
    <w:qFormat/>
    <w:uiPriority w:val="29"/>
    <w:rPr>
      <w:i/>
      <w:iCs/>
      <w:color w:val="000000"/>
    </w:rPr>
  </w:style>
  <w:style w:type="character" w:customStyle="1" w:styleId="55">
    <w:name w:val="引用 字符"/>
    <w:link w:val="54"/>
    <w:qFormat/>
    <w:uiPriority w:val="29"/>
    <w:rPr>
      <w:i/>
      <w:iCs/>
      <w:color w:val="000000"/>
      <w:kern w:val="2"/>
      <w:sz w:val="21"/>
      <w:szCs w:val="21"/>
    </w:rPr>
  </w:style>
  <w:style w:type="character" w:customStyle="1" w:styleId="56">
    <w:name w:val="标题 字符"/>
    <w:link w:val="28"/>
    <w:qFormat/>
    <w:uiPriority w:val="0"/>
    <w:rPr>
      <w:rFonts w:ascii="Arial" w:hAnsi="Arial" w:cs="Arial"/>
      <w:b/>
      <w:bCs/>
      <w:kern w:val="2"/>
      <w:sz w:val="32"/>
      <w:szCs w:val="32"/>
    </w:rPr>
  </w:style>
  <w:style w:type="paragraph" w:customStyle="1" w:styleId="57">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8">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9">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6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1">
    <w:name w:val="标准书眉一"/>
    <w:qFormat/>
    <w:uiPriority w:val="0"/>
    <w:pPr>
      <w:jc w:val="both"/>
    </w:pPr>
    <w:rPr>
      <w:rFonts w:ascii="Times New Roman" w:hAnsi="Times New Roman" w:eastAsia="宋体" w:cs="Times New Roman"/>
      <w:lang w:val="en-US" w:eastAsia="zh-CN" w:bidi="ar-SA"/>
    </w:rPr>
  </w:style>
  <w:style w:type="paragraph" w:customStyle="1" w:styleId="62">
    <w:name w:val="标准文件_ICS"/>
    <w:basedOn w:val="1"/>
    <w:qFormat/>
    <w:uiPriority w:val="0"/>
    <w:pPr>
      <w:spacing w:line="0" w:lineRule="atLeast"/>
    </w:pPr>
    <w:rPr>
      <w:rFonts w:ascii="黑体" w:hAnsi="宋体" w:eastAsia="黑体"/>
    </w:rPr>
  </w:style>
  <w:style w:type="paragraph" w:customStyle="1" w:styleId="63">
    <w:name w:val="标准文件_标准正文"/>
    <w:basedOn w:val="1"/>
    <w:next w:val="39"/>
    <w:qFormat/>
    <w:uiPriority w:val="0"/>
    <w:pPr>
      <w:snapToGrid w:val="0"/>
      <w:ind w:firstLine="200" w:firstLineChars="200"/>
    </w:pPr>
    <w:rPr>
      <w:kern w:val="0"/>
    </w:rPr>
  </w:style>
  <w:style w:type="paragraph" w:customStyle="1" w:styleId="64">
    <w:name w:val="标准文件_版本"/>
    <w:basedOn w:val="63"/>
    <w:qFormat/>
    <w:uiPriority w:val="0"/>
    <w:pPr>
      <w:adjustRightInd/>
      <w:snapToGrid/>
      <w:ind w:firstLine="0" w:firstLineChars="0"/>
    </w:pPr>
    <w:rPr>
      <w:rFonts w:ascii="宋体" w:hAnsi="宋体"/>
      <w:kern w:val="2"/>
    </w:rPr>
  </w:style>
  <w:style w:type="paragraph" w:customStyle="1" w:styleId="65">
    <w:name w:val="标准文件_标准部门"/>
    <w:basedOn w:val="1"/>
    <w:qFormat/>
    <w:uiPriority w:val="0"/>
    <w:pPr>
      <w:jc w:val="center"/>
    </w:pPr>
    <w:rPr>
      <w:rFonts w:ascii="黑体" w:eastAsia="黑体"/>
      <w:kern w:val="0"/>
      <w:sz w:val="44"/>
    </w:rPr>
  </w:style>
  <w:style w:type="paragraph" w:customStyle="1" w:styleId="66">
    <w:name w:val="标准文件_标准代替"/>
    <w:basedOn w:val="1"/>
    <w:next w:val="1"/>
    <w:qFormat/>
    <w:uiPriority w:val="0"/>
    <w:pPr>
      <w:spacing w:line="310" w:lineRule="exact"/>
      <w:jc w:val="right"/>
    </w:pPr>
    <w:rPr>
      <w:rFonts w:ascii="宋体" w:hAnsi="宋体"/>
      <w:kern w:val="0"/>
    </w:rPr>
  </w:style>
  <w:style w:type="paragraph" w:customStyle="1" w:styleId="67">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8">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9">
    <w:name w:val="标准文件_页眉偶数页"/>
    <w:basedOn w:val="68"/>
    <w:next w:val="1"/>
    <w:qFormat/>
    <w:uiPriority w:val="0"/>
    <w:pPr>
      <w:jc w:val="left"/>
    </w:pPr>
  </w:style>
  <w:style w:type="paragraph" w:customStyle="1" w:styleId="70">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71">
    <w:name w:val="标准文件_参考文献条目"/>
    <w:qFormat/>
    <w:uiPriority w:val="0"/>
    <w:pPr>
      <w:numPr>
        <w:ilvl w:val="0"/>
        <w:numId w:val="4"/>
      </w:numPr>
    </w:pPr>
    <w:rPr>
      <w:rFonts w:ascii="宋体" w:hAnsi="Times New Roman" w:eastAsia="宋体" w:cs="Times New Roman"/>
      <w:lang w:val="en-US" w:eastAsia="zh-CN" w:bidi="ar-SA"/>
    </w:rPr>
  </w:style>
  <w:style w:type="character" w:customStyle="1" w:styleId="72">
    <w:name w:val="标准文件_发布"/>
    <w:qFormat/>
    <w:uiPriority w:val="0"/>
    <w:rPr>
      <w:rFonts w:ascii="黑体" w:eastAsia="黑体"/>
      <w:spacing w:val="0"/>
      <w:w w:val="100"/>
      <w:position w:val="3"/>
      <w:sz w:val="28"/>
    </w:rPr>
  </w:style>
  <w:style w:type="paragraph" w:customStyle="1" w:styleId="73">
    <w:name w:val="标准文件_方框数字列项"/>
    <w:basedOn w:val="39"/>
    <w:qFormat/>
    <w:uiPriority w:val="0"/>
    <w:pPr>
      <w:numPr>
        <w:ilvl w:val="0"/>
        <w:numId w:val="5"/>
      </w:numPr>
      <w:ind w:firstLine="0" w:firstLineChars="0"/>
    </w:pPr>
  </w:style>
  <w:style w:type="paragraph" w:customStyle="1" w:styleId="74">
    <w:name w:val="标准文件_封面标准编号"/>
    <w:basedOn w:val="1"/>
    <w:next w:val="66"/>
    <w:qFormat/>
    <w:uiPriority w:val="0"/>
    <w:pPr>
      <w:spacing w:line="310" w:lineRule="exact"/>
      <w:jc w:val="right"/>
    </w:pPr>
    <w:rPr>
      <w:rFonts w:ascii="黑体" w:eastAsia="黑体"/>
      <w:kern w:val="0"/>
      <w:sz w:val="28"/>
    </w:rPr>
  </w:style>
  <w:style w:type="paragraph" w:customStyle="1" w:styleId="75">
    <w:name w:val="标准文件_封面标准分类号"/>
    <w:basedOn w:val="1"/>
    <w:qFormat/>
    <w:uiPriority w:val="0"/>
    <w:rPr>
      <w:rFonts w:ascii="黑体" w:eastAsia="黑体"/>
      <w:b/>
      <w:kern w:val="0"/>
      <w:sz w:val="28"/>
    </w:rPr>
  </w:style>
  <w:style w:type="paragraph" w:customStyle="1" w:styleId="76">
    <w:name w:val="标准文件_封面标准名称"/>
    <w:basedOn w:val="1"/>
    <w:qFormat/>
    <w:uiPriority w:val="0"/>
    <w:pPr>
      <w:spacing w:line="240" w:lineRule="auto"/>
      <w:jc w:val="center"/>
    </w:pPr>
    <w:rPr>
      <w:rFonts w:ascii="黑体" w:eastAsia="黑体"/>
      <w:kern w:val="0"/>
      <w:sz w:val="52"/>
    </w:rPr>
  </w:style>
  <w:style w:type="paragraph" w:customStyle="1" w:styleId="77">
    <w:name w:val="标准文件_封面标准英文名称"/>
    <w:basedOn w:val="1"/>
    <w:qFormat/>
    <w:uiPriority w:val="0"/>
    <w:pPr>
      <w:spacing w:line="240" w:lineRule="auto"/>
      <w:jc w:val="center"/>
    </w:pPr>
    <w:rPr>
      <w:rFonts w:ascii="黑体" w:eastAsia="黑体"/>
      <w:b/>
      <w:sz w:val="28"/>
    </w:rPr>
  </w:style>
  <w:style w:type="paragraph" w:customStyle="1" w:styleId="78">
    <w:name w:val="标准文件_封面发布日期"/>
    <w:basedOn w:val="1"/>
    <w:qFormat/>
    <w:uiPriority w:val="0"/>
    <w:pPr>
      <w:spacing w:line="310" w:lineRule="exact"/>
    </w:pPr>
    <w:rPr>
      <w:rFonts w:ascii="黑体" w:eastAsia="黑体"/>
      <w:kern w:val="0"/>
      <w:sz w:val="28"/>
    </w:rPr>
  </w:style>
  <w:style w:type="paragraph" w:customStyle="1" w:styleId="79">
    <w:name w:val="标准文件_封面密级"/>
    <w:basedOn w:val="1"/>
    <w:qFormat/>
    <w:uiPriority w:val="0"/>
    <w:rPr>
      <w:rFonts w:eastAsia="黑体"/>
      <w:sz w:val="32"/>
    </w:rPr>
  </w:style>
  <w:style w:type="paragraph" w:customStyle="1" w:styleId="80">
    <w:name w:val="标准文件_封面实施日期"/>
    <w:basedOn w:val="1"/>
    <w:qFormat/>
    <w:uiPriority w:val="0"/>
    <w:pPr>
      <w:spacing w:line="310" w:lineRule="exact"/>
      <w:jc w:val="right"/>
    </w:pPr>
    <w:rPr>
      <w:rFonts w:ascii="黑体" w:eastAsia="黑体"/>
      <w:sz w:val="28"/>
    </w:rPr>
  </w:style>
  <w:style w:type="paragraph" w:customStyle="1" w:styleId="81">
    <w:name w:val="标准文件_封面抬头"/>
    <w:basedOn w:val="39"/>
    <w:qFormat/>
    <w:uiPriority w:val="0"/>
    <w:pPr>
      <w:adjustRightInd w:val="0"/>
      <w:spacing w:line="800" w:lineRule="exact"/>
      <w:ind w:firstLine="0" w:firstLineChars="0"/>
      <w:jc w:val="distribute"/>
    </w:pPr>
    <w:rPr>
      <w:rFonts w:ascii="黑体" w:eastAsia="黑体"/>
      <w:b/>
      <w:sz w:val="64"/>
    </w:rPr>
  </w:style>
  <w:style w:type="paragraph" w:customStyle="1" w:styleId="82">
    <w:name w:val="标准文件_附录标识"/>
    <w:next w:val="39"/>
    <w:qFormat/>
    <w:uiPriority w:val="0"/>
    <w:pPr>
      <w:numPr>
        <w:ilvl w:val="0"/>
        <w:numId w:val="6"/>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3">
    <w:name w:val="标准文件_附录表标题"/>
    <w:next w:val="39"/>
    <w:qFormat/>
    <w:uiPriority w:val="0"/>
    <w:pPr>
      <w:numPr>
        <w:ilvl w:val="1"/>
        <w:numId w:val="7"/>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4">
    <w:name w:val="标准文件_附录一级条标题"/>
    <w:next w:val="39"/>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5">
    <w:name w:val="标准文件_附录二级条标题"/>
    <w:basedOn w:val="84"/>
    <w:next w:val="39"/>
    <w:qFormat/>
    <w:uiPriority w:val="0"/>
    <w:pPr>
      <w:widowControl/>
      <w:numPr>
        <w:ilvl w:val="2"/>
      </w:numPr>
      <w:wordWrap w:val="0"/>
      <w:overflowPunct w:val="0"/>
      <w:autoSpaceDE w:val="0"/>
      <w:autoSpaceDN w:val="0"/>
      <w:textAlignment w:val="baseline"/>
      <w:outlineLvl w:val="3"/>
    </w:pPr>
  </w:style>
  <w:style w:type="paragraph" w:customStyle="1" w:styleId="86">
    <w:name w:val="标准文件_附录公式"/>
    <w:basedOn w:val="63"/>
    <w:next w:val="63"/>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7">
    <w:name w:val="标准文件_附录三级条标题"/>
    <w:next w:val="39"/>
    <w:qFormat/>
    <w:uiPriority w:val="0"/>
    <w:pPr>
      <w:widowControl w:val="0"/>
      <w:numPr>
        <w:ilvl w:val="3"/>
        <w:numId w:val="6"/>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8">
    <w:name w:val="标准文件_附录四级条标题"/>
    <w:next w:val="39"/>
    <w:qFormat/>
    <w:uiPriority w:val="0"/>
    <w:pPr>
      <w:widowControl w:val="0"/>
      <w:numPr>
        <w:ilvl w:val="4"/>
        <w:numId w:val="6"/>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9">
    <w:name w:val="标准文件_附录图标题"/>
    <w:next w:val="39"/>
    <w:qFormat/>
    <w:uiPriority w:val="0"/>
    <w:pPr>
      <w:numPr>
        <w:ilvl w:val="1"/>
        <w:numId w:val="8"/>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90">
    <w:name w:val="标准文件_附录五级条标题"/>
    <w:next w:val="39"/>
    <w:qFormat/>
    <w:uiPriority w:val="0"/>
    <w:pPr>
      <w:widowControl w:val="0"/>
      <w:numPr>
        <w:ilvl w:val="5"/>
        <w:numId w:val="6"/>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1">
    <w:name w:val="标准文件_附录英文标识"/>
    <w:next w:val="15"/>
    <w:qFormat/>
    <w:uiPriority w:val="0"/>
    <w:pPr>
      <w:numPr>
        <w:ilvl w:val="0"/>
        <w:numId w:val="9"/>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2">
    <w:name w:val="正文文本 字符"/>
    <w:link w:val="15"/>
    <w:qFormat/>
    <w:uiPriority w:val="0"/>
    <w:rPr>
      <w:kern w:val="2"/>
      <w:sz w:val="21"/>
      <w:szCs w:val="21"/>
    </w:rPr>
  </w:style>
  <w:style w:type="paragraph" w:customStyle="1" w:styleId="93">
    <w:name w:val="标准文件_附录章标题"/>
    <w:next w:val="3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4">
    <w:name w:val="标准文件_公式后的破折号"/>
    <w:basedOn w:val="39"/>
    <w:next w:val="39"/>
    <w:qFormat/>
    <w:uiPriority w:val="0"/>
    <w:pPr>
      <w:ind w:left="488" w:leftChars="200" w:hanging="289" w:hangingChars="290"/>
    </w:pPr>
  </w:style>
  <w:style w:type="paragraph" w:customStyle="1" w:styleId="95">
    <w:name w:val="标准文件_前言、引言标题"/>
    <w:next w:val="1"/>
    <w:qFormat/>
    <w:uiPriority w:val="0"/>
    <w:pPr>
      <w:numPr>
        <w:ilvl w:val="0"/>
        <w:numId w:val="10"/>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6">
    <w:name w:val="标准文件_目次、标准名称标题"/>
    <w:basedOn w:val="95"/>
    <w:next w:val="39"/>
    <w:qFormat/>
    <w:uiPriority w:val="0"/>
    <w:pPr>
      <w:spacing w:line="460" w:lineRule="exact"/>
      <w:ind w:left="0" w:firstLine="0"/>
    </w:pPr>
  </w:style>
  <w:style w:type="paragraph" w:customStyle="1" w:styleId="97">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8">
    <w:name w:val="标准文件_破折号列项"/>
    <w:qFormat/>
    <w:uiPriority w:val="0"/>
    <w:pPr>
      <w:numPr>
        <w:ilvl w:val="0"/>
        <w:numId w:val="11"/>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9">
    <w:name w:val="标准文件_破折号列项（二级）"/>
    <w:basedOn w:val="98"/>
    <w:qFormat/>
    <w:uiPriority w:val="0"/>
    <w:pPr>
      <w:numPr>
        <w:numId w:val="12"/>
      </w:numPr>
    </w:pPr>
  </w:style>
  <w:style w:type="character" w:customStyle="1" w:styleId="100">
    <w:name w:val="Subtle Reference"/>
    <w:qFormat/>
    <w:uiPriority w:val="31"/>
    <w:rPr>
      <w:smallCaps/>
      <w:color w:val="C0504D"/>
      <w:u w:val="single"/>
    </w:rPr>
  </w:style>
  <w:style w:type="paragraph" w:customStyle="1" w:styleId="101">
    <w:name w:val="标准文件_示例后续"/>
    <w:basedOn w:val="1"/>
    <w:qFormat/>
    <w:uiPriority w:val="0"/>
    <w:pPr>
      <w:adjustRightInd/>
      <w:spacing w:line="240" w:lineRule="auto"/>
      <w:ind w:firstLine="200" w:firstLineChars="200"/>
    </w:pPr>
    <w:rPr>
      <w:sz w:val="18"/>
      <w:szCs w:val="24"/>
    </w:rPr>
  </w:style>
  <w:style w:type="paragraph" w:customStyle="1" w:styleId="102">
    <w:name w:val="标准文件_数字编号列项"/>
    <w:qFormat/>
    <w:uiPriority w:val="0"/>
    <w:pPr>
      <w:numPr>
        <w:ilvl w:val="0"/>
        <w:numId w:val="13"/>
      </w:numPr>
      <w:jc w:val="both"/>
    </w:pPr>
    <w:rPr>
      <w:rFonts w:ascii="宋体" w:hAnsi="宋体" w:eastAsia="宋体" w:cs="Times New Roman"/>
      <w:sz w:val="21"/>
      <w:lang w:val="en-US" w:eastAsia="zh-CN" w:bidi="ar-SA"/>
    </w:rPr>
  </w:style>
  <w:style w:type="character" w:customStyle="1" w:styleId="103">
    <w:name w:val="脚注文本 字符"/>
    <w:link w:val="23"/>
    <w:semiHidden/>
    <w:qFormat/>
    <w:uiPriority w:val="0"/>
    <w:rPr>
      <w:rFonts w:ascii="宋体"/>
      <w:kern w:val="2"/>
      <w:sz w:val="18"/>
      <w:szCs w:val="18"/>
    </w:rPr>
  </w:style>
  <w:style w:type="paragraph" w:customStyle="1" w:styleId="104">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39"/>
    <w:qFormat/>
    <w:uiPriority w:val="0"/>
    <w:pPr>
      <w:numPr>
        <w:ilvl w:val="0"/>
        <w:numId w:val="14"/>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章标题"/>
    <w:next w:val="39"/>
    <w:qFormat/>
    <w:uiPriority w:val="0"/>
    <w:pPr>
      <w:numPr>
        <w:ilvl w:val="1"/>
        <w:numId w:val="3"/>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39"/>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63"/>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5"/>
      </w:numPr>
      <w:jc w:val="both"/>
    </w:pPr>
    <w:rPr>
      <w:rFonts w:ascii="宋体" w:hAnsi="Times New Roman" w:eastAsia="宋体" w:cs="Times New Roman"/>
      <w:sz w:val="21"/>
      <w:lang w:val="en-US" w:eastAsia="zh-CN" w:bidi="ar-SA"/>
    </w:rPr>
  </w:style>
  <w:style w:type="paragraph" w:customStyle="1" w:styleId="113">
    <w:name w:val="标准文件_英文注："/>
    <w:basedOn w:val="1"/>
    <w:next w:val="39"/>
    <w:qFormat/>
    <w:uiPriority w:val="0"/>
    <w:pPr>
      <w:numPr>
        <w:ilvl w:val="0"/>
        <w:numId w:val="16"/>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7"/>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39"/>
    <w:qFormat/>
    <w:uiPriority w:val="0"/>
    <w:pPr>
      <w:numPr>
        <w:ilvl w:val="0"/>
        <w:numId w:val="18"/>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63"/>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39"/>
    <w:qFormat/>
    <w:uiPriority w:val="0"/>
    <w:pPr>
      <w:numPr>
        <w:ilvl w:val="0"/>
        <w:numId w:val="19"/>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39"/>
    <w:qFormat/>
    <w:uiPriority w:val="0"/>
    <w:pPr>
      <w:numPr>
        <w:ilvl w:val="0"/>
        <w:numId w:val="20"/>
      </w:numPr>
      <w:jc w:val="center"/>
    </w:pPr>
    <w:rPr>
      <w:rFonts w:ascii="黑体" w:hAnsi="Times New Roman" w:eastAsia="黑体" w:cs="Times New Roman"/>
      <w:sz w:val="21"/>
      <w:lang w:val="en-US" w:eastAsia="zh-CN" w:bidi="ar-SA"/>
    </w:rPr>
  </w:style>
  <w:style w:type="paragraph" w:customStyle="1" w:styleId="119">
    <w:name w:val="标准文件_正文英文图标题"/>
    <w:next w:val="39"/>
    <w:qFormat/>
    <w:uiPriority w:val="0"/>
    <w:pPr>
      <w:numPr>
        <w:ilvl w:val="0"/>
        <w:numId w:val="21"/>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5"/>
      </w:numPr>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2"/>
      </w:numPr>
      <w:adjustRightInd/>
      <w:spacing w:line="240" w:lineRule="auto"/>
    </w:pPr>
    <w:rPr>
      <w:rFonts w:ascii="宋体" w:hAnsi="宋体"/>
      <w:szCs w:val="24"/>
    </w:rPr>
  </w:style>
  <w:style w:type="paragraph" w:customStyle="1" w:styleId="122">
    <w:name w:val="发布部门"/>
    <w:next w:val="3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3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39"/>
    <w:qFormat/>
    <w:uiPriority w:val="0"/>
    <w:pPr>
      <w:outlineLvl w:val="4"/>
    </w:pPr>
  </w:style>
  <w:style w:type="paragraph" w:customStyle="1" w:styleId="133">
    <w:name w:val="附录四级无标题条"/>
    <w:basedOn w:val="132"/>
    <w:next w:val="39"/>
    <w:qFormat/>
    <w:uiPriority w:val="0"/>
    <w:pPr>
      <w:outlineLvl w:val="5"/>
    </w:pPr>
  </w:style>
  <w:style w:type="paragraph" w:customStyle="1" w:styleId="134">
    <w:name w:val="附录图"/>
    <w:next w:val="39"/>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3"/>
      </w:numPr>
    </w:pPr>
    <w:rPr>
      <w:rFonts w:ascii="宋体" w:hAnsi="Times New Roman" w:eastAsia="宋体" w:cs="Times New Roman"/>
      <w:sz w:val="21"/>
      <w:lang w:val="en-US" w:eastAsia="zh-CN" w:bidi="ar-SA"/>
    </w:rPr>
  </w:style>
  <w:style w:type="paragraph" w:customStyle="1" w:styleId="136">
    <w:name w:val="附录五级无标题条"/>
    <w:basedOn w:val="133"/>
    <w:next w:val="3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3"/>
    <w:next w:val="3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4"/>
      </w:numPr>
      <w:jc w:val="both"/>
    </w:pPr>
    <w:rPr>
      <w:rFonts w:ascii="宋体" w:hAnsi="宋体" w:eastAsia="宋体" w:cs="Times New Roman"/>
      <w:sz w:val="21"/>
      <w:lang w:val="en-US" w:eastAsia="zh-CN" w:bidi="ar-SA"/>
    </w:rPr>
  </w:style>
  <w:style w:type="paragraph" w:customStyle="1" w:styleId="143">
    <w:name w:val="列项·"/>
    <w:basedOn w:val="3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autoRedefine/>
    <w:semiHidden/>
    <w:qFormat/>
    <w:uiPriority w:val="0"/>
    <w:pPr>
      <w:adjustRightInd/>
      <w:spacing w:line="240" w:lineRule="auto"/>
      <w:jc w:val="left"/>
    </w:pPr>
    <w:rPr>
      <w:bCs/>
      <w:iCs/>
    </w:rPr>
  </w:style>
  <w:style w:type="paragraph" w:customStyle="1" w:styleId="146">
    <w:name w:val="目录 31"/>
    <w:basedOn w:val="1"/>
    <w:next w:val="1"/>
    <w:autoRedefine/>
    <w:semiHidden/>
    <w:qFormat/>
    <w:uiPriority w:val="0"/>
    <w:pPr>
      <w:spacing w:line="240" w:lineRule="auto"/>
    </w:pPr>
    <w:rPr>
      <w:rFonts w:ascii="宋体" w:hAnsi="宋体"/>
      <w:iCs/>
    </w:rPr>
  </w:style>
  <w:style w:type="paragraph" w:customStyle="1" w:styleId="147">
    <w:name w:val="目录 41"/>
    <w:basedOn w:val="1"/>
    <w:next w:val="1"/>
    <w:autoRedefine/>
    <w:semiHidden/>
    <w:qFormat/>
    <w:uiPriority w:val="0"/>
    <w:pPr>
      <w:adjustRightInd/>
      <w:spacing w:line="240" w:lineRule="auto"/>
      <w:jc w:val="left"/>
    </w:pPr>
  </w:style>
  <w:style w:type="paragraph" w:customStyle="1" w:styleId="148">
    <w:name w:val="目录 51"/>
    <w:basedOn w:val="1"/>
    <w:next w:val="1"/>
    <w:autoRedefine/>
    <w:semiHidden/>
    <w:qFormat/>
    <w:uiPriority w:val="0"/>
    <w:pPr>
      <w:spacing w:line="240" w:lineRule="auto"/>
    </w:pPr>
    <w:rPr>
      <w:rFonts w:ascii="宋体" w:hAnsi="宋体"/>
    </w:rPr>
  </w:style>
  <w:style w:type="paragraph" w:customStyle="1" w:styleId="149">
    <w:name w:val="目录 61"/>
    <w:basedOn w:val="1"/>
    <w:next w:val="1"/>
    <w:autoRedefine/>
    <w:semiHidden/>
    <w:qFormat/>
    <w:uiPriority w:val="0"/>
    <w:pPr>
      <w:adjustRightInd/>
      <w:spacing w:line="240" w:lineRule="auto"/>
      <w:jc w:val="left"/>
    </w:pPr>
  </w:style>
  <w:style w:type="paragraph" w:customStyle="1" w:styleId="150">
    <w:name w:val="目录 71"/>
    <w:basedOn w:val="149"/>
    <w:autoRedefine/>
    <w:semiHidden/>
    <w:qFormat/>
    <w:uiPriority w:val="0"/>
    <w:pPr>
      <w:ind w:left="1260"/>
    </w:pPr>
  </w:style>
  <w:style w:type="paragraph" w:customStyle="1" w:styleId="151">
    <w:name w:val="目录 81"/>
    <w:basedOn w:val="150"/>
    <w:autoRedefine/>
    <w:semiHidden/>
    <w:qFormat/>
    <w:uiPriority w:val="0"/>
    <w:pPr>
      <w:ind w:left="1470"/>
    </w:pPr>
  </w:style>
  <w:style w:type="paragraph" w:customStyle="1" w:styleId="152">
    <w:name w:val="目录 91"/>
    <w:basedOn w:val="151"/>
    <w:autoRedefine/>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framePr w:wrap="around"/>
      <w:spacing w:line="0" w:lineRule="atLeast"/>
    </w:pPr>
    <w:rPr>
      <w:rFonts w:ascii="黑体" w:eastAsia="黑体"/>
      <w:b w:val="0"/>
    </w:rPr>
  </w:style>
  <w:style w:type="paragraph" w:customStyle="1" w:styleId="155">
    <w:name w:val="前言标题"/>
    <w:next w:val="1"/>
    <w:qFormat/>
    <w:uiPriority w:val="0"/>
    <w:pPr>
      <w:numPr>
        <w:ilvl w:val="0"/>
        <w:numId w:val="3"/>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2"/>
      </w:numPr>
      <w:adjustRightInd/>
      <w:spacing w:line="240" w:lineRule="auto"/>
    </w:pPr>
    <w:rPr>
      <w:rFonts w:ascii="宋体" w:hAnsi="宋体"/>
      <w:szCs w:val="24"/>
    </w:rPr>
  </w:style>
  <w:style w:type="paragraph" w:customStyle="1" w:styleId="157">
    <w:name w:val="实施日期"/>
    <w:basedOn w:val="123"/>
    <w:qFormat/>
    <w:uiPriority w:val="0"/>
    <w:pPr>
      <w:framePr w:hSpace="0" w:wrap="around" w:xAlign="right"/>
      <w:jc w:val="right"/>
    </w:pPr>
  </w:style>
  <w:style w:type="paragraph" w:customStyle="1" w:styleId="158">
    <w:name w:val="四级无标题条"/>
    <w:basedOn w:val="1"/>
    <w:qFormat/>
    <w:uiPriority w:val="0"/>
    <w:pPr>
      <w:numPr>
        <w:ilvl w:val="5"/>
        <w:numId w:val="22"/>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3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2"/>
      </w:numPr>
      <w:adjustRightInd/>
    </w:pPr>
    <w:rPr>
      <w:szCs w:val="24"/>
    </w:rPr>
  </w:style>
  <w:style w:type="paragraph" w:customStyle="1" w:styleId="162">
    <w:name w:val="一级无标题条"/>
    <w:basedOn w:val="1"/>
    <w:qFormat/>
    <w:uiPriority w:val="0"/>
    <w:pPr>
      <w:numPr>
        <w:ilvl w:val="2"/>
        <w:numId w:val="22"/>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spacing w:before="0" w:beforeLines="0" w:after="0" w:afterLines="0"/>
      <w:outlineLvl w:val="9"/>
    </w:pPr>
    <w:rPr>
      <w:rFonts w:ascii="宋体" w:eastAsia="宋体"/>
    </w:rPr>
  </w:style>
  <w:style w:type="paragraph" w:customStyle="1" w:styleId="166">
    <w:name w:val="标准文件_五级无标题"/>
    <w:basedOn w:val="42"/>
    <w:qFormat/>
    <w:uiPriority w:val="0"/>
    <w:pPr>
      <w:spacing w:before="0" w:beforeLines="0" w:after="0" w:afterLines="0"/>
      <w:outlineLvl w:val="9"/>
    </w:pPr>
    <w:rPr>
      <w:rFonts w:ascii="宋体" w:eastAsia="宋体"/>
    </w:rPr>
  </w:style>
  <w:style w:type="paragraph" w:customStyle="1" w:styleId="167">
    <w:name w:val="标准文件_三级无标题"/>
    <w:basedOn w:val="40"/>
    <w:qFormat/>
    <w:uiPriority w:val="0"/>
    <w:pPr>
      <w:spacing w:before="0" w:beforeLines="0" w:after="0" w:afterLines="0"/>
      <w:outlineLvl w:val="9"/>
    </w:pPr>
    <w:rPr>
      <w:rFonts w:ascii="宋体" w:eastAsia="宋体"/>
    </w:rPr>
  </w:style>
  <w:style w:type="paragraph" w:customStyle="1" w:styleId="168">
    <w:name w:val="标准文件_二级无标题"/>
    <w:basedOn w:val="38"/>
    <w:qFormat/>
    <w:uiPriority w:val="0"/>
    <w:pPr>
      <w:spacing w:before="0" w:beforeLines="0" w:after="0" w:afterLines="0"/>
      <w:outlineLvl w:val="9"/>
    </w:pPr>
    <w:rPr>
      <w:rFonts w:ascii="宋体" w:eastAsia="宋体"/>
    </w:rPr>
  </w:style>
  <w:style w:type="paragraph" w:customStyle="1" w:styleId="169">
    <w:name w:val="标准_四级无标题"/>
    <w:basedOn w:val="41"/>
    <w:next w:val="39"/>
    <w:qFormat/>
    <w:uiPriority w:val="0"/>
    <w:rPr>
      <w:rFonts w:eastAsia="宋体"/>
    </w:rPr>
  </w:style>
  <w:style w:type="paragraph" w:customStyle="1" w:styleId="170">
    <w:name w:val="标准文件_四级无标题"/>
    <w:basedOn w:val="41"/>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39"/>
    <w:qFormat/>
    <w:uiPriority w:val="0"/>
    <w:pPr>
      <w:numPr>
        <w:ilvl w:val="0"/>
        <w:numId w:val="25"/>
      </w:numPr>
      <w:ind w:firstLine="0" w:firstLineChars="0"/>
    </w:pPr>
    <w:rPr>
      <w:rFonts w:cs="Arial"/>
      <w:szCs w:val="28"/>
    </w:rPr>
  </w:style>
  <w:style w:type="paragraph" w:customStyle="1" w:styleId="172">
    <w:name w:val="标准文件_小写罗马数字编号列项"/>
    <w:basedOn w:val="39"/>
    <w:qFormat/>
    <w:uiPriority w:val="0"/>
    <w:pPr>
      <w:numPr>
        <w:ilvl w:val="0"/>
        <w:numId w:val="26"/>
      </w:numPr>
      <w:ind w:firstLine="0" w:firstLineChars="0"/>
    </w:pPr>
    <w:rPr>
      <w:rFonts w:cs="Arial"/>
      <w:szCs w:val="28"/>
    </w:rPr>
  </w:style>
  <w:style w:type="paragraph" w:customStyle="1" w:styleId="173">
    <w:name w:val="标准文件_附录标题"/>
    <w:basedOn w:val="82"/>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3"/>
      </w:numPr>
      <w:spacing w:line="536870612" w:lineRule="auto"/>
    </w:pPr>
    <w:rPr>
      <w:rFonts w:ascii="Times New Roman" w:hAnsi="Times New Roman"/>
    </w:rPr>
  </w:style>
  <w:style w:type="paragraph" w:customStyle="1" w:styleId="176">
    <w:name w:val="图表脚注说明"/>
    <w:basedOn w:val="1"/>
    <w:next w:val="39"/>
    <w:qFormat/>
    <w:uiPriority w:val="0"/>
    <w:pPr>
      <w:numPr>
        <w:ilvl w:val="0"/>
        <w:numId w:val="27"/>
      </w:numPr>
      <w:adjustRightInd/>
      <w:spacing w:line="240" w:lineRule="auto"/>
    </w:pPr>
    <w:rPr>
      <w:rFonts w:ascii="宋体" w:hAnsi="Times New Roman"/>
      <w:sz w:val="18"/>
      <w:szCs w:val="18"/>
    </w:rPr>
  </w:style>
  <w:style w:type="paragraph" w:customStyle="1" w:styleId="177">
    <w:name w:val="标准文件_字母编号列项（一级）"/>
    <w:qFormat/>
    <w:uiPriority w:val="0"/>
    <w:pPr>
      <w:numPr>
        <w:ilvl w:val="0"/>
        <w:numId w:val="15"/>
      </w:numPr>
      <w:jc w:val="both"/>
    </w:pPr>
    <w:rPr>
      <w:rFonts w:ascii="宋体" w:hAnsi="Times New Roman" w:eastAsia="宋体" w:cs="Times New Roman"/>
      <w:sz w:val="21"/>
      <w:lang w:val="en-US" w:eastAsia="zh-CN" w:bidi="ar-SA"/>
    </w:rPr>
  </w:style>
  <w:style w:type="paragraph" w:customStyle="1" w:styleId="178">
    <w:name w:val="标准文件_索引字母"/>
    <w:next w:val="3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3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39"/>
    <w:qFormat/>
    <w:uiPriority w:val="0"/>
    <w:pPr>
      <w:ind w:firstLine="0" w:firstLineChars="0"/>
      <w:jc w:val="center"/>
    </w:pPr>
    <w:rPr>
      <w:sz w:val="18"/>
    </w:rPr>
  </w:style>
  <w:style w:type="paragraph" w:customStyle="1" w:styleId="182">
    <w:name w:val="标准文件_注："/>
    <w:next w:val="39"/>
    <w:qFormat/>
    <w:uiPriority w:val="0"/>
    <w:pPr>
      <w:widowControl w:val="0"/>
      <w:numPr>
        <w:ilvl w:val="0"/>
        <w:numId w:val="28"/>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9"/>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30"/>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39"/>
    <w:qFormat/>
    <w:uiPriority w:val="0"/>
    <w:pPr>
      <w:ind w:firstLine="420"/>
    </w:pPr>
    <w:rPr>
      <w:sz w:val="18"/>
    </w:rPr>
  </w:style>
  <w:style w:type="paragraph" w:customStyle="1" w:styleId="186">
    <w:name w:val="标准文件_示例×："/>
    <w:basedOn w:val="1"/>
    <w:next w:val="185"/>
    <w:qFormat/>
    <w:uiPriority w:val="0"/>
    <w:pPr>
      <w:widowControl/>
      <w:numPr>
        <w:ilvl w:val="0"/>
        <w:numId w:val="31"/>
      </w:numPr>
      <w:adjustRightInd/>
      <w:spacing w:line="240" w:lineRule="auto"/>
    </w:pPr>
    <w:rPr>
      <w:rFonts w:ascii="宋体" w:hAnsi="Times New Roman"/>
      <w:kern w:val="0"/>
      <w:sz w:val="18"/>
      <w:szCs w:val="18"/>
    </w:rPr>
  </w:style>
  <w:style w:type="character" w:customStyle="1" w:styleId="187">
    <w:name w:val="标准文件_段 Char"/>
    <w:link w:val="39"/>
    <w:qFormat/>
    <w:uiPriority w:val="0"/>
    <w:rPr>
      <w:rFonts w:ascii="Times New Roman" w:hAnsi="Times New Roman"/>
      <w:sz w:val="21"/>
    </w:rPr>
  </w:style>
  <w:style w:type="paragraph" w:customStyle="1" w:styleId="188">
    <w:name w:val="标准文件_表格续"/>
    <w:basedOn w:val="39"/>
    <w:next w:val="39"/>
    <w:qFormat/>
    <w:uiPriority w:val="0"/>
    <w:pPr>
      <w:jc w:val="center"/>
    </w:pPr>
    <w:rPr>
      <w:rFonts w:ascii="黑体" w:hAnsi="黑体" w:eastAsia="黑体"/>
    </w:rPr>
  </w:style>
  <w:style w:type="character" w:styleId="189">
    <w:name w:val="Placeholder Text"/>
    <w:basedOn w:val="31"/>
    <w:semiHidden/>
    <w:qFormat/>
    <w:uiPriority w:val="99"/>
    <w:rPr>
      <w:color w:val="808080"/>
    </w:rPr>
  </w:style>
  <w:style w:type="paragraph" w:customStyle="1" w:styleId="190">
    <w:name w:val="标准文件_二级项2"/>
    <w:basedOn w:val="39"/>
    <w:qFormat/>
    <w:uiPriority w:val="0"/>
    <w:pPr>
      <w:numPr>
        <w:ilvl w:val="1"/>
        <w:numId w:val="23"/>
      </w:numPr>
      <w:ind w:firstLine="0" w:firstLineChars="0"/>
    </w:pPr>
  </w:style>
  <w:style w:type="paragraph" w:customStyle="1" w:styleId="191">
    <w:name w:val="标准文件_三级项2"/>
    <w:basedOn w:val="39"/>
    <w:qFormat/>
    <w:uiPriority w:val="0"/>
    <w:pPr>
      <w:numPr>
        <w:ilvl w:val="0"/>
        <w:numId w:val="32"/>
      </w:numPr>
      <w:spacing w:line="300" w:lineRule="exact"/>
      <w:ind w:firstLineChars="0"/>
    </w:pPr>
  </w:style>
  <w:style w:type="paragraph" w:customStyle="1" w:styleId="192">
    <w:name w:val="标准文件_一级项2"/>
    <w:basedOn w:val="39"/>
    <w:qFormat/>
    <w:uiPriority w:val="0"/>
    <w:pPr>
      <w:numPr>
        <w:ilvl w:val="0"/>
        <w:numId w:val="33"/>
      </w:numPr>
      <w:spacing w:line="300" w:lineRule="exact"/>
      <w:ind w:firstLineChars="0"/>
    </w:pPr>
  </w:style>
  <w:style w:type="paragraph" w:customStyle="1" w:styleId="193">
    <w:name w:val="标准文件_提示"/>
    <w:basedOn w:val="39"/>
    <w:next w:val="39"/>
    <w:qFormat/>
    <w:uiPriority w:val="0"/>
    <w:pPr>
      <w:ind w:firstLine="420"/>
    </w:pPr>
    <w:rPr>
      <w:rFonts w:ascii="黑体" w:eastAsia="黑体"/>
    </w:rPr>
  </w:style>
  <w:style w:type="character" w:customStyle="1" w:styleId="194">
    <w:name w:val="标准文件_来源"/>
    <w:basedOn w:val="31"/>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wrap="around" w:vAnchor="page" w:hAnchor="page" w:x="1419" w:y="14097"/>
    </w:pPr>
  </w:style>
  <w:style w:type="paragraph" w:customStyle="1" w:styleId="197">
    <w:name w:val="其他实施日期"/>
    <w:basedOn w:val="157"/>
    <w:qFormat/>
    <w:uiPriority w:val="0"/>
    <w:pPr>
      <w:framePr w:w="3997" w:h="471" w:hRule="exact" w:vSpace="181" w:wrap="around" w:vAnchor="page" w:hAnchor="page" w:x="7089" w:y="14097"/>
    </w:pPr>
  </w:style>
  <w:style w:type="paragraph" w:customStyle="1" w:styleId="198">
    <w:name w:val="标准文件_文件编号"/>
    <w:basedOn w:val="39"/>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spacing w:before="57"/>
    </w:pPr>
    <w:rPr>
      <w:sz w:val="21"/>
    </w:rPr>
  </w:style>
  <w:style w:type="paragraph" w:customStyle="1" w:styleId="200">
    <w:name w:val="标准文件_文件名称"/>
    <w:basedOn w:val="39"/>
    <w:next w:val="39"/>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39"/>
    <w:next w:val="39"/>
    <w:qFormat/>
    <w:uiPriority w:val="0"/>
    <w:pPr>
      <w:numPr>
        <w:ilvl w:val="0"/>
        <w:numId w:val="8"/>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39"/>
    <w:next w:val="39"/>
    <w:qFormat/>
    <w:uiPriority w:val="0"/>
    <w:pPr>
      <w:numPr>
        <w:ilvl w:val="0"/>
        <w:numId w:val="7"/>
      </w:numPr>
      <w:spacing w:line="14" w:lineRule="exact"/>
      <w:ind w:firstLine="0" w:firstLineChars="0"/>
      <w:jc w:val="center"/>
    </w:pPr>
    <w:rPr>
      <w:rFonts w:eastAsia="黑体"/>
      <w:vanish/>
      <w:sz w:val="2"/>
    </w:rPr>
  </w:style>
  <w:style w:type="paragraph" w:customStyle="1" w:styleId="203">
    <w:name w:val="标准文件_引言一级条标题"/>
    <w:basedOn w:val="39"/>
    <w:next w:val="39"/>
    <w:qFormat/>
    <w:uiPriority w:val="0"/>
    <w:pPr>
      <w:numPr>
        <w:ilvl w:val="1"/>
        <w:numId w:val="10"/>
      </w:numPr>
      <w:spacing w:before="50" w:beforeLines="50" w:after="50" w:afterLines="50"/>
      <w:ind w:firstLineChars="0"/>
    </w:pPr>
    <w:rPr>
      <w:rFonts w:ascii="黑体" w:eastAsia="黑体"/>
    </w:rPr>
  </w:style>
  <w:style w:type="paragraph" w:customStyle="1" w:styleId="204">
    <w:name w:val="标准文件_引言二级条标题"/>
    <w:basedOn w:val="39"/>
    <w:next w:val="39"/>
    <w:qFormat/>
    <w:uiPriority w:val="0"/>
    <w:pPr>
      <w:numPr>
        <w:ilvl w:val="2"/>
        <w:numId w:val="10"/>
      </w:numPr>
      <w:spacing w:before="50" w:beforeLines="50" w:after="50" w:afterLines="50"/>
      <w:ind w:firstLineChars="0"/>
    </w:pPr>
    <w:rPr>
      <w:rFonts w:ascii="黑体" w:eastAsia="黑体"/>
    </w:rPr>
  </w:style>
  <w:style w:type="paragraph" w:customStyle="1" w:styleId="205">
    <w:name w:val="标准文件_引言三级条标题"/>
    <w:basedOn w:val="39"/>
    <w:next w:val="39"/>
    <w:qFormat/>
    <w:uiPriority w:val="0"/>
    <w:pPr>
      <w:numPr>
        <w:ilvl w:val="3"/>
        <w:numId w:val="10"/>
      </w:numPr>
      <w:spacing w:before="50" w:beforeLines="50" w:after="50" w:afterLines="50"/>
      <w:ind w:firstLineChars="0"/>
    </w:pPr>
    <w:rPr>
      <w:rFonts w:ascii="黑体" w:eastAsia="黑体"/>
    </w:rPr>
  </w:style>
  <w:style w:type="paragraph" w:customStyle="1" w:styleId="206">
    <w:name w:val="标准文件_引言四级条标题"/>
    <w:basedOn w:val="39"/>
    <w:next w:val="39"/>
    <w:qFormat/>
    <w:uiPriority w:val="0"/>
    <w:pPr>
      <w:numPr>
        <w:ilvl w:val="4"/>
        <w:numId w:val="10"/>
      </w:numPr>
      <w:spacing w:before="50" w:beforeLines="50" w:after="50" w:afterLines="50"/>
      <w:ind w:firstLineChars="0"/>
    </w:pPr>
    <w:rPr>
      <w:rFonts w:ascii="黑体" w:eastAsia="黑体"/>
    </w:rPr>
  </w:style>
  <w:style w:type="paragraph" w:customStyle="1" w:styleId="207">
    <w:name w:val="标准文件_引言五级条标题"/>
    <w:basedOn w:val="39"/>
    <w:next w:val="39"/>
    <w:qFormat/>
    <w:uiPriority w:val="0"/>
    <w:pPr>
      <w:numPr>
        <w:ilvl w:val="5"/>
        <w:numId w:val="10"/>
      </w:numPr>
      <w:spacing w:before="50" w:beforeLines="50" w:after="50" w:afterLines="50"/>
      <w:ind w:firstLineChars="0"/>
    </w:pPr>
    <w:rPr>
      <w:rFonts w:ascii="黑体" w:eastAsia="黑体"/>
    </w:rPr>
  </w:style>
  <w:style w:type="paragraph" w:customStyle="1" w:styleId="208">
    <w:name w:val="标准文件_注后"/>
    <w:basedOn w:val="39"/>
    <w:qFormat/>
    <w:uiPriority w:val="0"/>
    <w:pPr>
      <w:ind w:left="811" w:firstLine="0" w:firstLineChars="0"/>
    </w:pPr>
    <w:rPr>
      <w:sz w:val="18"/>
    </w:rPr>
  </w:style>
  <w:style w:type="paragraph" w:customStyle="1" w:styleId="209">
    <w:name w:val="标准文件_注X后"/>
    <w:basedOn w:val="39"/>
    <w:qFormat/>
    <w:uiPriority w:val="0"/>
    <w:pPr>
      <w:ind w:left="811" w:firstLine="0" w:firstLineChars="0"/>
    </w:pPr>
    <w:rPr>
      <w:sz w:val="18"/>
    </w:rPr>
  </w:style>
  <w:style w:type="paragraph" w:customStyle="1" w:styleId="210">
    <w:name w:val="标准文件_示例后"/>
    <w:basedOn w:val="39"/>
    <w:qFormat/>
    <w:uiPriority w:val="0"/>
    <w:pPr>
      <w:ind w:left="964" w:firstLine="0" w:firstLineChars="0"/>
    </w:pPr>
    <w:rPr>
      <w:sz w:val="18"/>
    </w:rPr>
  </w:style>
  <w:style w:type="paragraph" w:customStyle="1" w:styleId="211">
    <w:name w:val="标准文件_示例X后"/>
    <w:basedOn w:val="3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39"/>
    <w:next w:val="39"/>
    <w:qFormat/>
    <w:uiPriority w:val="0"/>
    <w:pPr>
      <w:tabs>
        <w:tab w:val="right" w:leader="dot" w:pos="9356"/>
      </w:tabs>
      <w:ind w:left="210" w:hanging="210" w:firstLineChars="0"/>
      <w:jc w:val="left"/>
    </w:pPr>
  </w:style>
  <w:style w:type="paragraph" w:customStyle="1" w:styleId="214">
    <w:name w:val="标准文件_附录一级无标题"/>
    <w:basedOn w:val="84"/>
    <w:qFormat/>
    <w:uiPriority w:val="0"/>
    <w:pPr>
      <w:spacing w:before="0" w:beforeLines="0" w:after="0" w:afterLines="0" w:line="276" w:lineRule="auto"/>
      <w:outlineLvl w:val="9"/>
    </w:pPr>
    <w:rPr>
      <w:rFonts w:ascii="宋体" w:eastAsia="宋体"/>
    </w:rPr>
  </w:style>
  <w:style w:type="paragraph" w:customStyle="1" w:styleId="215">
    <w:name w:val="标准文件_附录二级无标题"/>
    <w:basedOn w:val="85"/>
    <w:qFormat/>
    <w:uiPriority w:val="0"/>
    <w:pPr>
      <w:spacing w:before="0" w:beforeLines="0" w:after="0" w:afterLines="0" w:line="276" w:lineRule="auto"/>
      <w:outlineLvl w:val="9"/>
    </w:pPr>
    <w:rPr>
      <w:rFonts w:ascii="宋体" w:eastAsia="宋体"/>
    </w:rPr>
  </w:style>
  <w:style w:type="paragraph" w:customStyle="1" w:styleId="216">
    <w:name w:val="标准文件_附录三级无标题"/>
    <w:basedOn w:val="87"/>
    <w:qFormat/>
    <w:uiPriority w:val="0"/>
    <w:pPr>
      <w:spacing w:before="0" w:beforeLines="0" w:after="0" w:afterLines="0" w:line="276" w:lineRule="auto"/>
      <w:outlineLvl w:val="9"/>
    </w:pPr>
    <w:rPr>
      <w:rFonts w:ascii="宋体" w:eastAsia="宋体"/>
    </w:rPr>
  </w:style>
  <w:style w:type="paragraph" w:customStyle="1" w:styleId="217">
    <w:name w:val="标准文件_附录四级无标题"/>
    <w:basedOn w:val="88"/>
    <w:qFormat/>
    <w:uiPriority w:val="0"/>
    <w:pPr>
      <w:spacing w:before="0" w:beforeLines="0" w:after="0" w:afterLines="0" w:line="276" w:lineRule="auto"/>
      <w:outlineLvl w:val="9"/>
    </w:pPr>
    <w:rPr>
      <w:rFonts w:ascii="宋体" w:eastAsia="宋体"/>
    </w:rPr>
  </w:style>
  <w:style w:type="paragraph" w:customStyle="1" w:styleId="218">
    <w:name w:val="标准文件_附录五级无标题"/>
    <w:basedOn w:val="90"/>
    <w:qFormat/>
    <w:uiPriority w:val="0"/>
    <w:pPr>
      <w:spacing w:before="0" w:beforeLines="0" w:after="0" w:afterLines="0" w:line="276" w:lineRule="auto"/>
      <w:outlineLvl w:val="9"/>
    </w:pPr>
    <w:rPr>
      <w:rFonts w:ascii="宋体" w:eastAsia="宋体"/>
    </w:rPr>
  </w:style>
  <w:style w:type="paragraph" w:customStyle="1" w:styleId="219">
    <w:name w:val="标准文件_引言一级无标题"/>
    <w:basedOn w:val="203"/>
    <w:next w:val="39"/>
    <w:qFormat/>
    <w:uiPriority w:val="0"/>
    <w:pPr>
      <w:spacing w:before="0" w:beforeLines="0" w:after="0" w:afterLines="0" w:line="276" w:lineRule="auto"/>
    </w:pPr>
    <w:rPr>
      <w:rFonts w:ascii="宋体" w:eastAsia="宋体"/>
    </w:rPr>
  </w:style>
  <w:style w:type="paragraph" w:customStyle="1" w:styleId="220">
    <w:name w:val="标准文件_引言二级无标题"/>
    <w:basedOn w:val="204"/>
    <w:next w:val="39"/>
    <w:qFormat/>
    <w:uiPriority w:val="0"/>
    <w:pPr>
      <w:spacing w:before="0" w:beforeLines="0" w:after="0" w:afterLines="0" w:line="276" w:lineRule="auto"/>
    </w:pPr>
    <w:rPr>
      <w:rFonts w:ascii="宋体" w:eastAsia="宋体"/>
    </w:rPr>
  </w:style>
  <w:style w:type="paragraph" w:customStyle="1" w:styleId="221">
    <w:name w:val="标准文件_引言三级无标题"/>
    <w:basedOn w:val="205"/>
    <w:qFormat/>
    <w:uiPriority w:val="0"/>
    <w:pPr>
      <w:spacing w:before="0" w:beforeLines="0" w:after="0" w:afterLines="0" w:line="276" w:lineRule="auto"/>
    </w:pPr>
    <w:rPr>
      <w:rFonts w:ascii="宋体" w:eastAsia="宋体"/>
    </w:rPr>
  </w:style>
  <w:style w:type="paragraph" w:customStyle="1" w:styleId="222">
    <w:name w:val="标准文件_引言四级无标题"/>
    <w:basedOn w:val="206"/>
    <w:next w:val="39"/>
    <w:qFormat/>
    <w:uiPriority w:val="0"/>
    <w:pPr>
      <w:spacing w:before="0" w:beforeLines="0" w:after="0" w:afterLines="0" w:line="276" w:lineRule="auto"/>
    </w:pPr>
    <w:rPr>
      <w:rFonts w:ascii="宋体" w:eastAsia="宋体"/>
    </w:rPr>
  </w:style>
  <w:style w:type="paragraph" w:customStyle="1" w:styleId="223">
    <w:name w:val="标准文件_引言五级无标题"/>
    <w:basedOn w:val="207"/>
    <w:next w:val="39"/>
    <w:qFormat/>
    <w:uiPriority w:val="0"/>
    <w:pPr>
      <w:spacing w:before="0" w:beforeLines="0" w:after="0" w:afterLines="0" w:line="276" w:lineRule="auto"/>
    </w:pPr>
    <w:rPr>
      <w:rFonts w:ascii="宋体" w:eastAsia="宋体"/>
    </w:rPr>
  </w:style>
  <w:style w:type="paragraph" w:customStyle="1" w:styleId="224">
    <w:name w:val="标准文件_索引标题"/>
    <w:basedOn w:val="70"/>
    <w:next w:val="39"/>
    <w:qFormat/>
    <w:uiPriority w:val="0"/>
    <w:rPr>
      <w:rFonts w:hAnsi="黑体"/>
    </w:rPr>
  </w:style>
  <w:style w:type="paragraph" w:customStyle="1" w:styleId="225">
    <w:name w:val="标准文件_脚注内容"/>
    <w:basedOn w:val="39"/>
    <w:qFormat/>
    <w:uiPriority w:val="0"/>
    <w:pPr>
      <w:ind w:left="400" w:leftChars="200" w:hanging="200" w:hangingChars="200"/>
    </w:pPr>
    <w:rPr>
      <w:sz w:val="15"/>
    </w:rPr>
  </w:style>
  <w:style w:type="paragraph" w:customStyle="1" w:styleId="226">
    <w:name w:val="标准文件_术语条一"/>
    <w:basedOn w:val="165"/>
    <w:next w:val="39"/>
    <w:qFormat/>
    <w:uiPriority w:val="0"/>
  </w:style>
  <w:style w:type="paragraph" w:customStyle="1" w:styleId="227">
    <w:name w:val="标准文件_术语条二"/>
    <w:basedOn w:val="168"/>
    <w:next w:val="39"/>
    <w:qFormat/>
    <w:uiPriority w:val="0"/>
  </w:style>
  <w:style w:type="paragraph" w:customStyle="1" w:styleId="228">
    <w:name w:val="标准文件_术语条三"/>
    <w:basedOn w:val="167"/>
    <w:next w:val="39"/>
    <w:qFormat/>
    <w:uiPriority w:val="0"/>
  </w:style>
  <w:style w:type="paragraph" w:customStyle="1" w:styleId="229">
    <w:name w:val="标准文件_术语条四"/>
    <w:basedOn w:val="170"/>
    <w:next w:val="39"/>
    <w:qFormat/>
    <w:uiPriority w:val="0"/>
  </w:style>
  <w:style w:type="paragraph" w:customStyle="1" w:styleId="230">
    <w:name w:val="标准文件_术语条五"/>
    <w:basedOn w:val="166"/>
    <w:next w:val="3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2">
    <w:name w:val="发布"/>
    <w:basedOn w:val="31"/>
    <w:qFormat/>
    <w:uiPriority w:val="0"/>
    <w:rPr>
      <w:rFonts w:ascii="黑体" w:eastAsia="黑体"/>
      <w:spacing w:val="85"/>
      <w:w w:val="100"/>
      <w:position w:val="3"/>
      <w:sz w:val="28"/>
      <w:szCs w:val="28"/>
    </w:rPr>
  </w:style>
  <w:style w:type="character" w:customStyle="1" w:styleId="233">
    <w:name w:val="font31"/>
    <w:basedOn w:val="31"/>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B3BEDB4F2724F9D81F4444A5CCE266D"/>
        <w:style w:val=""/>
        <w:category>
          <w:name w:val="常规"/>
          <w:gallery w:val="placeholder"/>
        </w:category>
        <w:types>
          <w:type w:val="bbPlcHdr"/>
        </w:types>
        <w:behaviors>
          <w:behavior w:val="content"/>
        </w:behaviors>
        <w:description w:val=""/>
        <w:guid w:val="{9A791DFB-56F6-4B85-997E-8EF3CEE1C2DA}"/>
      </w:docPartPr>
      <w:docPartBody>
        <w:p w14:paraId="333BC7D6">
          <w:pPr>
            <w:pStyle w:val="5"/>
          </w:pPr>
          <w:r>
            <w:rPr>
              <w:rStyle w:val="4"/>
              <w:rFonts w:hint="eastAsia"/>
            </w:rPr>
            <w:t>单击或点击此处输入文字。</w:t>
          </w:r>
        </w:p>
      </w:docPartBody>
    </w:docPart>
    <w:docPart>
      <w:docPartPr>
        <w:name w:val="DD487E154D8B46B1811108614A11313A"/>
        <w:style w:val=""/>
        <w:category>
          <w:name w:val="常规"/>
          <w:gallery w:val="placeholder"/>
        </w:category>
        <w:types>
          <w:type w:val="bbPlcHdr"/>
        </w:types>
        <w:behaviors>
          <w:behavior w:val="content"/>
        </w:behaviors>
        <w:description w:val=""/>
        <w:guid w:val="{BDA84726-025B-4CC9-AFA0-B8C5A34685AA}"/>
      </w:docPartPr>
      <w:docPartBody>
        <w:p w14:paraId="2FE72CF7">
          <w:pPr>
            <w:pStyle w:val="7"/>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0EA"/>
    <w:rsid w:val="005D70EA"/>
    <w:rsid w:val="006E2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9B3BEDB4F2724F9D81F4444A5CCE266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78956B8278AF41489B4C226600D2E8C4"/>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DD487E154D8B46B1811108614A11313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团体标准.dotx</Template>
  <Pages>22</Pages>
  <Words>6133</Words>
  <Characters>8168</Characters>
  <Lines>1</Lines>
  <Paragraphs>1</Paragraphs>
  <TotalTime>1</TotalTime>
  <ScaleCrop>false</ScaleCrop>
  <LinksUpToDate>false</LinksUpToDate>
  <CharactersWithSpaces>8483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2026-08-05T08:52:00Z</dcterms:created>
  <dc:creator>Jelloun</dc:creator>
  <cp:lastModifiedBy>Jelloun</cp:lastModifiedBy>
  <dcterms:modified xsi:type="dcterms:W3CDTF">2026-10-12T07:53:51Z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5DE825FB106247CAA18C2DF3D07FAE24_13</vt:lpwstr>
  </property>
  <property fmtid="{D5CDD505-2E9C-101B-9397-08002B2CF9AE}" pid="15" name="KSOTemplateDocerSaveRecord">
    <vt:lpwstr>eyJoZGlkIjoiODE2MGE1OTkyNzllNWFjMWQ4YWRlYzk2OWZkNTQ2OTEiLCJ1c2VySWQiOiIyNDM2MDA0NTEifQ==</vt:lpwstr>
  </property>
  <property fmtid="{D5CDD505-2E9C-101B-9397-08002B2CF9AE}" pid="16" name="KSOProductBuildVer">
    <vt:lpwstr>2052-12.1.0.28505</vt:lpwstr>
  </property>
</Properties>
</file>