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85CC5D">
      <w:pPr>
        <w:bidi w:val="0"/>
        <w:rPr>
          <w:rFonts w:hint="eastAsia"/>
          <w:lang w:eastAsia="zh-CN"/>
        </w:rPr>
      </w:pPr>
    </w:p>
    <w:p w14:paraId="7E56C62C">
      <w:pPr>
        <w:bidi w:val="0"/>
        <w:rPr>
          <w:rFonts w:hint="eastAsia"/>
          <w:lang w:eastAsia="zh-CN"/>
        </w:rPr>
      </w:pPr>
    </w:p>
    <w:p w14:paraId="752ACAC6">
      <w:pPr>
        <w:bidi w:val="0"/>
        <w:rPr>
          <w:rFonts w:hint="eastAsia"/>
          <w:lang w:eastAsia="zh-CN"/>
        </w:rPr>
      </w:pPr>
    </w:p>
    <w:p w14:paraId="7E01A8B3">
      <w:pPr>
        <w:bidi w:val="0"/>
        <w:rPr>
          <w:rFonts w:hint="eastAsia"/>
          <w:lang w:eastAsia="zh-CN"/>
        </w:rPr>
      </w:pPr>
    </w:p>
    <w:p w14:paraId="7A4D5936">
      <w:pPr>
        <w:bidi w:val="0"/>
        <w:rPr>
          <w:rFonts w:hint="eastAsia"/>
          <w:lang w:eastAsia="zh-CN"/>
        </w:rPr>
      </w:pPr>
    </w:p>
    <w:p w14:paraId="480763E0">
      <w:pPr>
        <w:bidi w:val="0"/>
        <w:ind w:left="0" w:leftChars="0" w:right="0" w:rightChars="0" w:firstLine="0" w:firstLineChars="0"/>
        <w:jc w:val="center"/>
        <w:rPr>
          <w:rFonts w:hint="eastAsia" w:ascii="黑体" w:hAnsi="黑体" w:eastAsia="黑体" w:cs="黑体"/>
          <w:sz w:val="44"/>
          <w:szCs w:val="44"/>
          <w:lang w:eastAsia="zh-CN"/>
        </w:rPr>
      </w:pPr>
      <w:r>
        <w:rPr>
          <w:rFonts w:hint="eastAsia" w:ascii="黑体" w:hAnsi="黑体" w:eastAsia="黑体" w:cs="黑体"/>
          <w:sz w:val="44"/>
          <w:szCs w:val="44"/>
          <w:lang w:val="en-US" w:eastAsia="zh-CN"/>
        </w:rPr>
        <w:t>团体标准</w:t>
      </w:r>
      <w:r>
        <w:rPr>
          <w:rFonts w:hint="eastAsia" w:ascii="黑体" w:hAnsi="黑体" w:eastAsia="黑体" w:cs="黑体"/>
          <w:sz w:val="44"/>
          <w:szCs w:val="44"/>
          <w:lang w:eastAsia="zh-CN"/>
        </w:rPr>
        <w:t>《温室气体 产品碳足迹量化方法与要求 神湾菠萝》（</w:t>
      </w:r>
      <w:r>
        <w:rPr>
          <w:rFonts w:hint="eastAsia" w:ascii="黑体" w:hAnsi="黑体" w:eastAsia="黑体" w:cs="黑体"/>
          <w:sz w:val="44"/>
          <w:szCs w:val="44"/>
          <w:lang w:val="en-US" w:eastAsia="zh-CN"/>
        </w:rPr>
        <w:t>征求意见稿</w:t>
      </w:r>
      <w:r>
        <w:rPr>
          <w:rFonts w:hint="eastAsia" w:ascii="黑体" w:hAnsi="黑体" w:eastAsia="黑体" w:cs="黑体"/>
          <w:sz w:val="44"/>
          <w:szCs w:val="44"/>
          <w:lang w:eastAsia="zh-CN"/>
        </w:rPr>
        <w:t>）</w:t>
      </w:r>
    </w:p>
    <w:p w14:paraId="3AF593BE">
      <w:pPr>
        <w:bidi w:val="0"/>
        <w:ind w:left="0" w:leftChars="0" w:right="0" w:rightChars="0" w:firstLine="0" w:firstLineChars="0"/>
        <w:jc w:val="center"/>
        <w:rPr>
          <w:rFonts w:hint="eastAsia" w:ascii="黑体" w:hAnsi="黑体" w:eastAsia="黑体" w:cs="黑体"/>
          <w:sz w:val="44"/>
          <w:szCs w:val="44"/>
          <w:lang w:eastAsia="zh-CN"/>
        </w:rPr>
      </w:pPr>
    </w:p>
    <w:p w14:paraId="1F8E9E73">
      <w:pPr>
        <w:bidi w:val="0"/>
        <w:ind w:left="0" w:leftChars="0" w:right="0" w:rightChars="0" w:firstLine="0" w:firstLineChars="0"/>
        <w:jc w:val="center"/>
        <w:rPr>
          <w:rFonts w:hint="eastAsia" w:ascii="黑体" w:hAnsi="黑体" w:eastAsia="黑体" w:cs="黑体"/>
          <w:sz w:val="44"/>
          <w:szCs w:val="44"/>
        </w:rPr>
      </w:pPr>
      <w:r>
        <w:rPr>
          <w:rFonts w:hint="eastAsia" w:ascii="黑体" w:hAnsi="黑体" w:eastAsia="黑体" w:cs="黑体"/>
          <w:sz w:val="44"/>
          <w:szCs w:val="44"/>
          <w:lang w:eastAsia="zh-CN"/>
        </w:rPr>
        <w:t>编制说明</w:t>
      </w:r>
    </w:p>
    <w:p w14:paraId="7B29E497">
      <w:pPr>
        <w:rPr>
          <w:rFonts w:ascii="仿宋" w:eastAsia="仿宋"/>
          <w:sz w:val="24"/>
        </w:rPr>
      </w:pPr>
    </w:p>
    <w:p w14:paraId="5E7FDD27">
      <w:pPr>
        <w:rPr>
          <w:rFonts w:ascii="仿宋" w:eastAsia="仿宋"/>
          <w:sz w:val="24"/>
        </w:rPr>
      </w:pPr>
    </w:p>
    <w:p w14:paraId="5404792A">
      <w:pPr>
        <w:rPr>
          <w:rFonts w:ascii="仿宋" w:eastAsia="仿宋"/>
          <w:sz w:val="24"/>
        </w:rPr>
      </w:pPr>
    </w:p>
    <w:p w14:paraId="697E2BCA">
      <w:pPr>
        <w:rPr>
          <w:rFonts w:ascii="仿宋" w:eastAsia="仿宋"/>
          <w:sz w:val="24"/>
        </w:rPr>
      </w:pPr>
    </w:p>
    <w:p w14:paraId="6C0EB3AB">
      <w:pPr>
        <w:rPr>
          <w:rFonts w:ascii="仿宋" w:eastAsia="仿宋"/>
          <w:sz w:val="24"/>
        </w:rPr>
      </w:pPr>
    </w:p>
    <w:p w14:paraId="3F895472">
      <w:pPr>
        <w:rPr>
          <w:rFonts w:ascii="仿宋" w:eastAsia="仿宋"/>
          <w:sz w:val="24"/>
        </w:rPr>
      </w:pPr>
    </w:p>
    <w:p w14:paraId="44ACA7A9">
      <w:pPr>
        <w:rPr>
          <w:rFonts w:ascii="仿宋" w:eastAsia="仿宋"/>
          <w:sz w:val="24"/>
        </w:rPr>
      </w:pPr>
    </w:p>
    <w:p w14:paraId="7284F87D">
      <w:pPr>
        <w:rPr>
          <w:rFonts w:ascii="仿宋" w:eastAsia="仿宋"/>
          <w:sz w:val="24"/>
        </w:rPr>
      </w:pPr>
    </w:p>
    <w:p w14:paraId="643810C0">
      <w:pPr>
        <w:rPr>
          <w:rFonts w:ascii="仿宋" w:eastAsia="仿宋"/>
          <w:sz w:val="24"/>
        </w:rPr>
      </w:pPr>
    </w:p>
    <w:p w14:paraId="64F801BF">
      <w:pPr>
        <w:rPr>
          <w:rFonts w:ascii="仿宋" w:eastAsia="仿宋"/>
          <w:sz w:val="24"/>
        </w:rPr>
      </w:pPr>
    </w:p>
    <w:p w14:paraId="403EEFB4">
      <w:pPr>
        <w:rPr>
          <w:rFonts w:ascii="仿宋" w:eastAsia="仿宋"/>
          <w:sz w:val="24"/>
        </w:rPr>
      </w:pPr>
    </w:p>
    <w:p w14:paraId="5594E593">
      <w:pPr>
        <w:ind w:left="0" w:leftChars="0" w:right="0" w:rightChars="0" w:firstLine="0" w:firstLineChars="0"/>
        <w:jc w:val="center"/>
        <w:rPr>
          <w:rFonts w:hint="eastAsia" w:ascii="黑体" w:hAnsi="黑体" w:eastAsia="黑体" w:cs="黑体"/>
          <w:sz w:val="28"/>
          <w:szCs w:val="28"/>
          <w:lang w:eastAsia="zh-CN"/>
        </w:rPr>
      </w:pPr>
      <w:r>
        <w:rPr>
          <w:rFonts w:hint="eastAsia" w:ascii="黑体" w:hAnsi="黑体" w:eastAsia="黑体" w:cs="黑体"/>
          <w:sz w:val="28"/>
          <w:szCs w:val="28"/>
          <w:lang w:val="en-US" w:eastAsia="zh-CN"/>
        </w:rPr>
        <w:t>团体标准</w:t>
      </w:r>
      <w:r>
        <w:rPr>
          <w:rFonts w:hint="eastAsia" w:ascii="黑体" w:hAnsi="黑体" w:eastAsia="黑体" w:cs="黑体"/>
          <w:sz w:val="28"/>
          <w:szCs w:val="28"/>
          <w:lang w:eastAsia="zh-CN"/>
        </w:rPr>
        <w:t>《温室气体 产品碳足迹量化方法与要求 神湾菠萝》</w:t>
      </w:r>
    </w:p>
    <w:p w14:paraId="093A07D4">
      <w:pPr>
        <w:ind w:left="0" w:leftChars="0" w:right="0" w:rightChars="0" w:firstLine="0" w:firstLineChars="0"/>
        <w:jc w:val="center"/>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编制组</w:t>
      </w:r>
    </w:p>
    <w:p w14:paraId="5F9139C3">
      <w:pPr>
        <w:ind w:left="0" w:leftChars="0" w:right="0" w:rightChars="0" w:firstLine="0" w:firstLineChars="0"/>
        <w:jc w:val="center"/>
        <w:rPr>
          <w:rFonts w:hint="default" w:ascii="黑体" w:hAnsi="黑体" w:eastAsia="黑体" w:cs="黑体"/>
          <w:sz w:val="28"/>
          <w:szCs w:val="28"/>
          <w:lang w:val="en-US" w:eastAsia="zh-CN"/>
        </w:rPr>
      </w:pPr>
      <w:r>
        <w:rPr>
          <w:rFonts w:hint="eastAsia" w:ascii="黑体" w:hAnsi="黑体" w:eastAsia="黑体" w:cs="黑体"/>
          <w:sz w:val="28"/>
          <w:szCs w:val="28"/>
          <w:lang w:val="en-US" w:eastAsia="zh-CN"/>
        </w:rPr>
        <w:t>2026年10月10日</w:t>
      </w:r>
    </w:p>
    <w:p w14:paraId="528002AD">
      <w:pPr>
        <w:rPr>
          <w:rFonts w:ascii="仿宋" w:eastAsia="仿宋"/>
          <w:sz w:val="24"/>
        </w:rPr>
      </w:pPr>
      <w:r>
        <w:rPr>
          <w:rFonts w:ascii="仿宋" w:eastAsia="仿宋"/>
          <w:sz w:val="24"/>
        </w:rPr>
        <w:br w:type="page"/>
      </w:r>
    </w:p>
    <w:p w14:paraId="5C23EEBE">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一、工作简况</w:t>
      </w:r>
    </w:p>
    <w:p w14:paraId="28ECCC4E">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1. 任务来源</w:t>
      </w:r>
    </w:p>
    <w:p w14:paraId="7735D0D8">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《温室气体</w:t>
      </w:r>
      <w:r>
        <w:rPr>
          <w:rFonts w:ascii="仿宋" w:eastAsia="仿宋"/>
          <w:sz w:val="24"/>
        </w:rPr>
        <w:t xml:space="preserve"> </w:t>
      </w:r>
      <w:r>
        <w:rPr>
          <w:rFonts w:hint="eastAsia" w:ascii="仿宋" w:hAnsi="宋体" w:eastAsia="仿宋" w:cs="宋体"/>
          <w:sz w:val="24"/>
          <w:lang w:eastAsia="zh-CN"/>
        </w:rPr>
        <w:t>产品碳足迹量化方法与要求</w:t>
      </w:r>
      <w:r>
        <w:rPr>
          <w:rFonts w:ascii="仿宋" w:eastAsia="仿宋"/>
          <w:sz w:val="24"/>
        </w:rPr>
        <w:t xml:space="preserve"> </w:t>
      </w:r>
      <w:r>
        <w:rPr>
          <w:rFonts w:hint="eastAsia" w:ascii="仿宋" w:hAnsi="宋体" w:eastAsia="仿宋" w:cs="宋体"/>
          <w:sz w:val="24"/>
          <w:lang w:eastAsia="zh-CN"/>
        </w:rPr>
        <w:t>神湾菠萝》由中山市湾区生态环境研究中心</w:t>
      </w:r>
      <w:r>
        <w:rPr>
          <w:rFonts w:hint="eastAsia" w:ascii="仿宋" w:eastAsia="仿宋" w:cs="宋体"/>
          <w:sz w:val="24"/>
          <w:lang w:val="en-US" w:eastAsia="zh-CN"/>
        </w:rPr>
        <w:t>联合中山市神湾镇自游农场有限公司、中山市金筒农业科技有限公司</w:t>
      </w:r>
      <w:r>
        <w:rPr>
          <w:rFonts w:hint="eastAsia" w:ascii="仿宋" w:hAnsi="宋体" w:eastAsia="仿宋" w:cs="宋体"/>
          <w:sz w:val="24"/>
          <w:lang w:eastAsia="zh-CN"/>
        </w:rPr>
        <w:t>提出立项申请，由中山市环境科学学会归口，属团体标准。本文件旨在针对中山市神湾镇地理标志农产品</w:t>
      </w:r>
      <w:r>
        <w:rPr>
          <w:rFonts w:ascii="仿宋" w:eastAsia="仿宋"/>
          <w:sz w:val="24"/>
        </w:rPr>
        <w:t>——</w:t>
      </w:r>
      <w:r>
        <w:rPr>
          <w:rFonts w:hint="eastAsia" w:ascii="仿宋" w:hAnsi="宋体" w:eastAsia="仿宋" w:cs="宋体"/>
          <w:sz w:val="24"/>
          <w:lang w:eastAsia="zh-CN"/>
        </w:rPr>
        <w:t>神湾菠萝，建立统一、规范的产品碳足迹量化方法与要求，填补特定地理标志农产品碳足迹核算规则空白。</w:t>
      </w:r>
    </w:p>
    <w:p w14:paraId="29B7DCD3">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本文件在</w:t>
      </w:r>
      <w:r>
        <w:rPr>
          <w:rFonts w:ascii="仿宋" w:eastAsia="仿宋"/>
          <w:sz w:val="24"/>
        </w:rPr>
        <w:t xml:space="preserve"> GB/T 24067—2024</w:t>
      </w:r>
      <w:r>
        <w:rPr>
          <w:rFonts w:hint="eastAsia" w:ascii="仿宋" w:hAnsi="宋体" w:eastAsia="仿宋" w:cs="宋体"/>
          <w:sz w:val="24"/>
          <w:lang w:eastAsia="zh-CN"/>
        </w:rPr>
        <w:t>《温室气体</w:t>
      </w:r>
      <w:r>
        <w:rPr>
          <w:rFonts w:ascii="仿宋" w:eastAsia="仿宋"/>
          <w:sz w:val="24"/>
        </w:rPr>
        <w:t xml:space="preserve"> </w:t>
      </w:r>
      <w:r>
        <w:rPr>
          <w:rFonts w:hint="eastAsia" w:ascii="仿宋" w:hAnsi="宋体" w:eastAsia="仿宋" w:cs="宋体"/>
          <w:sz w:val="24"/>
          <w:lang w:eastAsia="zh-CN"/>
        </w:rPr>
        <w:t>产品碳足迹</w:t>
      </w:r>
      <w:r>
        <w:rPr>
          <w:rFonts w:ascii="仿宋" w:eastAsia="仿宋"/>
          <w:sz w:val="24"/>
        </w:rPr>
        <w:t xml:space="preserve"> </w:t>
      </w:r>
      <w:r>
        <w:rPr>
          <w:rFonts w:hint="eastAsia" w:ascii="仿宋" w:hAnsi="宋体" w:eastAsia="仿宋" w:cs="宋体"/>
          <w:sz w:val="24"/>
          <w:lang w:eastAsia="zh-CN"/>
        </w:rPr>
        <w:t>量化要求和指南》框架下，结合神湾菠萝的生产实际制定产品种类规则（</w:t>
      </w:r>
      <w:r>
        <w:rPr>
          <w:rFonts w:ascii="仿宋" w:eastAsia="仿宋"/>
          <w:sz w:val="24"/>
        </w:rPr>
        <w:t>Product Category Rules</w:t>
      </w:r>
      <w:r>
        <w:rPr>
          <w:rFonts w:hint="eastAsia" w:ascii="仿宋" w:hAnsi="宋体" w:eastAsia="仿宋" w:cs="宋体"/>
          <w:sz w:val="24"/>
          <w:lang w:eastAsia="zh-CN"/>
        </w:rPr>
        <w:t>，</w:t>
      </w:r>
      <w:r>
        <w:rPr>
          <w:rFonts w:ascii="仿宋" w:eastAsia="仿宋"/>
          <w:sz w:val="24"/>
        </w:rPr>
        <w:t>PCR</w:t>
      </w:r>
      <w:r>
        <w:rPr>
          <w:rFonts w:hint="eastAsia" w:ascii="仿宋" w:hAnsi="宋体" w:eastAsia="仿宋" w:cs="宋体"/>
          <w:sz w:val="24"/>
          <w:lang w:eastAsia="zh-CN"/>
        </w:rPr>
        <w:t>），是对国家通用标准在特定农产品上的细化与落地。</w:t>
      </w:r>
    </w:p>
    <w:p w14:paraId="15E4BDC9">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2. 制定背景</w:t>
      </w:r>
    </w:p>
    <w:p w14:paraId="6D446503">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1</w:t>
      </w:r>
      <w:r>
        <w:rPr>
          <w:rFonts w:hint="eastAsia" w:ascii="仿宋" w:hAnsi="宋体" w:eastAsia="仿宋" w:cs="宋体"/>
          <w:sz w:val="24"/>
          <w:lang w:eastAsia="zh-CN"/>
        </w:rPr>
        <w:t>）政策背景。</w:t>
      </w:r>
      <w:r>
        <w:rPr>
          <w:rFonts w:ascii="仿宋" w:eastAsia="仿宋"/>
          <w:sz w:val="24"/>
        </w:rPr>
        <w:t xml:space="preserve">2021 </w:t>
      </w:r>
      <w:r>
        <w:rPr>
          <w:rFonts w:hint="eastAsia" w:ascii="仿宋" w:hAnsi="宋体" w:eastAsia="仿宋" w:cs="宋体"/>
          <w:sz w:val="24"/>
          <w:lang w:eastAsia="zh-CN"/>
        </w:rPr>
        <w:t>年中共中央、国务院《关于完整准确全面贯彻新发展理念做好碳达峰碳中和工作的意见》提出建立统一规范的碳核算体系、完善低碳产品标准标识制度。</w:t>
      </w:r>
      <w:r>
        <w:rPr>
          <w:rFonts w:ascii="仿宋" w:eastAsia="仿宋"/>
          <w:sz w:val="24"/>
        </w:rPr>
        <w:t xml:space="preserve">2021 </w:t>
      </w:r>
      <w:r>
        <w:rPr>
          <w:rFonts w:hint="eastAsia" w:ascii="仿宋" w:hAnsi="宋体" w:eastAsia="仿宋" w:cs="宋体"/>
          <w:sz w:val="24"/>
          <w:lang w:eastAsia="zh-CN"/>
        </w:rPr>
        <w:t>年国务院《</w:t>
      </w:r>
      <w:r>
        <w:rPr>
          <w:rFonts w:ascii="仿宋" w:eastAsia="仿宋"/>
          <w:sz w:val="24"/>
        </w:rPr>
        <w:t xml:space="preserve">2030 </w:t>
      </w:r>
      <w:r>
        <w:rPr>
          <w:rFonts w:hint="eastAsia" w:ascii="仿宋" w:hAnsi="宋体" w:eastAsia="仿宋" w:cs="宋体"/>
          <w:sz w:val="24"/>
          <w:lang w:eastAsia="zh-CN"/>
        </w:rPr>
        <w:t>年前碳达峰行动方案》要求推进农业农村减排固碳，探索建立重点产品全生命周期碳足迹标准。国家发展改革委《关于加快建立产品碳足迹管理体系的意见》（</w:t>
      </w:r>
      <w:r>
        <w:rPr>
          <w:rFonts w:ascii="仿宋" w:eastAsia="仿宋"/>
          <w:sz w:val="24"/>
        </w:rPr>
        <w:t>2023</w:t>
      </w:r>
      <w:r>
        <w:rPr>
          <w:rFonts w:hint="eastAsia" w:ascii="仿宋" w:hAnsi="宋体" w:eastAsia="仿宋" w:cs="宋体"/>
          <w:sz w:val="24"/>
          <w:lang w:eastAsia="zh-CN"/>
        </w:rPr>
        <w:t>）、生态环境部等十五部门《关于建立碳足迹管理体系的实施方案》（</w:t>
      </w:r>
      <w:r>
        <w:rPr>
          <w:rFonts w:ascii="仿宋" w:eastAsia="仿宋"/>
          <w:sz w:val="24"/>
        </w:rPr>
        <w:t>2024</w:t>
      </w:r>
      <w:r>
        <w:rPr>
          <w:rFonts w:hint="eastAsia" w:ascii="仿宋" w:hAnsi="宋体" w:eastAsia="仿宋" w:cs="宋体"/>
          <w:sz w:val="24"/>
          <w:lang w:eastAsia="zh-CN"/>
        </w:rPr>
        <w:t>）明确提出到</w:t>
      </w:r>
      <w:r>
        <w:rPr>
          <w:rFonts w:ascii="仿宋" w:eastAsia="仿宋"/>
          <w:sz w:val="24"/>
        </w:rPr>
        <w:t xml:space="preserve"> 2027 </w:t>
      </w:r>
      <w:r>
        <w:rPr>
          <w:rFonts w:hint="eastAsia" w:ascii="仿宋" w:hAnsi="宋体" w:eastAsia="仿宋" w:cs="宋体"/>
          <w:sz w:val="24"/>
          <w:lang w:eastAsia="zh-CN"/>
        </w:rPr>
        <w:t>年初步建成碳足迹管理体系、制定重点产品碳足迹核算规则、构建碳足迹因子数据库。上述政策将农产品纳入碳足迹核算标准化范畴，为农业企业优化生产流程、提升国际竞争力提供了政策依据。</w:t>
      </w:r>
    </w:p>
    <w:p w14:paraId="2DE286E2">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2</w:t>
      </w:r>
      <w:r>
        <w:rPr>
          <w:rFonts w:hint="eastAsia" w:ascii="仿宋" w:hAnsi="宋体" w:eastAsia="仿宋" w:cs="宋体"/>
          <w:sz w:val="24"/>
          <w:lang w:eastAsia="zh-CN"/>
        </w:rPr>
        <w:t>）行业与产品背景。神湾菠萝为广东省中山市神湾镇地理标志农产品，属凤梨属皇后类地方特色品种（当地俗称</w:t>
      </w:r>
      <w:r>
        <w:rPr>
          <w:rFonts w:ascii="仿宋" w:eastAsia="仿宋"/>
          <w:sz w:val="24"/>
        </w:rPr>
        <w:t>"</w:t>
      </w:r>
      <w:r>
        <w:rPr>
          <w:rFonts w:hint="eastAsia" w:ascii="仿宋" w:hAnsi="宋体" w:eastAsia="仿宋" w:cs="宋体"/>
          <w:sz w:val="24"/>
          <w:lang w:eastAsia="zh-CN"/>
        </w:rPr>
        <w:t>金山种</w:t>
      </w:r>
      <w:r>
        <w:rPr>
          <w:rFonts w:ascii="仿宋" w:eastAsia="仿宋"/>
          <w:sz w:val="24"/>
        </w:rPr>
        <w:t>/</w:t>
      </w:r>
      <w:r>
        <w:rPr>
          <w:rFonts w:hint="eastAsia" w:ascii="仿宋" w:hAnsi="宋体" w:eastAsia="仿宋" w:cs="宋体"/>
          <w:sz w:val="24"/>
          <w:lang w:eastAsia="zh-CN"/>
        </w:rPr>
        <w:t>金山簕仔</w:t>
      </w:r>
      <w:r>
        <w:rPr>
          <w:rFonts w:ascii="仿宋" w:eastAsia="仿宋"/>
          <w:sz w:val="24"/>
        </w:rPr>
        <w:t>"</w:t>
      </w:r>
      <w:r>
        <w:rPr>
          <w:rFonts w:hint="eastAsia" w:ascii="仿宋" w:hAnsi="宋体" w:eastAsia="仿宋" w:cs="宋体"/>
          <w:sz w:val="24"/>
          <w:lang w:eastAsia="zh-CN"/>
        </w:rPr>
        <w:t>），主要依托坡地开展生态化种植，采用山泉水或雨水灌溉，生产过程减少化肥投入、增施有机肥并实施植株还田。与一年生大田农作物相比，神湾菠萝具有显著差异性：其一，采用多年生草本果树栽培方式，一次定植、多年生长，需按完整的生产轮作周期确定核算周期；其二，属</w:t>
      </w:r>
      <w:r>
        <w:rPr>
          <w:rFonts w:ascii="仿宋" w:eastAsia="仿宋"/>
          <w:sz w:val="24"/>
        </w:rPr>
        <w:t>"</w:t>
      </w:r>
      <w:r>
        <w:rPr>
          <w:rFonts w:hint="eastAsia" w:ascii="仿宋" w:hAnsi="宋体" w:eastAsia="仿宋" w:cs="宋体"/>
          <w:sz w:val="24"/>
          <w:lang w:eastAsia="zh-CN"/>
        </w:rPr>
        <w:t>一造一种</w:t>
      </w:r>
      <w:r>
        <w:rPr>
          <w:rFonts w:ascii="仿宋" w:eastAsia="仿宋"/>
          <w:sz w:val="24"/>
        </w:rPr>
        <w:t>"</w:t>
      </w:r>
      <w:r>
        <w:rPr>
          <w:rFonts w:hint="eastAsia" w:ascii="仿宋" w:hAnsi="宋体" w:eastAsia="仿宋" w:cs="宋体"/>
          <w:sz w:val="24"/>
          <w:lang w:eastAsia="zh-CN"/>
        </w:rPr>
        <w:t>栽培模式，果实采收后保留母株根系繁育芽苗，芽苗采摘后将母株植株全部铲除清园；其三，生产周期内同时产出鲜果与芽苗两类产品，涉及副产品分配。上述特征使神湾菠萝在系统边界划定、核算周期确定、碳汇处理与分配规则上与大田农作物存在显著差异，直接套用通用规则难以得到可比、可信的核算结果。</w:t>
      </w:r>
    </w:p>
    <w:p w14:paraId="0339FBEE">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3</w:t>
      </w:r>
      <w:r>
        <w:rPr>
          <w:rFonts w:hint="eastAsia" w:ascii="仿宋" w:hAnsi="宋体" w:eastAsia="仿宋" w:cs="宋体"/>
          <w:sz w:val="24"/>
          <w:lang w:eastAsia="zh-CN"/>
        </w:rPr>
        <w:t>）标准化需求。目前国内尚无针对神湾菠萝等特定地理标志农产品的产品碳足迹核算规则，不同核算主体在核算周期、系统边界、灌溉与碳汇处理、副产品分配等关键问题上取值不一，导致监测与核算结果不可比、质量不可控。制定专门的产品种类规则，统一功能单位、核算周期、碳汇处理与分配规则，是解决核算口径不统一、提升结果准确性、可比性与权威性的关键支撑。</w:t>
      </w:r>
    </w:p>
    <w:p w14:paraId="703BB173">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3. 主要工作过程</w:t>
      </w:r>
    </w:p>
    <w:p w14:paraId="1B63BA6E">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1</w:t>
      </w:r>
      <w:r>
        <w:rPr>
          <w:rFonts w:hint="eastAsia" w:ascii="仿宋" w:hAnsi="宋体" w:eastAsia="仿宋" w:cs="宋体"/>
          <w:sz w:val="24"/>
          <w:lang w:eastAsia="zh-CN"/>
        </w:rPr>
        <w:t>）立项阶段。</w:t>
      </w:r>
      <w:r>
        <w:rPr>
          <w:rFonts w:ascii="仿宋" w:eastAsia="仿宋"/>
          <w:sz w:val="24"/>
        </w:rPr>
        <w:t>2026</w:t>
      </w:r>
      <w:r>
        <w:rPr>
          <w:rFonts w:hint="eastAsia" w:ascii="仿宋" w:hAnsi="宋体" w:eastAsia="仿宋" w:cs="宋体"/>
          <w:sz w:val="24"/>
          <w:lang w:eastAsia="zh-CN"/>
        </w:rPr>
        <w:t>年</w:t>
      </w:r>
      <w:r>
        <w:rPr>
          <w:rFonts w:ascii="仿宋" w:eastAsia="仿宋"/>
          <w:sz w:val="24"/>
        </w:rPr>
        <w:t>8</w:t>
      </w:r>
      <w:r>
        <w:rPr>
          <w:rFonts w:hint="eastAsia" w:ascii="仿宋" w:hAnsi="宋体" w:eastAsia="仿宋" w:cs="宋体"/>
          <w:sz w:val="24"/>
          <w:lang w:eastAsia="zh-CN"/>
        </w:rPr>
        <w:t>月，中山市湾区生态环境研究中心</w:t>
      </w:r>
      <w:r>
        <w:rPr>
          <w:rFonts w:hint="eastAsia" w:ascii="仿宋" w:eastAsia="仿宋" w:cs="宋体"/>
          <w:sz w:val="24"/>
          <w:lang w:val="en-US" w:eastAsia="zh-CN"/>
        </w:rPr>
        <w:t>联合中山市神湾镇自游农场有限公司、中山市金筒农业科技有限公司，</w:t>
      </w:r>
      <w:r>
        <w:rPr>
          <w:rFonts w:hint="eastAsia" w:ascii="仿宋" w:hAnsi="宋体" w:eastAsia="仿宋" w:cs="宋体"/>
          <w:sz w:val="24"/>
          <w:lang w:eastAsia="zh-CN"/>
        </w:rPr>
        <w:t>向中山市环境科学学会提出制定《温室气体</w:t>
      </w:r>
      <w:r>
        <w:rPr>
          <w:rFonts w:ascii="仿宋" w:eastAsia="仿宋"/>
          <w:sz w:val="24"/>
        </w:rPr>
        <w:t xml:space="preserve"> </w:t>
      </w:r>
      <w:r>
        <w:rPr>
          <w:rFonts w:hint="eastAsia" w:ascii="仿宋" w:hAnsi="宋体" w:eastAsia="仿宋" w:cs="宋体"/>
          <w:sz w:val="24"/>
          <w:lang w:eastAsia="zh-CN"/>
        </w:rPr>
        <w:t>产品碳足迹量化方法与要求</w:t>
      </w:r>
      <w:r>
        <w:rPr>
          <w:rFonts w:ascii="仿宋" w:eastAsia="仿宋"/>
          <w:sz w:val="24"/>
        </w:rPr>
        <w:t xml:space="preserve"> </w:t>
      </w:r>
      <w:r>
        <w:rPr>
          <w:rFonts w:hint="eastAsia" w:ascii="仿宋" w:hAnsi="宋体" w:eastAsia="仿宋" w:cs="宋体"/>
          <w:sz w:val="24"/>
          <w:lang w:eastAsia="zh-CN"/>
        </w:rPr>
        <w:t>神湾菠萝》团体标准的立项申请，同步提交标准制修订立项申请表，阐明标准制定的目的、意义、必要性、适用范围、国内外情况、主要技术要素及工作基础与任务分工。经学会组织论证后予以立项。</w:t>
      </w:r>
    </w:p>
    <w:p w14:paraId="44A8C7AA">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2</w:t>
      </w:r>
      <w:r>
        <w:rPr>
          <w:rFonts w:hint="eastAsia" w:ascii="仿宋" w:hAnsi="宋体" w:eastAsia="仿宋" w:cs="宋体"/>
          <w:sz w:val="24"/>
          <w:lang w:eastAsia="zh-CN"/>
        </w:rPr>
        <w:t>）起草阶段。</w:t>
      </w:r>
      <w:r>
        <w:rPr>
          <w:rFonts w:ascii="仿宋" w:eastAsia="仿宋"/>
          <w:sz w:val="24"/>
        </w:rPr>
        <w:t>2026</w:t>
      </w:r>
      <w:r>
        <w:rPr>
          <w:rFonts w:hint="eastAsia" w:ascii="仿宋" w:hAnsi="宋体" w:eastAsia="仿宋" w:cs="宋体"/>
          <w:sz w:val="24"/>
          <w:lang w:eastAsia="zh-CN"/>
        </w:rPr>
        <w:t>年</w:t>
      </w:r>
      <w:r>
        <w:rPr>
          <w:rFonts w:ascii="仿宋" w:eastAsia="仿宋"/>
          <w:sz w:val="24"/>
        </w:rPr>
        <w:t>9</w:t>
      </w:r>
      <w:r>
        <w:rPr>
          <w:rFonts w:hint="eastAsia" w:ascii="仿宋" w:hAnsi="宋体" w:eastAsia="仿宋" w:cs="宋体"/>
          <w:sz w:val="24"/>
          <w:lang w:eastAsia="zh-CN"/>
        </w:rPr>
        <w:t>月，标准编制组正式成立并开展起草工作。编制组成员单位主要包括中山市湾区生态环境研究中心（主编单位）、神湾镇种植主体等，形成产学研用协同的编制机制。编制组系统梳理了</w:t>
      </w:r>
      <w:r>
        <w:rPr>
          <w:rFonts w:ascii="仿宋" w:eastAsia="仿宋"/>
          <w:sz w:val="24"/>
        </w:rPr>
        <w:t>GB/T 24067—2024</w:t>
      </w:r>
      <w:r>
        <w:rPr>
          <w:rFonts w:hint="eastAsia" w:ascii="仿宋" w:hAnsi="宋体" w:eastAsia="仿宋" w:cs="宋体"/>
          <w:sz w:val="24"/>
          <w:lang w:eastAsia="zh-CN"/>
        </w:rPr>
        <w:t>、</w:t>
      </w:r>
      <w:r>
        <w:rPr>
          <w:rFonts w:ascii="仿宋" w:eastAsia="仿宋"/>
          <w:sz w:val="24"/>
        </w:rPr>
        <w:t>GB/T 24040—2008</w:t>
      </w:r>
      <w:r>
        <w:rPr>
          <w:rFonts w:hint="eastAsia" w:ascii="仿宋" w:hAnsi="宋体" w:eastAsia="仿宋" w:cs="宋体"/>
          <w:sz w:val="24"/>
          <w:lang w:eastAsia="zh-CN"/>
        </w:rPr>
        <w:t>、</w:t>
      </w:r>
      <w:r>
        <w:rPr>
          <w:rFonts w:ascii="仿宋" w:eastAsia="仿宋"/>
          <w:sz w:val="24"/>
        </w:rPr>
        <w:t xml:space="preserve">GB/T 24044—2008 </w:t>
      </w:r>
      <w:r>
        <w:rPr>
          <w:rFonts w:hint="eastAsia" w:ascii="仿宋" w:hAnsi="宋体" w:eastAsia="仿宋" w:cs="宋体"/>
          <w:sz w:val="24"/>
          <w:lang w:eastAsia="zh-CN"/>
        </w:rPr>
        <w:t>等国家标准，以及</w:t>
      </w:r>
      <w:r>
        <w:rPr>
          <w:rFonts w:ascii="仿宋" w:eastAsia="仿宋"/>
          <w:sz w:val="24"/>
        </w:rPr>
        <w:t xml:space="preserve"> ISO 14067:2018</w:t>
      </w:r>
      <w:r>
        <w:rPr>
          <w:rFonts w:hint="eastAsia" w:ascii="仿宋" w:hAnsi="宋体" w:eastAsia="仿宋" w:cs="宋体"/>
          <w:sz w:val="24"/>
          <w:lang w:eastAsia="zh-CN"/>
        </w:rPr>
        <w:t>、</w:t>
      </w:r>
      <w:r>
        <w:rPr>
          <w:rFonts w:ascii="仿宋" w:eastAsia="仿宋"/>
          <w:sz w:val="24"/>
        </w:rPr>
        <w:t xml:space="preserve">PAS 2050:2011 </w:t>
      </w:r>
      <w:r>
        <w:rPr>
          <w:rFonts w:hint="eastAsia" w:ascii="仿宋" w:hAnsi="宋体" w:eastAsia="仿宋" w:cs="宋体"/>
          <w:sz w:val="24"/>
          <w:lang w:eastAsia="zh-CN"/>
        </w:rPr>
        <w:t>等国际通用框架，并参考</w:t>
      </w:r>
      <w:r>
        <w:rPr>
          <w:rFonts w:ascii="仿宋" w:eastAsia="仿宋"/>
          <w:sz w:val="24"/>
        </w:rPr>
        <w:t xml:space="preserve"> T/CGFA 012—2025</w:t>
      </w:r>
      <w:r>
        <w:rPr>
          <w:rFonts w:hint="eastAsia" w:ascii="仿宋" w:hAnsi="宋体" w:eastAsia="仿宋" w:cs="宋体"/>
          <w:sz w:val="24"/>
          <w:lang w:eastAsia="zh-CN"/>
        </w:rPr>
        <w:t>《温室气体</w:t>
      </w:r>
      <w:r>
        <w:rPr>
          <w:rFonts w:ascii="仿宋" w:eastAsia="仿宋"/>
          <w:sz w:val="24"/>
        </w:rPr>
        <w:t xml:space="preserve"> </w:t>
      </w:r>
      <w:r>
        <w:rPr>
          <w:rFonts w:hint="eastAsia" w:ascii="仿宋" w:hAnsi="宋体" w:eastAsia="仿宋" w:cs="宋体"/>
          <w:sz w:val="24"/>
          <w:lang w:eastAsia="zh-CN"/>
        </w:rPr>
        <w:t>产品碳足迹量化方法与要求</w:t>
      </w:r>
      <w:r>
        <w:rPr>
          <w:rFonts w:ascii="仿宋" w:eastAsia="仿宋"/>
          <w:sz w:val="24"/>
        </w:rPr>
        <w:t xml:space="preserve"> </w:t>
      </w:r>
      <w:r>
        <w:rPr>
          <w:rFonts w:hint="eastAsia" w:ascii="仿宋" w:hAnsi="宋体" w:eastAsia="仿宋" w:cs="宋体"/>
          <w:sz w:val="24"/>
          <w:lang w:eastAsia="zh-CN"/>
        </w:rPr>
        <w:t>种植农产品》、</w:t>
      </w:r>
      <w:r>
        <w:rPr>
          <w:rFonts w:ascii="仿宋" w:eastAsia="仿宋"/>
          <w:sz w:val="24"/>
        </w:rPr>
        <w:t>DB4420/T 2—2022</w:t>
      </w:r>
      <w:r>
        <w:rPr>
          <w:rFonts w:hint="eastAsia" w:ascii="仿宋" w:hAnsi="宋体" w:eastAsia="仿宋" w:cs="宋体"/>
          <w:sz w:val="24"/>
          <w:lang w:eastAsia="zh-CN"/>
        </w:rPr>
        <w:t>《地理标志产品</w:t>
      </w:r>
      <w:r>
        <w:rPr>
          <w:rFonts w:ascii="仿宋" w:eastAsia="仿宋"/>
          <w:sz w:val="24"/>
        </w:rPr>
        <w:t xml:space="preserve"> </w:t>
      </w:r>
      <w:r>
        <w:rPr>
          <w:rFonts w:hint="eastAsia" w:ascii="仿宋" w:hAnsi="宋体" w:eastAsia="仿宋" w:cs="宋体"/>
          <w:sz w:val="24"/>
          <w:lang w:eastAsia="zh-CN"/>
        </w:rPr>
        <w:t>神湾菠萝》、</w:t>
      </w:r>
      <w:r>
        <w:rPr>
          <w:rFonts w:ascii="仿宋" w:eastAsia="仿宋"/>
          <w:sz w:val="24"/>
        </w:rPr>
        <w:t xml:space="preserve">IPCC 2006 </w:t>
      </w:r>
      <w:r>
        <w:rPr>
          <w:rFonts w:hint="eastAsia" w:ascii="仿宋" w:hAnsi="宋体" w:eastAsia="仿宋" w:cs="宋体"/>
          <w:sz w:val="24"/>
          <w:lang w:eastAsia="zh-CN"/>
        </w:rPr>
        <w:t>指南及</w:t>
      </w:r>
      <w:r>
        <w:rPr>
          <w:rFonts w:ascii="仿宋" w:eastAsia="仿宋"/>
          <w:sz w:val="24"/>
        </w:rPr>
        <w:t xml:space="preserve"> 2019 </w:t>
      </w:r>
      <w:r>
        <w:rPr>
          <w:rFonts w:hint="eastAsia" w:ascii="仿宋" w:hAnsi="宋体" w:eastAsia="仿宋" w:cs="宋体"/>
          <w:sz w:val="24"/>
          <w:lang w:eastAsia="zh-CN"/>
        </w:rPr>
        <w:t>修订版、省级温室气体清单指南（试行）、生态环境部</w:t>
      </w:r>
      <w:r>
        <w:rPr>
          <w:rFonts w:ascii="仿宋" w:eastAsia="仿宋"/>
          <w:sz w:val="24"/>
        </w:rPr>
        <w:t xml:space="preserve"> 2022 </w:t>
      </w:r>
      <w:r>
        <w:rPr>
          <w:rFonts w:hint="eastAsia" w:ascii="仿宋" w:hAnsi="宋体" w:eastAsia="仿宋" w:cs="宋体"/>
          <w:sz w:val="24"/>
          <w:lang w:eastAsia="zh-CN"/>
        </w:rPr>
        <w:t>年电力二氧化碳排放因子公告等技术文件，结合神湾菠萝实地调研与活动数据、排放因子测算，完成了标准征求意见稿及本编制说明的起草。</w:t>
      </w:r>
    </w:p>
    <w:p w14:paraId="054E5F43">
      <w:pPr>
        <w:pStyle w:val="3"/>
        <w:numPr>
          <w:ilvl w:val="0"/>
          <w:numId w:val="0"/>
        </w:numPr>
        <w:tabs>
          <w:tab w:val="clear" w:pos="-420"/>
        </w:tabs>
        <w:snapToGrid/>
        <w:spacing w:before="200" w:beforeLines="0" w:beforeAutospacing="0" w:after="100" w:afterLines="0" w:afterAutospacing="0" w:line="240" w:lineRule="auto"/>
        <w:ind w:leftChars="0" w:right="0" w:rightChars="0"/>
        <w:jc w:val="both"/>
        <w:outlineLvl w:val="0"/>
        <w:rPr>
          <w:rFonts w:ascii="黑体" w:eastAsia="黑体"/>
          <w:b w:val="0"/>
          <w:sz w:val="32"/>
        </w:rPr>
      </w:pPr>
      <w:r>
        <w:rPr>
          <w:rFonts w:hint="eastAsia" w:ascii="黑体" w:hAnsi="宋体" w:eastAsia="黑体" w:cs="宋体"/>
          <w:b w:val="0"/>
          <w:sz w:val="32"/>
          <w:lang w:eastAsia="zh-CN"/>
        </w:rPr>
        <w:t>二、标准编制原则、主要内容及其确定依据</w:t>
      </w:r>
    </w:p>
    <w:p w14:paraId="175A8D2F">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1. 标准结构与框架</w:t>
      </w:r>
    </w:p>
    <w:p w14:paraId="6BAA6A56">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本文件按照</w:t>
      </w:r>
      <w:r>
        <w:rPr>
          <w:rFonts w:ascii="仿宋" w:eastAsia="仿宋"/>
          <w:sz w:val="24"/>
        </w:rPr>
        <w:t xml:space="preserve"> GB/T 1.1—2020</w:t>
      </w:r>
      <w:r>
        <w:rPr>
          <w:rFonts w:hint="eastAsia" w:ascii="仿宋" w:hAnsi="宋体" w:eastAsia="仿宋" w:cs="宋体"/>
          <w:sz w:val="24"/>
          <w:lang w:eastAsia="zh-CN"/>
        </w:rPr>
        <w:t>《标准化工作导则</w:t>
      </w:r>
      <w:r>
        <w:rPr>
          <w:rFonts w:ascii="仿宋" w:eastAsia="仿宋"/>
          <w:sz w:val="24"/>
        </w:rPr>
        <w:t xml:space="preserve"> </w:t>
      </w:r>
      <w:r>
        <w:rPr>
          <w:rFonts w:hint="eastAsia" w:ascii="仿宋" w:hAnsi="宋体" w:eastAsia="仿宋" w:cs="宋体"/>
          <w:sz w:val="24"/>
          <w:lang w:eastAsia="zh-CN"/>
        </w:rPr>
        <w:t>第</w:t>
      </w:r>
      <w:r>
        <w:rPr>
          <w:rFonts w:ascii="仿宋" w:eastAsia="仿宋"/>
          <w:sz w:val="24"/>
        </w:rPr>
        <w:t xml:space="preserve"> 1 </w:t>
      </w:r>
      <w:r>
        <w:rPr>
          <w:rFonts w:hint="eastAsia" w:ascii="仿宋" w:hAnsi="宋体" w:eastAsia="仿宋" w:cs="宋体"/>
          <w:sz w:val="24"/>
          <w:lang w:eastAsia="zh-CN"/>
        </w:rPr>
        <w:t>部分：标准化文件的结构和起草规则》的规定起草。正文设</w:t>
      </w:r>
      <w:r>
        <w:rPr>
          <w:rFonts w:ascii="仿宋" w:eastAsia="仿宋"/>
          <w:sz w:val="24"/>
        </w:rPr>
        <w:t xml:space="preserve"> 10 </w:t>
      </w:r>
      <w:r>
        <w:rPr>
          <w:rFonts w:hint="eastAsia" w:ascii="仿宋" w:hAnsi="宋体" w:eastAsia="仿宋" w:cs="宋体"/>
          <w:sz w:val="24"/>
          <w:lang w:eastAsia="zh-CN"/>
        </w:rPr>
        <w:t>章，依次为：</w:t>
      </w:r>
      <w:r>
        <w:rPr>
          <w:rFonts w:ascii="仿宋" w:eastAsia="仿宋"/>
          <w:sz w:val="24"/>
        </w:rPr>
        <w:t xml:space="preserve">1 </w:t>
      </w:r>
      <w:r>
        <w:rPr>
          <w:rFonts w:hint="eastAsia" w:ascii="仿宋" w:hAnsi="宋体" w:eastAsia="仿宋" w:cs="宋体"/>
          <w:sz w:val="24"/>
          <w:lang w:eastAsia="zh-CN"/>
        </w:rPr>
        <w:t>范围；</w:t>
      </w:r>
      <w:r>
        <w:rPr>
          <w:rFonts w:ascii="仿宋" w:eastAsia="仿宋"/>
          <w:sz w:val="24"/>
        </w:rPr>
        <w:t xml:space="preserve">2 </w:t>
      </w:r>
      <w:r>
        <w:rPr>
          <w:rFonts w:hint="eastAsia" w:ascii="仿宋" w:hAnsi="宋体" w:eastAsia="仿宋" w:cs="宋体"/>
          <w:sz w:val="24"/>
          <w:lang w:eastAsia="zh-CN"/>
        </w:rPr>
        <w:t>规范性引用文件；</w:t>
      </w:r>
      <w:r>
        <w:rPr>
          <w:rFonts w:ascii="仿宋" w:eastAsia="仿宋"/>
          <w:sz w:val="24"/>
        </w:rPr>
        <w:t xml:space="preserve">3 </w:t>
      </w:r>
      <w:r>
        <w:rPr>
          <w:rFonts w:hint="eastAsia" w:ascii="仿宋" w:hAnsi="宋体" w:eastAsia="仿宋" w:cs="宋体"/>
          <w:sz w:val="24"/>
          <w:lang w:eastAsia="zh-CN"/>
        </w:rPr>
        <w:t>术语和定义；</w:t>
      </w:r>
      <w:r>
        <w:rPr>
          <w:rFonts w:ascii="仿宋" w:eastAsia="仿宋"/>
          <w:sz w:val="24"/>
        </w:rPr>
        <w:t xml:space="preserve">4 </w:t>
      </w:r>
      <w:r>
        <w:rPr>
          <w:rFonts w:hint="eastAsia" w:ascii="仿宋" w:hAnsi="宋体" w:eastAsia="仿宋" w:cs="宋体"/>
          <w:sz w:val="24"/>
          <w:lang w:eastAsia="zh-CN"/>
        </w:rPr>
        <w:t>量化目的；</w:t>
      </w:r>
      <w:r>
        <w:rPr>
          <w:rFonts w:ascii="仿宋" w:eastAsia="仿宋"/>
          <w:sz w:val="24"/>
        </w:rPr>
        <w:t xml:space="preserve">5 </w:t>
      </w:r>
      <w:r>
        <w:rPr>
          <w:rFonts w:hint="eastAsia" w:ascii="仿宋" w:hAnsi="宋体" w:eastAsia="仿宋" w:cs="宋体"/>
          <w:sz w:val="24"/>
          <w:lang w:eastAsia="zh-CN"/>
        </w:rPr>
        <w:t>量化范围；</w:t>
      </w:r>
      <w:r>
        <w:rPr>
          <w:rFonts w:ascii="仿宋" w:eastAsia="仿宋"/>
          <w:sz w:val="24"/>
        </w:rPr>
        <w:t xml:space="preserve">6 </w:t>
      </w:r>
      <w:r>
        <w:rPr>
          <w:rFonts w:hint="eastAsia" w:ascii="仿宋" w:hAnsi="宋体" w:eastAsia="仿宋" w:cs="宋体"/>
          <w:sz w:val="24"/>
          <w:lang w:eastAsia="zh-CN"/>
        </w:rPr>
        <w:t>量化步骤；</w:t>
      </w:r>
      <w:r>
        <w:rPr>
          <w:rFonts w:ascii="仿宋" w:eastAsia="仿宋"/>
          <w:sz w:val="24"/>
        </w:rPr>
        <w:t xml:space="preserve">7 </w:t>
      </w:r>
      <w:r>
        <w:rPr>
          <w:rFonts w:hint="eastAsia" w:ascii="仿宋" w:hAnsi="宋体" w:eastAsia="仿宋" w:cs="宋体"/>
          <w:sz w:val="24"/>
          <w:lang w:eastAsia="zh-CN"/>
        </w:rPr>
        <w:t>数据要求；</w:t>
      </w:r>
      <w:r>
        <w:rPr>
          <w:rFonts w:ascii="仿宋" w:eastAsia="仿宋"/>
          <w:sz w:val="24"/>
        </w:rPr>
        <w:t xml:space="preserve">8 </w:t>
      </w:r>
      <w:r>
        <w:rPr>
          <w:rFonts w:hint="eastAsia" w:ascii="仿宋" w:hAnsi="宋体" w:eastAsia="仿宋" w:cs="宋体"/>
          <w:sz w:val="24"/>
          <w:lang w:eastAsia="zh-CN"/>
        </w:rPr>
        <w:t>量化方法；</w:t>
      </w:r>
      <w:r>
        <w:rPr>
          <w:rFonts w:ascii="仿宋" w:eastAsia="仿宋"/>
          <w:sz w:val="24"/>
        </w:rPr>
        <w:t xml:space="preserve">9 </w:t>
      </w:r>
      <w:r>
        <w:rPr>
          <w:rFonts w:hint="eastAsia" w:ascii="仿宋" w:hAnsi="宋体" w:eastAsia="仿宋" w:cs="宋体"/>
          <w:sz w:val="24"/>
          <w:lang w:eastAsia="zh-CN"/>
        </w:rPr>
        <w:t>核算报告；</w:t>
      </w:r>
      <w:r>
        <w:rPr>
          <w:rFonts w:ascii="仿宋" w:eastAsia="仿宋"/>
          <w:sz w:val="24"/>
        </w:rPr>
        <w:t xml:space="preserve">10 </w:t>
      </w:r>
      <w:r>
        <w:rPr>
          <w:rFonts w:hint="eastAsia" w:ascii="仿宋" w:hAnsi="宋体" w:eastAsia="仿宋" w:cs="宋体"/>
          <w:sz w:val="24"/>
          <w:lang w:eastAsia="zh-CN"/>
        </w:rPr>
        <w:t>声明标识。另设</w:t>
      </w:r>
      <w:r>
        <w:rPr>
          <w:rFonts w:ascii="仿宋" w:eastAsia="仿宋"/>
          <w:sz w:val="24"/>
        </w:rPr>
        <w:t xml:space="preserve"> 3 </w:t>
      </w:r>
      <w:r>
        <w:rPr>
          <w:rFonts w:hint="eastAsia" w:ascii="仿宋" w:hAnsi="宋体" w:eastAsia="仿宋" w:cs="宋体"/>
          <w:sz w:val="24"/>
          <w:lang w:eastAsia="zh-CN"/>
        </w:rPr>
        <w:t>个资料性附录：附录</w:t>
      </w:r>
      <w:r>
        <w:rPr>
          <w:rFonts w:ascii="仿宋" w:eastAsia="仿宋"/>
          <w:sz w:val="24"/>
        </w:rPr>
        <w:t xml:space="preserve"> A </w:t>
      </w:r>
      <w:r>
        <w:rPr>
          <w:rFonts w:hint="eastAsia" w:ascii="仿宋" w:hAnsi="宋体" w:eastAsia="仿宋" w:cs="宋体"/>
          <w:sz w:val="24"/>
          <w:lang w:eastAsia="zh-CN"/>
        </w:rPr>
        <w:t>神湾菠萝产品碳足迹需监测和获取的活动数据及相关要求；附录</w:t>
      </w:r>
      <w:r>
        <w:rPr>
          <w:rFonts w:ascii="仿宋" w:eastAsia="仿宋"/>
          <w:sz w:val="24"/>
        </w:rPr>
        <w:t xml:space="preserve"> B </w:t>
      </w:r>
      <w:r>
        <w:rPr>
          <w:rFonts w:hint="eastAsia" w:ascii="仿宋" w:hAnsi="宋体" w:eastAsia="仿宋" w:cs="宋体"/>
          <w:sz w:val="24"/>
          <w:lang w:eastAsia="zh-CN"/>
        </w:rPr>
        <w:t>排放因子推荐值（广东适用）；附录</w:t>
      </w:r>
      <w:r>
        <w:rPr>
          <w:rFonts w:ascii="仿宋" w:eastAsia="仿宋"/>
          <w:sz w:val="24"/>
        </w:rPr>
        <w:t xml:space="preserve"> C </w:t>
      </w:r>
      <w:r>
        <w:rPr>
          <w:rFonts w:hint="eastAsia" w:ascii="仿宋" w:hAnsi="宋体" w:eastAsia="仿宋" w:cs="宋体"/>
          <w:sz w:val="24"/>
          <w:lang w:eastAsia="zh-CN"/>
        </w:rPr>
        <w:t>神湾菠萝碳足迹核算报告（模板）；以及参考文献。</w:t>
      </w:r>
    </w:p>
    <w:p w14:paraId="0899CE1C">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2. 适用范围</w:t>
      </w:r>
    </w:p>
    <w:p w14:paraId="65B2C483">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本文件确立了神湾菠萝产品碳足迹的量化目的、量化范围、量化步骤、数据要求、量化方法、报告编制及声明标识，界定了相关术语，明确了核算边界、内容、流程、核算方法与数据质量控制要求。</w:t>
      </w:r>
    </w:p>
    <w:p w14:paraId="0A566B4E">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适用于神湾菠萝产品的碳足迹量化与评价。核算覆盖种植阶段（芽苗定植、栽培管护、鲜果采收、芽苗繁育与采收、母株清园还田）与包装阶段，可用于神湾菠萝的技术改进、碳足迹绩效追踪、产品碳标识认证及供应链低碳管理。</w:t>
      </w:r>
    </w:p>
    <w:p w14:paraId="38F81CC8">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神湾菠萝出厂后的分销、储存、消费与废弃阶段不在本文件规定范围内；核算主体另行声明并核算上述阶段时，可参照本文件确立的原则执行，并应在核算报告中单独列示。本文件仅针对单一环境影响类型（气候变化），不评价神湾菠萝生命周期内的其他潜在环境影响，也不评价其社会与经济影响。</w:t>
      </w:r>
    </w:p>
    <w:p w14:paraId="4B819EA0">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3. 规范性引用文件</w:t>
      </w:r>
    </w:p>
    <w:p w14:paraId="2E94F270">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hint="eastAsia" w:ascii="仿宋" w:hAnsi="宋体" w:eastAsia="仿宋" w:cs="宋体"/>
          <w:sz w:val="24"/>
          <w:lang w:eastAsia="zh-CN"/>
        </w:rPr>
        <w:t>本文件规范性引用下列文件：</w:t>
      </w:r>
    </w:p>
    <w:p w14:paraId="0967C667">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ascii="仿宋" w:eastAsia="仿宋"/>
          <w:sz w:val="24"/>
        </w:rPr>
        <w:t xml:space="preserve">- GB/T 24067—2024 </w:t>
      </w:r>
      <w:r>
        <w:rPr>
          <w:rFonts w:hint="eastAsia" w:ascii="仿宋" w:hAnsi="宋体" w:eastAsia="仿宋" w:cs="宋体"/>
          <w:sz w:val="24"/>
          <w:lang w:eastAsia="zh-CN"/>
        </w:rPr>
        <w:t>温室气体</w:t>
      </w:r>
      <w:r>
        <w:rPr>
          <w:rFonts w:ascii="仿宋" w:eastAsia="仿宋"/>
          <w:sz w:val="24"/>
        </w:rPr>
        <w:t xml:space="preserve"> </w:t>
      </w:r>
      <w:r>
        <w:rPr>
          <w:rFonts w:hint="eastAsia" w:ascii="仿宋" w:hAnsi="宋体" w:eastAsia="仿宋" w:cs="宋体"/>
          <w:sz w:val="24"/>
          <w:lang w:eastAsia="zh-CN"/>
        </w:rPr>
        <w:t>产品碳足迹</w:t>
      </w:r>
      <w:r>
        <w:rPr>
          <w:rFonts w:ascii="仿宋" w:eastAsia="仿宋"/>
          <w:sz w:val="24"/>
        </w:rPr>
        <w:t xml:space="preserve"> </w:t>
      </w:r>
      <w:r>
        <w:rPr>
          <w:rFonts w:hint="eastAsia" w:ascii="仿宋" w:hAnsi="宋体" w:eastAsia="仿宋" w:cs="宋体"/>
          <w:sz w:val="24"/>
          <w:lang w:eastAsia="zh-CN"/>
        </w:rPr>
        <w:t>量化要求和指南</w:t>
      </w:r>
    </w:p>
    <w:p w14:paraId="6874DA59">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ascii="仿宋" w:eastAsia="仿宋"/>
          <w:sz w:val="24"/>
        </w:rPr>
        <w:t xml:space="preserve">- GB/T 24040—2008 </w:t>
      </w:r>
      <w:r>
        <w:rPr>
          <w:rFonts w:hint="eastAsia" w:ascii="仿宋" w:hAnsi="宋体" w:eastAsia="仿宋" w:cs="宋体"/>
          <w:sz w:val="24"/>
          <w:lang w:eastAsia="zh-CN"/>
        </w:rPr>
        <w:t>环境管理</w:t>
      </w:r>
      <w:r>
        <w:rPr>
          <w:rFonts w:ascii="仿宋" w:eastAsia="仿宋"/>
          <w:sz w:val="24"/>
        </w:rPr>
        <w:t xml:space="preserve"> </w:t>
      </w:r>
      <w:r>
        <w:rPr>
          <w:rFonts w:hint="eastAsia" w:ascii="仿宋" w:hAnsi="宋体" w:eastAsia="仿宋" w:cs="宋体"/>
          <w:sz w:val="24"/>
          <w:lang w:eastAsia="zh-CN"/>
        </w:rPr>
        <w:t>生命周期评价</w:t>
      </w:r>
      <w:r>
        <w:rPr>
          <w:rFonts w:ascii="仿宋" w:eastAsia="仿宋"/>
          <w:sz w:val="24"/>
        </w:rPr>
        <w:t xml:space="preserve"> </w:t>
      </w:r>
      <w:r>
        <w:rPr>
          <w:rFonts w:hint="eastAsia" w:ascii="仿宋" w:hAnsi="宋体" w:eastAsia="仿宋" w:cs="宋体"/>
          <w:sz w:val="24"/>
          <w:lang w:eastAsia="zh-CN"/>
        </w:rPr>
        <w:t>原则与框架</w:t>
      </w:r>
    </w:p>
    <w:p w14:paraId="36F48F54">
      <w:pPr>
        <w:snapToGrid/>
        <w:spacing w:beforeAutospacing="0" w:afterAutospacing="0" w:line="560" w:lineRule="exact"/>
        <w:ind w:left="0" w:leftChars="0" w:right="0" w:rightChars="0" w:firstLine="482" w:firstLineChars="0"/>
        <w:jc w:val="both"/>
        <w:rPr>
          <w:rFonts w:ascii="仿宋" w:eastAsia="仿宋"/>
          <w:sz w:val="24"/>
        </w:rPr>
      </w:pPr>
      <w:r>
        <w:rPr>
          <w:rFonts w:ascii="仿宋" w:eastAsia="仿宋"/>
          <w:sz w:val="24"/>
        </w:rPr>
        <w:t xml:space="preserve">- GB/T 24044—2008 </w:t>
      </w:r>
      <w:r>
        <w:rPr>
          <w:rFonts w:hint="eastAsia" w:ascii="仿宋" w:hAnsi="宋体" w:eastAsia="仿宋" w:cs="宋体"/>
          <w:sz w:val="24"/>
          <w:lang w:eastAsia="zh-CN"/>
        </w:rPr>
        <w:t>环境管理</w:t>
      </w:r>
      <w:r>
        <w:rPr>
          <w:rFonts w:ascii="仿宋" w:eastAsia="仿宋"/>
          <w:sz w:val="24"/>
        </w:rPr>
        <w:t xml:space="preserve"> </w:t>
      </w:r>
      <w:r>
        <w:rPr>
          <w:rFonts w:hint="eastAsia" w:ascii="仿宋" w:hAnsi="宋体" w:eastAsia="仿宋" w:cs="宋体"/>
          <w:sz w:val="24"/>
          <w:lang w:eastAsia="zh-CN"/>
        </w:rPr>
        <w:t>生命周期评价</w:t>
      </w:r>
      <w:r>
        <w:rPr>
          <w:rFonts w:ascii="仿宋" w:eastAsia="仿宋"/>
          <w:sz w:val="24"/>
        </w:rPr>
        <w:t xml:space="preserve"> </w:t>
      </w:r>
      <w:r>
        <w:rPr>
          <w:rFonts w:hint="eastAsia" w:ascii="仿宋" w:hAnsi="宋体" w:eastAsia="仿宋" w:cs="宋体"/>
          <w:sz w:val="24"/>
          <w:lang w:eastAsia="zh-CN"/>
        </w:rPr>
        <w:t>要求与指南</w:t>
      </w:r>
    </w:p>
    <w:p w14:paraId="06995972">
      <w:pPr>
        <w:pStyle w:val="4"/>
        <w:numPr>
          <w:ilvl w:val="1"/>
          <w:numId w:val="0"/>
        </w:numPr>
        <w:snapToGrid/>
        <w:spacing w:before="200" w:beforeLines="0" w:beforeAutospacing="0" w:after="100" w:afterLines="0" w:afterAutospacing="0" w:line="240" w:lineRule="auto"/>
        <w:ind w:leftChars="0" w:right="0" w:rightChars="0"/>
        <w:jc w:val="both"/>
        <w:outlineLvl w:val="1"/>
        <w:rPr>
          <w:rFonts w:ascii="楷体" w:eastAsia="楷体"/>
          <w:b w:val="0"/>
          <w:sz w:val="32"/>
        </w:rPr>
      </w:pPr>
      <w:r>
        <w:rPr>
          <w:rFonts w:hint="eastAsia" w:ascii="楷体" w:hAnsi="宋体" w:eastAsia="楷体" w:cs="宋体"/>
          <w:b w:val="0"/>
          <w:sz w:val="32"/>
          <w:lang w:eastAsia="zh-CN"/>
        </w:rPr>
        <w:t>4. 术语和定义</w:t>
      </w:r>
    </w:p>
    <w:p w14:paraId="5C8B7E7B">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本文件界定了与神湾菠萝碳足迹核算密切相关的术语，主要术语及确定依据如下：</w:t>
      </w:r>
    </w:p>
    <w:p w14:paraId="236BA002">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1</w:t>
      </w:r>
      <w:r>
        <w:rPr>
          <w:rFonts w:hint="eastAsia" w:ascii="仿宋" w:hAnsi="宋体" w:eastAsia="仿宋" w:cs="宋体"/>
          <w:sz w:val="24"/>
          <w:lang w:eastAsia="zh-CN"/>
        </w:rPr>
        <w:t>）</w:t>
      </w:r>
      <w:r>
        <w:rPr>
          <w:rFonts w:hint="eastAsia" w:ascii="仿宋" w:hAnsi="宋体" w:eastAsia="仿宋" w:cs="宋体"/>
          <w:b/>
          <w:sz w:val="24"/>
          <w:lang w:eastAsia="zh-CN"/>
        </w:rPr>
        <w:t>神湾菠萝（Shenwan pineapple）</w:t>
      </w:r>
      <w:r>
        <w:rPr>
          <w:rFonts w:hint="eastAsia" w:ascii="仿宋" w:hAnsi="宋体" w:eastAsia="仿宋" w:cs="宋体"/>
          <w:sz w:val="24"/>
          <w:lang w:eastAsia="zh-CN"/>
        </w:rPr>
        <w:t>：广东省中山市神湾镇地理标志保护范围内，采用地方传统品种（金山种</w:t>
      </w:r>
      <w:r>
        <w:rPr>
          <w:rFonts w:ascii="仿宋" w:eastAsia="仿宋"/>
          <w:sz w:val="24"/>
        </w:rPr>
        <w:t>/</w:t>
      </w:r>
      <w:r>
        <w:rPr>
          <w:rFonts w:hint="eastAsia" w:ascii="仿宋" w:hAnsi="宋体" w:eastAsia="仿宋" w:cs="宋体"/>
          <w:sz w:val="24"/>
          <w:lang w:eastAsia="zh-CN"/>
        </w:rPr>
        <w:t>金山簕仔）及特定生态种植方式生产的凤梨属菠萝鲜果。定义参照</w:t>
      </w:r>
      <w:r>
        <w:rPr>
          <w:rFonts w:ascii="仿宋" w:eastAsia="仿宋"/>
          <w:sz w:val="24"/>
        </w:rPr>
        <w:t xml:space="preserve"> DB4420/T 2—2022</w:t>
      </w:r>
      <w:r>
        <w:rPr>
          <w:rFonts w:hint="eastAsia" w:ascii="仿宋" w:hAnsi="宋体" w:eastAsia="仿宋" w:cs="宋体"/>
          <w:sz w:val="24"/>
          <w:lang w:eastAsia="zh-CN"/>
        </w:rPr>
        <w:t>《地理标志产品</w:t>
      </w:r>
      <w:r>
        <w:rPr>
          <w:rFonts w:ascii="仿宋" w:eastAsia="仿宋"/>
          <w:sz w:val="24"/>
        </w:rPr>
        <w:t xml:space="preserve"> </w:t>
      </w:r>
      <w:r>
        <w:rPr>
          <w:rFonts w:hint="eastAsia" w:ascii="仿宋" w:hAnsi="宋体" w:eastAsia="仿宋" w:cs="宋体"/>
          <w:sz w:val="24"/>
          <w:lang w:eastAsia="zh-CN"/>
        </w:rPr>
        <w:t>神湾菠萝》</w:t>
      </w:r>
      <w:r>
        <w:rPr>
          <w:rFonts w:ascii="仿宋" w:eastAsia="仿宋"/>
          <w:sz w:val="24"/>
        </w:rPr>
        <w:t>3.1</w:t>
      </w:r>
      <w:r>
        <w:rPr>
          <w:rFonts w:hint="eastAsia" w:ascii="仿宋" w:hAnsi="宋体" w:eastAsia="仿宋" w:cs="宋体"/>
          <w:sz w:val="24"/>
          <w:lang w:eastAsia="zh-CN"/>
        </w:rPr>
        <w:t>，并作适应性修改。</w:t>
      </w:r>
    </w:p>
    <w:p w14:paraId="3D60B033">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2</w:t>
      </w:r>
      <w:r>
        <w:rPr>
          <w:rFonts w:hint="eastAsia" w:ascii="仿宋" w:hAnsi="宋体" w:eastAsia="仿宋" w:cs="宋体"/>
          <w:sz w:val="24"/>
          <w:lang w:eastAsia="zh-CN"/>
        </w:rPr>
        <w:t>）</w:t>
      </w:r>
      <w:r>
        <w:rPr>
          <w:rFonts w:hint="eastAsia" w:ascii="仿宋" w:hAnsi="宋体" w:eastAsia="仿宋" w:cs="宋体"/>
          <w:b/>
          <w:sz w:val="24"/>
          <w:lang w:eastAsia="zh-CN"/>
        </w:rPr>
        <w:t>芽苗（bud seedling）</w:t>
      </w:r>
      <w:r>
        <w:rPr>
          <w:rFonts w:hint="eastAsia" w:ascii="仿宋" w:hAnsi="宋体" w:eastAsia="仿宋" w:cs="宋体"/>
          <w:sz w:val="24"/>
          <w:lang w:eastAsia="zh-CN"/>
        </w:rPr>
        <w:t>：神湾菠萝采后留株培育阶段产生的无性繁殖材料，包括着生于果柄苞片叶腋的裔芽、着生于母株地上茎叶腋的吸芽，以及附着在果实顶端的冠芽，均可作为下一轮菠萝种植的定植种苗。</w:t>
      </w:r>
    </w:p>
    <w:p w14:paraId="374BE981">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3</w:t>
      </w:r>
      <w:r>
        <w:rPr>
          <w:rFonts w:hint="eastAsia" w:ascii="仿宋" w:hAnsi="宋体" w:eastAsia="仿宋" w:cs="宋体"/>
          <w:sz w:val="24"/>
          <w:lang w:eastAsia="zh-CN"/>
        </w:rPr>
        <w:t>）</w:t>
      </w:r>
      <w:r>
        <w:rPr>
          <w:rFonts w:hint="eastAsia" w:ascii="仿宋" w:hAnsi="宋体" w:eastAsia="仿宋" w:cs="宋体"/>
          <w:b/>
          <w:sz w:val="24"/>
          <w:lang w:eastAsia="zh-CN"/>
        </w:rPr>
        <w:t>产品碳足迹（carbon footprint of a product）</w:t>
      </w:r>
      <w:r>
        <w:rPr>
          <w:rFonts w:hint="eastAsia" w:ascii="仿宋" w:hAnsi="宋体" w:eastAsia="仿宋" w:cs="宋体"/>
          <w:sz w:val="24"/>
          <w:lang w:eastAsia="zh-CN"/>
        </w:rPr>
        <w:t>：产品系统中温室气体排放量与清除量之和，以二氧化碳当量表示，并基于气候变化这一单一环境影响类型进行生命周期评价。定义采用</w:t>
      </w:r>
      <w:r>
        <w:rPr>
          <w:rFonts w:ascii="仿宋" w:eastAsia="仿宋"/>
          <w:sz w:val="24"/>
        </w:rPr>
        <w:t xml:space="preserve"> GB/T 24067—2024 3.1.1</w:t>
      </w:r>
      <w:r>
        <w:rPr>
          <w:rFonts w:hint="eastAsia" w:ascii="仿宋" w:hAnsi="宋体" w:eastAsia="仿宋" w:cs="宋体"/>
          <w:sz w:val="24"/>
          <w:lang w:eastAsia="zh-CN"/>
        </w:rPr>
        <w:t>。</w:t>
      </w:r>
    </w:p>
    <w:p w14:paraId="439F7277">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4</w:t>
      </w:r>
      <w:r>
        <w:rPr>
          <w:rFonts w:hint="eastAsia" w:ascii="仿宋" w:hAnsi="宋体" w:eastAsia="仿宋" w:cs="宋体"/>
          <w:sz w:val="24"/>
          <w:lang w:eastAsia="zh-CN"/>
        </w:rPr>
        <w:t>）</w:t>
      </w:r>
      <w:r>
        <w:rPr>
          <w:rFonts w:hint="eastAsia" w:ascii="仿宋" w:hAnsi="宋体" w:eastAsia="仿宋" w:cs="宋体"/>
          <w:b/>
          <w:sz w:val="24"/>
          <w:lang w:eastAsia="zh-CN"/>
        </w:rPr>
        <w:t>系统边界（system boundary）</w:t>
      </w:r>
      <w:r>
        <w:rPr>
          <w:rFonts w:hint="eastAsia" w:ascii="仿宋" w:hAnsi="宋体" w:eastAsia="仿宋" w:cs="宋体"/>
          <w:sz w:val="24"/>
          <w:lang w:eastAsia="zh-CN"/>
        </w:rPr>
        <w:t>：通过一组准则确定哪些单元过程属于神湾菠萝产品系统的一部分。定义采用</w:t>
      </w:r>
      <w:r>
        <w:rPr>
          <w:rFonts w:ascii="仿宋" w:eastAsia="仿宋"/>
          <w:sz w:val="24"/>
        </w:rPr>
        <w:t xml:space="preserve"> GB/T 24067—2024 3.3.4</w:t>
      </w:r>
      <w:r>
        <w:rPr>
          <w:rFonts w:hint="eastAsia" w:ascii="仿宋" w:hAnsi="宋体" w:eastAsia="仿宋" w:cs="宋体"/>
          <w:sz w:val="24"/>
          <w:lang w:eastAsia="zh-CN"/>
        </w:rPr>
        <w:t>，并作适应性修改。</w:t>
      </w:r>
    </w:p>
    <w:p w14:paraId="5BC94AA5">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5</w:t>
      </w:r>
      <w:r>
        <w:rPr>
          <w:rFonts w:hint="eastAsia" w:ascii="仿宋" w:hAnsi="宋体" w:eastAsia="仿宋" w:cs="宋体"/>
          <w:sz w:val="24"/>
          <w:lang w:eastAsia="zh-CN"/>
        </w:rPr>
        <w:t>）</w:t>
      </w:r>
      <w:r>
        <w:rPr>
          <w:rFonts w:hint="eastAsia" w:ascii="仿宋" w:hAnsi="宋体" w:eastAsia="仿宋" w:cs="宋体"/>
          <w:b/>
          <w:sz w:val="24"/>
          <w:lang w:eastAsia="zh-CN"/>
        </w:rPr>
        <w:t>声明单位（functional unit）</w:t>
      </w:r>
      <w:r>
        <w:rPr>
          <w:rFonts w:hint="eastAsia" w:ascii="仿宋" w:hAnsi="宋体" w:eastAsia="仿宋" w:cs="宋体"/>
          <w:sz w:val="24"/>
          <w:lang w:eastAsia="zh-CN"/>
        </w:rPr>
        <w:t>：用来量化产品系统功能的基准单位（本文件规定为</w:t>
      </w:r>
      <w:r>
        <w:rPr>
          <w:rFonts w:ascii="仿宋" w:eastAsia="仿宋"/>
          <w:sz w:val="24"/>
        </w:rPr>
        <w:t xml:space="preserve"> 1 kg </w:t>
      </w:r>
      <w:r>
        <w:rPr>
          <w:rFonts w:hint="eastAsia" w:ascii="仿宋" w:hAnsi="宋体" w:eastAsia="仿宋" w:cs="宋体"/>
          <w:sz w:val="24"/>
          <w:lang w:eastAsia="zh-CN"/>
        </w:rPr>
        <w:t>神湾菠萝鲜果）。定义采用</w:t>
      </w:r>
      <w:r>
        <w:rPr>
          <w:rFonts w:ascii="仿宋" w:eastAsia="仿宋"/>
          <w:sz w:val="24"/>
        </w:rPr>
        <w:t xml:space="preserve"> GB/T 24067—2024 3.3.7</w:t>
      </w:r>
      <w:r>
        <w:rPr>
          <w:rFonts w:hint="eastAsia" w:ascii="仿宋" w:hAnsi="宋体" w:eastAsia="仿宋" w:cs="宋体"/>
          <w:sz w:val="24"/>
          <w:lang w:eastAsia="zh-CN"/>
        </w:rPr>
        <w:t>，并作适应性修改。</w:t>
      </w:r>
    </w:p>
    <w:p w14:paraId="3667D958">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6</w:t>
      </w:r>
      <w:r>
        <w:rPr>
          <w:rFonts w:hint="eastAsia" w:ascii="仿宋" w:hAnsi="宋体" w:eastAsia="仿宋" w:cs="宋体"/>
          <w:sz w:val="24"/>
          <w:lang w:eastAsia="zh-CN"/>
        </w:rPr>
        <w:t>）</w:t>
      </w:r>
      <w:r>
        <w:rPr>
          <w:rFonts w:hint="eastAsia" w:ascii="仿宋" w:hAnsi="宋体" w:eastAsia="仿宋" w:cs="宋体"/>
          <w:b/>
          <w:sz w:val="24"/>
          <w:lang w:eastAsia="zh-CN"/>
        </w:rPr>
        <w:t>活动数据（activity data）</w:t>
      </w:r>
      <w:r>
        <w:rPr>
          <w:rFonts w:hint="eastAsia" w:ascii="仿宋" w:hAnsi="宋体" w:eastAsia="仿宋" w:cs="宋体"/>
          <w:sz w:val="24"/>
          <w:lang w:eastAsia="zh-CN"/>
        </w:rPr>
        <w:t>：神湾菠萝种植与包装过程中温室气体排放，以及植株碳汇量、土壤固碳量变化的生产经营活动量的表征值（如肥料施用量、农机耗能量等）。</w:t>
      </w:r>
    </w:p>
    <w:p w14:paraId="7ECC6D5B">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7</w:t>
      </w:r>
      <w:r>
        <w:rPr>
          <w:rFonts w:hint="eastAsia" w:ascii="仿宋" w:hAnsi="宋体" w:eastAsia="仿宋" w:cs="宋体"/>
          <w:sz w:val="24"/>
          <w:lang w:eastAsia="zh-CN"/>
        </w:rPr>
        <w:t>）</w:t>
      </w:r>
      <w:r>
        <w:rPr>
          <w:rFonts w:hint="eastAsia" w:ascii="仿宋" w:hAnsi="宋体" w:eastAsia="仿宋" w:cs="宋体"/>
          <w:b/>
          <w:sz w:val="24"/>
          <w:lang w:eastAsia="zh-CN"/>
        </w:rPr>
        <w:t>净温室气体排放量（net GHG emission）</w:t>
      </w:r>
      <w:r>
        <w:rPr>
          <w:rFonts w:hint="eastAsia" w:ascii="仿宋" w:hAnsi="宋体" w:eastAsia="仿宋" w:cs="宋体"/>
          <w:sz w:val="24"/>
          <w:lang w:eastAsia="zh-CN"/>
        </w:rPr>
        <w:t>：在单位时间、单位核算边界内，神湾菠萝生产的总温室气体排放量减去经确认的清除量后的余额。</w:t>
      </w:r>
    </w:p>
    <w:p w14:paraId="56A7B075">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8</w:t>
      </w:r>
      <w:r>
        <w:rPr>
          <w:rFonts w:hint="eastAsia" w:ascii="仿宋" w:hAnsi="宋体" w:eastAsia="仿宋" w:cs="宋体"/>
          <w:sz w:val="24"/>
          <w:lang w:eastAsia="zh-CN"/>
        </w:rPr>
        <w:t>）</w:t>
      </w:r>
      <w:r>
        <w:rPr>
          <w:rFonts w:hint="eastAsia" w:ascii="仿宋" w:hAnsi="宋体" w:eastAsia="仿宋" w:cs="宋体"/>
          <w:b/>
          <w:sz w:val="24"/>
          <w:lang w:eastAsia="zh-CN"/>
        </w:rPr>
        <w:t>植株碳汇量（Plant carbon sequestration）</w:t>
      </w:r>
      <w:r>
        <w:rPr>
          <w:rFonts w:hint="eastAsia" w:ascii="仿宋" w:hAnsi="宋体" w:eastAsia="仿宋" w:cs="宋体"/>
          <w:sz w:val="24"/>
          <w:lang w:eastAsia="zh-CN"/>
        </w:rPr>
        <w:t>：神湾菠萝植株光合作用固定的碳汇量。</w:t>
      </w:r>
    </w:p>
    <w:p w14:paraId="08E94310">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9</w:t>
      </w:r>
      <w:r>
        <w:rPr>
          <w:rFonts w:hint="eastAsia" w:ascii="仿宋" w:hAnsi="宋体" w:eastAsia="仿宋" w:cs="宋体"/>
          <w:sz w:val="24"/>
          <w:lang w:eastAsia="zh-CN"/>
        </w:rPr>
        <w:t>）</w:t>
      </w:r>
      <w:r>
        <w:rPr>
          <w:rFonts w:hint="eastAsia" w:ascii="仿宋" w:hAnsi="宋体" w:eastAsia="仿宋" w:cs="宋体"/>
          <w:b/>
          <w:sz w:val="24"/>
          <w:lang w:eastAsia="zh-CN"/>
        </w:rPr>
        <w:t>土壤碳汇量（soil carbon sink capacity）</w:t>
      </w:r>
      <w:r>
        <w:rPr>
          <w:rFonts w:hint="eastAsia" w:ascii="仿宋" w:hAnsi="宋体" w:eastAsia="仿宋" w:cs="宋体"/>
          <w:sz w:val="24"/>
          <w:lang w:eastAsia="zh-CN"/>
        </w:rPr>
        <w:t>：农田耕层（</w:t>
      </w:r>
      <w:r>
        <w:rPr>
          <w:rFonts w:ascii="仿宋" w:eastAsia="仿宋"/>
          <w:sz w:val="24"/>
        </w:rPr>
        <w:t>0 cm</w:t>
      </w:r>
      <w:r>
        <w:rPr>
          <w:rFonts w:hint="eastAsia" w:ascii="仿宋" w:hAnsi="宋体" w:eastAsia="仿宋" w:cs="宋体"/>
          <w:sz w:val="24"/>
          <w:lang w:eastAsia="zh-CN"/>
        </w:rPr>
        <w:t>～</w:t>
      </w:r>
      <w:r>
        <w:rPr>
          <w:rFonts w:ascii="仿宋" w:eastAsia="仿宋"/>
          <w:sz w:val="24"/>
        </w:rPr>
        <w:t xml:space="preserve">20 cm </w:t>
      </w:r>
      <w:r>
        <w:rPr>
          <w:rFonts w:hint="eastAsia" w:ascii="仿宋" w:hAnsi="宋体" w:eastAsia="仿宋" w:cs="宋体"/>
          <w:sz w:val="24"/>
          <w:lang w:eastAsia="zh-CN"/>
        </w:rPr>
        <w:t>或</w:t>
      </w:r>
      <w:r>
        <w:rPr>
          <w:rFonts w:ascii="仿宋" w:eastAsia="仿宋"/>
          <w:sz w:val="24"/>
        </w:rPr>
        <w:t xml:space="preserve"> 0 cm</w:t>
      </w:r>
      <w:r>
        <w:rPr>
          <w:rFonts w:hint="eastAsia" w:ascii="仿宋" w:hAnsi="宋体" w:eastAsia="仿宋" w:cs="宋体"/>
          <w:sz w:val="24"/>
          <w:lang w:eastAsia="zh-CN"/>
        </w:rPr>
        <w:t>～</w:t>
      </w:r>
      <w:r>
        <w:rPr>
          <w:rFonts w:ascii="仿宋" w:eastAsia="仿宋"/>
          <w:sz w:val="24"/>
        </w:rPr>
        <w:t>30 cm</w:t>
      </w:r>
      <w:r>
        <w:rPr>
          <w:rFonts w:hint="eastAsia" w:ascii="仿宋" w:hAnsi="宋体" w:eastAsia="仿宋" w:cs="宋体"/>
          <w:sz w:val="24"/>
          <w:lang w:eastAsia="zh-CN"/>
        </w:rPr>
        <w:t>）土壤有机碳的增加量。</w:t>
      </w:r>
    </w:p>
    <w:p w14:paraId="1B856E6E">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w:t>
      </w:r>
      <w:r>
        <w:rPr>
          <w:rFonts w:ascii="仿宋" w:eastAsia="仿宋"/>
          <w:sz w:val="24"/>
        </w:rPr>
        <w:t>10</w:t>
      </w:r>
      <w:r>
        <w:rPr>
          <w:rFonts w:hint="eastAsia" w:ascii="仿宋" w:hAnsi="宋体" w:eastAsia="仿宋" w:cs="宋体"/>
          <w:sz w:val="24"/>
          <w:lang w:eastAsia="zh-CN"/>
        </w:rPr>
        <w:t>）</w:t>
      </w:r>
      <w:r>
        <w:rPr>
          <w:rFonts w:hint="eastAsia" w:ascii="仿宋" w:hAnsi="宋体" w:eastAsia="仿宋" w:cs="宋体"/>
          <w:b/>
          <w:sz w:val="24"/>
          <w:lang w:eastAsia="zh-CN"/>
        </w:rPr>
        <w:t>量化周期（accounting period）</w:t>
      </w:r>
      <w:r>
        <w:rPr>
          <w:rFonts w:hint="eastAsia" w:ascii="仿宋" w:hAnsi="宋体" w:eastAsia="仿宋" w:cs="宋体"/>
          <w:sz w:val="24"/>
          <w:lang w:eastAsia="zh-CN"/>
        </w:rPr>
        <w:t>：单位成品神湾菠萝温室气体排放核算对应的完整生产时间跨度，覆盖一个完整的生产轮作周期，涵盖芽苗定植与芽苗生长、栽培管护、果实采收、鲜果包装出厂，以及与鲜果包装销售并行开展的采收后母株芽苗繁育等全部生产过程。</w:t>
      </w:r>
    </w:p>
    <w:p w14:paraId="7347175A">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5. 编制原则</w:t>
      </w:r>
    </w:p>
    <w:p w14:paraId="484BDE2E">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本文件制定主要参照</w:t>
      </w:r>
      <w:r>
        <w:rPr>
          <w:rFonts w:ascii="仿宋" w:eastAsia="仿宋"/>
          <w:sz w:val="24"/>
        </w:rPr>
        <w:t xml:space="preserve"> GB/T 24067—2024</w:t>
      </w:r>
      <w:r>
        <w:rPr>
          <w:rFonts w:hint="eastAsia" w:ascii="仿宋" w:hAnsi="宋体" w:eastAsia="仿宋" w:cs="宋体"/>
          <w:sz w:val="24"/>
          <w:lang w:eastAsia="zh-CN"/>
        </w:rPr>
        <w:t>，严格按照</w:t>
      </w:r>
      <w:r>
        <w:rPr>
          <w:rFonts w:ascii="仿宋" w:eastAsia="仿宋"/>
          <w:sz w:val="24"/>
        </w:rPr>
        <w:t xml:space="preserve"> GB/T 1.1—2020 </w:t>
      </w:r>
      <w:r>
        <w:rPr>
          <w:rFonts w:hint="eastAsia" w:ascii="仿宋" w:hAnsi="宋体" w:eastAsia="仿宋" w:cs="宋体"/>
          <w:sz w:val="24"/>
          <w:lang w:eastAsia="zh-CN"/>
        </w:rPr>
        <w:t>给出的规则进行编制，结合神湾菠萝的生产技术特点与行业发展需求，遵循以下原则：</w:t>
      </w:r>
    </w:p>
    <w:p w14:paraId="47C07628">
      <w:pPr>
        <w:pStyle w:val="24"/>
        <w:tabs>
          <w:tab w:val="left" w:pos="360"/>
        </w:tabs>
        <w:snapToGrid/>
        <w:spacing w:before="0" w:beforeAutospacing="0" w:after="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相关性</w:t>
      </w:r>
      <w:r>
        <w:rPr>
          <w:rFonts w:hint="eastAsia" w:ascii="仿宋" w:hAnsi="宋体" w:eastAsia="仿宋" w:cs="宋体"/>
          <w:sz w:val="24"/>
          <w:lang w:eastAsia="zh-CN"/>
        </w:rPr>
        <w:t>：数据和方法的选取适用于所核算系统产生的温室气体排放量和清除量的评价。</w:t>
      </w:r>
    </w:p>
    <w:p w14:paraId="16ACFCF1">
      <w:pPr>
        <w:pStyle w:val="24"/>
        <w:tabs>
          <w:tab w:val="left" w:pos="360"/>
        </w:tabs>
        <w:snapToGrid/>
        <w:spacing w:before="0" w:beforeAutospacing="0" w:after="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完整性</w:t>
      </w:r>
      <w:r>
        <w:rPr>
          <w:rFonts w:hint="eastAsia" w:ascii="仿宋" w:hAnsi="宋体" w:eastAsia="仿宋" w:cs="宋体"/>
          <w:sz w:val="24"/>
          <w:lang w:eastAsia="zh-CN"/>
        </w:rPr>
        <w:t>：在神湾菠萝碳足迹核算中，所有对产品系统有显著贡献的温室气体排放量和清除量都应包括在内。</w:t>
      </w:r>
    </w:p>
    <w:p w14:paraId="4B8FD5A3">
      <w:pPr>
        <w:pStyle w:val="24"/>
        <w:tabs>
          <w:tab w:val="left" w:pos="360"/>
        </w:tabs>
        <w:snapToGrid/>
        <w:spacing w:before="0" w:beforeAutospacing="0" w:after="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一致性</w:t>
      </w:r>
      <w:r>
        <w:rPr>
          <w:rFonts w:hint="eastAsia" w:ascii="仿宋" w:hAnsi="宋体" w:eastAsia="仿宋" w:cs="宋体"/>
          <w:sz w:val="24"/>
          <w:lang w:eastAsia="zh-CN"/>
        </w:rPr>
        <w:t>：在核算全过程使用相同的假设、方法和数据，以得到与目的和范围一致的结论。</w:t>
      </w:r>
    </w:p>
    <w:p w14:paraId="74780A9D">
      <w:pPr>
        <w:pStyle w:val="24"/>
        <w:tabs>
          <w:tab w:val="left" w:pos="360"/>
        </w:tabs>
        <w:snapToGrid/>
        <w:spacing w:before="0" w:beforeAutospacing="0" w:after="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统一性</w:t>
      </w:r>
      <w:r>
        <w:rPr>
          <w:rFonts w:hint="eastAsia" w:ascii="仿宋" w:hAnsi="宋体" w:eastAsia="仿宋" w:cs="宋体"/>
          <w:sz w:val="24"/>
          <w:lang w:eastAsia="zh-CN"/>
        </w:rPr>
        <w:t>：采用国际上已认可并已应用于具体产品种类的方法、标准和指南，提高神湾菠萝碳足迹之间的可比性。</w:t>
      </w:r>
    </w:p>
    <w:p w14:paraId="3B4DE092">
      <w:pPr>
        <w:pStyle w:val="24"/>
        <w:tabs>
          <w:tab w:val="left" w:pos="360"/>
        </w:tabs>
        <w:snapToGrid/>
        <w:spacing w:before="0" w:beforeAutospacing="0" w:after="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准确性</w:t>
      </w:r>
      <w:r>
        <w:rPr>
          <w:rFonts w:hint="eastAsia" w:ascii="仿宋" w:hAnsi="宋体" w:eastAsia="仿宋" w:cs="宋体"/>
          <w:sz w:val="24"/>
          <w:lang w:eastAsia="zh-CN"/>
        </w:rPr>
        <w:t>：碳足迹量化准确、可核查、相关、无误导性，并尽可能减少偏差和不确定性。</w:t>
      </w:r>
    </w:p>
    <w:p w14:paraId="3D3CC69C">
      <w:pPr>
        <w:pStyle w:val="24"/>
        <w:tabs>
          <w:tab w:val="left" w:pos="360"/>
        </w:tabs>
        <w:snapToGrid/>
        <w:spacing w:before="0" w:beforeAutospacing="0" w:after="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透明性</w:t>
      </w:r>
      <w:r>
        <w:rPr>
          <w:rFonts w:hint="eastAsia" w:ascii="仿宋" w:hAnsi="宋体" w:eastAsia="仿宋" w:cs="宋体"/>
          <w:sz w:val="24"/>
          <w:lang w:eastAsia="zh-CN"/>
        </w:rPr>
        <w:t>：以公开、全面、可理解的信息表述方式处理和记录所有相关问题，披露所有相关假设，并适当披露所使用的方法和数据来源。</w:t>
      </w:r>
    </w:p>
    <w:p w14:paraId="5A9CD8E3">
      <w:pPr>
        <w:pStyle w:val="24"/>
        <w:tabs>
          <w:tab w:val="left" w:pos="360"/>
        </w:tabs>
        <w:snapToGrid/>
        <w:spacing w:before="0" w:beforeAutospacing="0" w:after="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避免重复计算</w:t>
      </w:r>
      <w:r>
        <w:rPr>
          <w:rFonts w:hint="eastAsia" w:ascii="仿宋" w:hAnsi="宋体" w:eastAsia="仿宋" w:cs="宋体"/>
          <w:sz w:val="24"/>
          <w:lang w:eastAsia="zh-CN"/>
        </w:rPr>
        <w:t>：相同的温室气体排放量和清除量仅分配一次，避免重复计算。</w:t>
      </w:r>
    </w:p>
    <w:p w14:paraId="3EAE5CB8">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6. 量化目的与范围</w:t>
      </w:r>
    </w:p>
    <w:p w14:paraId="455C9BEB">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6.1 量化目的。</w:t>
      </w:r>
      <w:r>
        <w:rPr>
          <w:rFonts w:hint="eastAsia" w:ascii="仿宋" w:hAnsi="宋体" w:eastAsia="仿宋" w:cs="宋体"/>
          <w:sz w:val="24"/>
          <w:lang w:eastAsia="zh-CN"/>
        </w:rPr>
        <w:t xml:space="preserve"> 结合取舍准则，基于生命周期评价理论，通过量化神湾菠萝产品系统边界内所有显著的温室气体排放量和清除量，评价神湾菠萝产品对全球变暖的潜在贡献。</w:t>
      </w:r>
    </w:p>
    <w:p w14:paraId="53B5522E">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6.2 产品描述。</w:t>
      </w:r>
      <w:r>
        <w:rPr>
          <w:rFonts w:ascii="仿宋" w:eastAsia="仿宋"/>
          <w:sz w:val="24"/>
        </w:rPr>
        <w:t xml:space="preserve"> </w:t>
      </w:r>
      <w:r>
        <w:rPr>
          <w:rFonts w:hint="eastAsia" w:ascii="仿宋" w:hAnsi="宋体" w:eastAsia="仿宋" w:cs="宋体"/>
          <w:sz w:val="24"/>
          <w:lang w:eastAsia="zh-CN"/>
        </w:rPr>
        <w:t>神湾菠萝采用多年生草本果树</w:t>
      </w:r>
      <w:r>
        <w:rPr>
          <w:rFonts w:ascii="仿宋" w:eastAsia="仿宋"/>
          <w:sz w:val="24"/>
        </w:rPr>
        <w:t>"</w:t>
      </w:r>
      <w:r>
        <w:rPr>
          <w:rFonts w:hint="eastAsia" w:ascii="仿宋" w:hAnsi="宋体" w:eastAsia="仿宋" w:cs="宋体"/>
          <w:sz w:val="24"/>
          <w:lang w:eastAsia="zh-CN"/>
        </w:rPr>
        <w:t>一造一种</w:t>
      </w:r>
      <w:r>
        <w:rPr>
          <w:rFonts w:ascii="仿宋" w:eastAsia="仿宋"/>
          <w:sz w:val="24"/>
        </w:rPr>
        <w:t>"</w:t>
      </w:r>
      <w:r>
        <w:rPr>
          <w:rFonts w:hint="eastAsia" w:ascii="仿宋" w:hAnsi="宋体" w:eastAsia="仿宋" w:cs="宋体"/>
          <w:sz w:val="24"/>
          <w:lang w:eastAsia="zh-CN"/>
        </w:rPr>
        <w:t>栽培模式，种苗一次性定植后仅采收一造商品鲜果；生产周期内同时产出鲜果与芽苗，芽苗可外销、移交其他主体或留作下一轮定植种苗；果实采收后保留母株根系繁育芽苗，不采用宿根续茬结果，待芽苗采摘完毕将母株全部铲除清园，完成一个完整生产轮作周期。</w:t>
      </w:r>
    </w:p>
    <w:p w14:paraId="4548D625">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6.3 声明单位（功能单位）。</w:t>
      </w:r>
      <w:r>
        <w:rPr>
          <w:rFonts w:ascii="仿宋" w:eastAsia="仿宋"/>
          <w:sz w:val="24"/>
        </w:rPr>
        <w:t xml:space="preserve"> </w:t>
      </w:r>
      <w:r>
        <w:rPr>
          <w:rFonts w:hint="eastAsia" w:ascii="仿宋" w:hAnsi="宋体" w:eastAsia="仿宋" w:cs="宋体"/>
          <w:sz w:val="24"/>
          <w:lang w:eastAsia="zh-CN"/>
        </w:rPr>
        <w:t>本文件规定功能单位为：</w:t>
      </w:r>
      <w:r>
        <w:rPr>
          <w:rFonts w:ascii="仿宋" w:eastAsia="仿宋"/>
          <w:sz w:val="24"/>
        </w:rPr>
        <w:t xml:space="preserve">1 kg </w:t>
      </w:r>
      <w:r>
        <w:rPr>
          <w:rFonts w:hint="eastAsia" w:ascii="仿宋" w:hAnsi="宋体" w:eastAsia="仿宋" w:cs="宋体"/>
          <w:sz w:val="24"/>
          <w:lang w:eastAsia="zh-CN"/>
        </w:rPr>
        <w:t>神湾菠萝（以完成包装、可供销售的产品计）。</w:t>
      </w:r>
    </w:p>
    <w:p w14:paraId="7F2B3414">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6.4 系统边界。</w:t>
      </w:r>
      <w:r>
        <w:rPr>
          <w:rFonts w:ascii="仿宋" w:eastAsia="仿宋"/>
          <w:sz w:val="24"/>
        </w:rPr>
        <w:t xml:space="preserve"> </w:t>
      </w:r>
      <w:r>
        <w:rPr>
          <w:rFonts w:hint="eastAsia" w:ascii="仿宋" w:hAnsi="宋体" w:eastAsia="仿宋" w:cs="宋体"/>
          <w:sz w:val="24"/>
          <w:lang w:eastAsia="zh-CN"/>
        </w:rPr>
        <w:t>神湾菠萝产品碳足迹设定系统边界为</w:t>
      </w:r>
      <w:r>
        <w:rPr>
          <w:rFonts w:ascii="仿宋" w:eastAsia="仿宋"/>
          <w:sz w:val="24"/>
        </w:rPr>
        <w:t>"</w:t>
      </w:r>
      <w:r>
        <w:rPr>
          <w:rFonts w:hint="eastAsia" w:ascii="仿宋" w:hAnsi="宋体" w:eastAsia="仿宋" w:cs="宋体"/>
          <w:sz w:val="24"/>
          <w:lang w:eastAsia="zh-CN"/>
        </w:rPr>
        <w:t>摇篮到大门</w:t>
      </w:r>
      <w:r>
        <w:rPr>
          <w:rFonts w:ascii="仿宋" w:eastAsia="仿宋"/>
          <w:sz w:val="24"/>
        </w:rPr>
        <w:t>"</w:t>
      </w:r>
      <w:r>
        <w:rPr>
          <w:rFonts w:hint="eastAsia" w:ascii="仿宋" w:hAnsi="宋体" w:eastAsia="仿宋" w:cs="宋体"/>
          <w:sz w:val="24"/>
          <w:lang w:eastAsia="zh-CN"/>
        </w:rPr>
        <w:t>（</w:t>
      </w:r>
      <w:r>
        <w:rPr>
          <w:rFonts w:ascii="仿宋" w:eastAsia="仿宋"/>
          <w:sz w:val="24"/>
        </w:rPr>
        <w:t>cradle-to-gate</w:t>
      </w:r>
      <w:r>
        <w:rPr>
          <w:rFonts w:hint="eastAsia" w:ascii="仿宋" w:hAnsi="宋体" w:eastAsia="仿宋" w:cs="宋体"/>
          <w:sz w:val="24"/>
          <w:lang w:eastAsia="zh-CN"/>
        </w:rPr>
        <w:t>），其生命周期阶段包括原材料获取与投入、种植、包装</w:t>
      </w:r>
      <w:r>
        <w:rPr>
          <w:rFonts w:ascii="仿宋" w:eastAsia="仿宋"/>
          <w:sz w:val="24"/>
        </w:rPr>
        <w:t xml:space="preserve"> 3 </w:t>
      </w:r>
      <w:r>
        <w:rPr>
          <w:rFonts w:hint="eastAsia" w:ascii="仿宋" w:hAnsi="宋体" w:eastAsia="仿宋" w:cs="宋体"/>
          <w:sz w:val="24"/>
          <w:lang w:eastAsia="zh-CN"/>
        </w:rPr>
        <w:t>个阶段。农业生产基础设施（如温室、灌溉设施等）、农业机械、农产品存储设施、农产品生产者的通勤等不纳入量化范围。</w:t>
      </w:r>
    </w:p>
    <w:p w14:paraId="66652F2A">
      <w:pPr>
        <w:pStyle w:val="24"/>
        <w:tabs>
          <w:tab w:val="left" w:pos="360"/>
        </w:tabs>
        <w:snapToGrid/>
        <w:spacing w:before="0" w:beforeAutospacing="0" w:after="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原材料获取与投入阶段：即农业品、包装材料等的生产阶段以及从产地到种植户的运输单元过程，包括种苗、化肥、有机肥、农膜以及塑料袋、包装袋、纸箱、泡沫盒等包装材料的消耗量及运输。</w:t>
      </w:r>
    </w:p>
    <w:p w14:paraId="14529BA6">
      <w:pPr>
        <w:pStyle w:val="24"/>
        <w:tabs>
          <w:tab w:val="left" w:pos="360"/>
        </w:tabs>
        <w:snapToGrid/>
        <w:spacing w:before="0" w:beforeAutospacing="0" w:after="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种植阶段：从芽苗定植至母株清园、植株还田止，包括氮肥田间施用引起的</w:t>
      </w:r>
      <w:r>
        <w:rPr>
          <w:rFonts w:ascii="仿宋" w:eastAsia="仿宋"/>
          <w:sz w:val="24"/>
        </w:rPr>
        <w:t xml:space="preserve"> N₂O </w:t>
      </w:r>
      <w:r>
        <w:rPr>
          <w:rFonts w:hint="eastAsia" w:ascii="仿宋" w:hAnsi="宋体" w:eastAsia="仿宋" w:cs="宋体"/>
          <w:sz w:val="24"/>
          <w:lang w:eastAsia="zh-CN"/>
        </w:rPr>
        <w:t>直接排放与间接排放、菠萝植株还田引起的</w:t>
      </w:r>
      <w:r>
        <w:rPr>
          <w:rFonts w:ascii="仿宋" w:eastAsia="仿宋"/>
          <w:sz w:val="24"/>
        </w:rPr>
        <w:t xml:space="preserve"> N₂O </w:t>
      </w:r>
      <w:r>
        <w:rPr>
          <w:rFonts w:hint="eastAsia" w:ascii="仿宋" w:hAnsi="宋体" w:eastAsia="仿宋" w:cs="宋体"/>
          <w:sz w:val="24"/>
          <w:lang w:eastAsia="zh-CN"/>
        </w:rPr>
        <w:t>排放、耕作机械耗能排放、母株清园作业耗能、植株碳汇、枯落物碳汇与土壤碳汇。</w:t>
      </w:r>
    </w:p>
    <w:p w14:paraId="75408E3A">
      <w:pPr>
        <w:pStyle w:val="24"/>
        <w:tabs>
          <w:tab w:val="left" w:pos="360"/>
        </w:tabs>
        <w:snapToGrid/>
        <w:spacing w:before="0" w:beforeAutospacing="0" w:after="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包装阶段：即包装作业耗能排放。</w:t>
      </w:r>
    </w:p>
    <w:p w14:paraId="5733941C">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6.5 取舍准则。</w:t>
      </w:r>
      <w:r>
        <w:rPr>
          <w:rFonts w:ascii="仿宋" w:eastAsia="仿宋"/>
          <w:sz w:val="24"/>
        </w:rPr>
        <w:t xml:space="preserve"> </w:t>
      </w:r>
      <w:r>
        <w:rPr>
          <w:rFonts w:hint="eastAsia" w:ascii="仿宋" w:hAnsi="宋体" w:eastAsia="仿宋" w:cs="宋体"/>
          <w:sz w:val="24"/>
          <w:lang w:eastAsia="zh-CN"/>
        </w:rPr>
        <w:t>在量化过程中，对影响小于总量</w:t>
      </w:r>
      <w:r>
        <w:rPr>
          <w:rFonts w:ascii="仿宋" w:eastAsia="仿宋"/>
          <w:sz w:val="24"/>
        </w:rPr>
        <w:t xml:space="preserve"> 1% </w:t>
      </w:r>
      <w:r>
        <w:rPr>
          <w:rFonts w:hint="eastAsia" w:ascii="仿宋" w:hAnsi="宋体" w:eastAsia="仿宋" w:cs="宋体"/>
          <w:sz w:val="24"/>
          <w:lang w:eastAsia="zh-CN"/>
        </w:rPr>
        <w:t>的环节可予以舍弃；但系统边界内所有被舍弃环节的总影响不应超过碳足迹总量的</w:t>
      </w:r>
      <w:r>
        <w:rPr>
          <w:rFonts w:ascii="仿宋" w:eastAsia="仿宋"/>
          <w:sz w:val="24"/>
        </w:rPr>
        <w:t xml:space="preserve"> 5%</w:t>
      </w:r>
      <w:r>
        <w:rPr>
          <w:rFonts w:hint="eastAsia" w:ascii="仿宋" w:hAnsi="宋体" w:eastAsia="仿宋" w:cs="宋体"/>
          <w:sz w:val="24"/>
          <w:lang w:eastAsia="zh-CN"/>
        </w:rPr>
        <w:t>。舍弃的环节及依据应在核算报告中说明。该准则与</w:t>
      </w:r>
      <w:r>
        <w:rPr>
          <w:rFonts w:ascii="仿宋" w:eastAsia="仿宋"/>
          <w:sz w:val="24"/>
        </w:rPr>
        <w:t xml:space="preserve"> GB/T 24067—2024 </w:t>
      </w:r>
      <w:r>
        <w:rPr>
          <w:rFonts w:hint="eastAsia" w:ascii="仿宋" w:hAnsi="宋体" w:eastAsia="仿宋" w:cs="宋体"/>
          <w:sz w:val="24"/>
          <w:lang w:eastAsia="zh-CN"/>
        </w:rPr>
        <w:t>一致。</w:t>
      </w:r>
    </w:p>
    <w:p w14:paraId="286ECDEB">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6.6 分配原则。</w:t>
      </w:r>
      <w:r>
        <w:rPr>
          <w:rFonts w:hint="eastAsia" w:ascii="仿宋" w:hAnsi="宋体" w:eastAsia="仿宋" w:cs="宋体"/>
          <w:sz w:val="24"/>
          <w:lang w:eastAsia="zh-CN"/>
        </w:rPr>
        <w:t xml:space="preserve"> 神湾菠萝生产周期内同时产出鲜果与芽苗。当芽苗对外销售或移交其他主体使用时，芽苗视为副产品，按经济价值分配：将核算周期内净排放总量按鲜果产品与芽苗产值之比分配，单位产品碳足迹取鲜果分摊部分除以鲜果产量；当芽苗全部留作本核算主体下一轮定植用种苗时，视为循环回用材料，不另行分配，全部净排放量分配至鲜果。分配方法、产值数据及参数应在核算报告中说明。</w:t>
      </w:r>
    </w:p>
    <w:p w14:paraId="3FE49BAE">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7. 数据要求</w:t>
      </w:r>
    </w:p>
    <w:p w14:paraId="1F002531">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7.1 质量要求。</w:t>
      </w:r>
      <w:r>
        <w:rPr>
          <w:rFonts w:ascii="仿宋" w:eastAsia="仿宋"/>
          <w:sz w:val="24"/>
        </w:rPr>
        <w:t xml:space="preserve"> </w:t>
      </w:r>
      <w:r>
        <w:rPr>
          <w:rFonts w:hint="eastAsia" w:ascii="仿宋" w:hAnsi="宋体" w:eastAsia="仿宋" w:cs="宋体"/>
          <w:sz w:val="24"/>
          <w:lang w:eastAsia="zh-CN"/>
        </w:rPr>
        <w:t>数据质量宜考虑以下方面：时间边界范围（从种苗定植至芽苗采收完毕、母株清园的完整生产周期；跨周期分摊的排放和碳汇按实际完整生产周期分摊核算）；地理覆盖范围（优先收集生产活动所在地理区域的数据）；技术覆盖范围（优先符合产品生产技术水平的具体技术出具）；数据收集范围（依据系统边界内各单元过程与功能单位确定）；当同一参数存在多个来源时，按</w:t>
      </w:r>
      <w:r>
        <w:rPr>
          <w:rFonts w:ascii="仿宋" w:eastAsia="仿宋"/>
          <w:sz w:val="24"/>
        </w:rPr>
        <w:t>"</w:t>
      </w:r>
      <w:r>
        <w:rPr>
          <w:rFonts w:hint="eastAsia" w:ascii="仿宋" w:hAnsi="宋体" w:eastAsia="仿宋" w:cs="宋体"/>
          <w:sz w:val="24"/>
          <w:lang w:eastAsia="zh-CN"/>
        </w:rPr>
        <w:t>实测值＞台账统计值＞结算单推算值＞文献缺省值</w:t>
      </w:r>
      <w:r>
        <w:rPr>
          <w:rFonts w:ascii="仿宋" w:eastAsia="仿宋"/>
          <w:sz w:val="24"/>
        </w:rPr>
        <w:t>"</w:t>
      </w:r>
      <w:r>
        <w:rPr>
          <w:rFonts w:hint="eastAsia" w:ascii="仿宋" w:hAnsi="宋体" w:eastAsia="仿宋" w:cs="宋体"/>
          <w:sz w:val="24"/>
          <w:lang w:eastAsia="zh-CN"/>
        </w:rPr>
        <w:t>的优先序取值，并记录取舍理由。</w:t>
      </w:r>
    </w:p>
    <w:p w14:paraId="0A917CB6">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7.2 初级数据。</w:t>
      </w:r>
      <w:r>
        <w:rPr>
          <w:rFonts w:ascii="仿宋" w:eastAsia="仿宋"/>
          <w:sz w:val="24"/>
        </w:rPr>
        <w:t xml:space="preserve"> </w:t>
      </w:r>
      <w:r>
        <w:rPr>
          <w:rFonts w:hint="eastAsia" w:ascii="仿宋" w:hAnsi="宋体" w:eastAsia="仿宋" w:cs="宋体"/>
          <w:sz w:val="24"/>
          <w:lang w:eastAsia="zh-CN"/>
        </w:rPr>
        <w:t>初级数据主要从企业拥有、运行或控制的种植和生产过程中收集，包括：原材料获取与投入阶段的种苗、化肥、有机肥、农膜、包装材料消耗量及运输能耗；种植阶段的</w:t>
      </w:r>
      <w:r>
        <w:rPr>
          <w:rFonts w:ascii="仿宋" w:eastAsia="仿宋"/>
          <w:sz w:val="24"/>
        </w:rPr>
        <w:t xml:space="preserve"> N₂O </w:t>
      </w:r>
      <w:r>
        <w:rPr>
          <w:rFonts w:hint="eastAsia" w:ascii="仿宋" w:hAnsi="宋体" w:eastAsia="仿宋" w:cs="宋体"/>
          <w:sz w:val="24"/>
          <w:lang w:eastAsia="zh-CN"/>
        </w:rPr>
        <w:t>排放、耕作与清园机械能耗、植株</w:t>
      </w:r>
      <w:r>
        <w:rPr>
          <w:rFonts w:ascii="仿宋" w:eastAsia="仿宋"/>
          <w:sz w:val="24"/>
        </w:rPr>
        <w:t>/</w:t>
      </w:r>
      <w:r>
        <w:rPr>
          <w:rFonts w:hint="eastAsia" w:ascii="仿宋" w:hAnsi="宋体" w:eastAsia="仿宋" w:cs="宋体"/>
          <w:sz w:val="24"/>
          <w:lang w:eastAsia="zh-CN"/>
        </w:rPr>
        <w:t>枯落物</w:t>
      </w:r>
      <w:r>
        <w:rPr>
          <w:rFonts w:ascii="仿宋" w:eastAsia="仿宋"/>
          <w:sz w:val="24"/>
        </w:rPr>
        <w:t>/</w:t>
      </w:r>
      <w:r>
        <w:rPr>
          <w:rFonts w:hint="eastAsia" w:ascii="仿宋" w:hAnsi="宋体" w:eastAsia="仿宋" w:cs="宋体"/>
          <w:sz w:val="24"/>
          <w:lang w:eastAsia="zh-CN"/>
        </w:rPr>
        <w:t>土壤碳汇；包装阶段的包装作业能耗及废弃物外送能耗。初级数据应建立物料平衡和能量平衡等检查，确保数据质量。</w:t>
      </w:r>
    </w:p>
    <w:p w14:paraId="403DCA84">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7.3 次级数据。</w:t>
      </w:r>
      <w:r>
        <w:rPr>
          <w:rFonts w:ascii="仿宋" w:eastAsia="仿宋"/>
          <w:sz w:val="24"/>
        </w:rPr>
        <w:t xml:space="preserve"> </w:t>
      </w:r>
      <w:r>
        <w:rPr>
          <w:rFonts w:hint="eastAsia" w:ascii="仿宋" w:hAnsi="宋体" w:eastAsia="仿宋" w:cs="宋体"/>
          <w:sz w:val="24"/>
          <w:lang w:eastAsia="zh-CN"/>
        </w:rPr>
        <w:t>次级数据主要包括各类原材料生产、能源生产</w:t>
      </w:r>
      <w:r>
        <w:rPr>
          <w:rFonts w:ascii="仿宋" w:eastAsia="仿宋"/>
          <w:sz w:val="24"/>
        </w:rPr>
        <w:t>/</w:t>
      </w:r>
      <w:r>
        <w:rPr>
          <w:rFonts w:hint="eastAsia" w:ascii="仿宋" w:hAnsi="宋体" w:eastAsia="仿宋" w:cs="宋体"/>
          <w:sz w:val="24"/>
          <w:lang w:eastAsia="zh-CN"/>
        </w:rPr>
        <w:t>运输</w:t>
      </w:r>
      <w:r>
        <w:rPr>
          <w:rFonts w:ascii="仿宋" w:eastAsia="仿宋"/>
          <w:sz w:val="24"/>
        </w:rPr>
        <w:t>/</w:t>
      </w:r>
      <w:r>
        <w:rPr>
          <w:rFonts w:hint="eastAsia" w:ascii="仿宋" w:hAnsi="宋体" w:eastAsia="仿宋" w:cs="宋体"/>
          <w:sz w:val="24"/>
          <w:lang w:eastAsia="zh-CN"/>
        </w:rPr>
        <w:t>使用、各类运输方式的温室气体排放因子。优先采用基于</w:t>
      </w:r>
      <w:r>
        <w:rPr>
          <w:rFonts w:ascii="仿宋" w:eastAsia="仿宋"/>
          <w:sz w:val="24"/>
        </w:rPr>
        <w:t xml:space="preserve"> LCA </w:t>
      </w:r>
      <w:r>
        <w:rPr>
          <w:rFonts w:hint="eastAsia" w:ascii="仿宋" w:hAnsi="宋体" w:eastAsia="仿宋" w:cs="宋体"/>
          <w:sz w:val="24"/>
          <w:lang w:eastAsia="zh-CN"/>
        </w:rPr>
        <w:t>或产品碳足迹评价得到的</w:t>
      </w:r>
      <w:r>
        <w:rPr>
          <w:rFonts w:ascii="仿宋" w:eastAsia="仿宋"/>
          <w:sz w:val="24"/>
        </w:rPr>
        <w:t>"</w:t>
      </w:r>
      <w:r>
        <w:rPr>
          <w:rFonts w:hint="eastAsia" w:ascii="仿宋" w:hAnsi="宋体" w:eastAsia="仿宋" w:cs="宋体"/>
          <w:sz w:val="24"/>
          <w:lang w:eastAsia="zh-CN"/>
        </w:rPr>
        <w:t>从摇篮到大门</w:t>
      </w:r>
      <w:r>
        <w:rPr>
          <w:rFonts w:ascii="仿宋" w:eastAsia="仿宋"/>
          <w:sz w:val="24"/>
        </w:rPr>
        <w:t>"</w:t>
      </w:r>
      <w:r>
        <w:rPr>
          <w:rFonts w:hint="eastAsia" w:ascii="仿宋" w:hAnsi="宋体" w:eastAsia="仿宋" w:cs="宋体"/>
          <w:sz w:val="24"/>
          <w:lang w:eastAsia="zh-CN"/>
        </w:rPr>
        <w:t>原辅材料和能源资源碳足迹；若不可获取，宜从官方出版物、行业报告和文献等收集符合数据质量要求的次级数据，并分析其具体过程。</w:t>
      </w:r>
    </w:p>
    <w:p w14:paraId="2AAB55E3">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7.4 数据保存。</w:t>
      </w:r>
      <w:r>
        <w:rPr>
          <w:rFonts w:ascii="仿宋" w:eastAsia="仿宋"/>
          <w:sz w:val="24"/>
        </w:rPr>
        <w:t xml:space="preserve"> </w:t>
      </w:r>
      <w:r>
        <w:rPr>
          <w:rFonts w:hint="eastAsia" w:ascii="仿宋" w:hAnsi="宋体" w:eastAsia="仿宋" w:cs="宋体"/>
          <w:sz w:val="24"/>
          <w:lang w:eastAsia="zh-CN"/>
        </w:rPr>
        <w:t>所有用于碳足迹评价的初级和次级数据，应形成文件记录，以便于分析和核查的格式保存，记录数据来源、获取时间与责任人，保存年限不少于</w:t>
      </w:r>
      <w:r>
        <w:rPr>
          <w:rFonts w:ascii="仿宋" w:eastAsia="仿宋"/>
          <w:sz w:val="24"/>
        </w:rPr>
        <w:t xml:space="preserve"> 3 </w:t>
      </w:r>
      <w:r>
        <w:rPr>
          <w:rFonts w:hint="eastAsia" w:ascii="仿宋" w:hAnsi="宋体" w:eastAsia="仿宋" w:cs="宋体"/>
          <w:sz w:val="24"/>
          <w:lang w:eastAsia="zh-CN"/>
        </w:rPr>
        <w:t>年。</w:t>
      </w:r>
    </w:p>
    <w:p w14:paraId="34DC10BF">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8. 量化方法</w:t>
      </w:r>
    </w:p>
    <w:p w14:paraId="79B62E14">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8.1 一般规定。</w:t>
      </w:r>
      <w:r>
        <w:rPr>
          <w:rFonts w:ascii="仿宋" w:eastAsia="仿宋"/>
          <w:sz w:val="24"/>
        </w:rPr>
        <w:t xml:space="preserve"> </w:t>
      </w:r>
      <w:r>
        <w:rPr>
          <w:rFonts w:hint="eastAsia" w:ascii="仿宋" w:hAnsi="宋体" w:eastAsia="仿宋" w:cs="宋体"/>
          <w:sz w:val="24"/>
          <w:lang w:eastAsia="zh-CN"/>
        </w:rPr>
        <w:t>神湾菠萝碳足迹核算采用</w:t>
      </w:r>
      <w:r>
        <w:rPr>
          <w:rFonts w:ascii="仿宋" w:eastAsia="仿宋"/>
          <w:sz w:val="24"/>
        </w:rPr>
        <w:t xml:space="preserve"> IPCC </w:t>
      </w:r>
      <w:r>
        <w:rPr>
          <w:rFonts w:hint="eastAsia" w:ascii="仿宋" w:hAnsi="宋体" w:eastAsia="仿宋" w:cs="宋体"/>
          <w:sz w:val="24"/>
          <w:lang w:eastAsia="zh-CN"/>
        </w:rPr>
        <w:t>温室气体清单方法，以</w:t>
      </w:r>
      <w:r>
        <w:rPr>
          <w:rFonts w:hint="eastAsia" w:ascii="仿宋" w:eastAsia="仿宋"/>
          <w:sz w:val="24"/>
          <w:lang w:eastAsia="zh-CN"/>
        </w:rPr>
        <w:t>“</w:t>
      </w:r>
      <w:r>
        <w:rPr>
          <w:rFonts w:hint="eastAsia" w:ascii="仿宋" w:hAnsi="宋体" w:eastAsia="仿宋" w:cs="宋体"/>
          <w:sz w:val="24"/>
          <w:lang w:eastAsia="zh-CN"/>
        </w:rPr>
        <w:t>活动数据（</w:t>
      </w:r>
      <w:r>
        <w:rPr>
          <w:rFonts w:ascii="仿宋" w:eastAsia="仿宋"/>
          <w:sz w:val="24"/>
        </w:rPr>
        <w:t>AD</w:t>
      </w:r>
      <w:r>
        <w:rPr>
          <w:rFonts w:hint="eastAsia" w:ascii="仿宋" w:hAnsi="宋体" w:eastAsia="仿宋" w:cs="宋体"/>
          <w:sz w:val="24"/>
          <w:lang w:eastAsia="zh-CN"/>
        </w:rPr>
        <w:t>）</w:t>
      </w:r>
      <w:r>
        <w:rPr>
          <w:rFonts w:ascii="仿宋" w:eastAsia="仿宋"/>
          <w:sz w:val="24"/>
        </w:rPr>
        <w:t>×</w:t>
      </w:r>
      <w:r>
        <w:rPr>
          <w:rFonts w:hint="eastAsia" w:ascii="仿宋" w:hAnsi="宋体" w:eastAsia="仿宋" w:cs="宋体"/>
          <w:sz w:val="24"/>
          <w:lang w:eastAsia="zh-CN"/>
        </w:rPr>
        <w:t>排放因子（</w:t>
      </w:r>
      <w:r>
        <w:rPr>
          <w:rFonts w:ascii="仿宋" w:eastAsia="仿宋"/>
          <w:sz w:val="24"/>
        </w:rPr>
        <w:t>EF</w:t>
      </w:r>
      <w:r>
        <w:rPr>
          <w:rFonts w:hint="eastAsia" w:ascii="仿宋" w:hAnsi="宋体" w:eastAsia="仿宋" w:cs="宋体"/>
          <w:sz w:val="24"/>
          <w:lang w:eastAsia="zh-CN"/>
        </w:rPr>
        <w:t>）</w:t>
      </w:r>
      <w:r>
        <w:rPr>
          <w:rFonts w:hint="eastAsia" w:ascii="仿宋" w:eastAsia="仿宋"/>
          <w:sz w:val="24"/>
          <w:lang w:eastAsia="zh-CN"/>
        </w:rPr>
        <w:t>”</w:t>
      </w:r>
      <w:r>
        <w:rPr>
          <w:rFonts w:hint="eastAsia" w:ascii="仿宋" w:hAnsi="宋体" w:eastAsia="仿宋" w:cs="宋体"/>
          <w:sz w:val="24"/>
          <w:lang w:eastAsia="zh-CN"/>
        </w:rPr>
        <w:t>计算各过程排放量。活动数据优先采用区域特定值，其次国家通用值，最后为</w:t>
      </w:r>
      <w:r>
        <w:rPr>
          <w:rFonts w:ascii="仿宋" w:eastAsia="仿宋"/>
          <w:sz w:val="24"/>
        </w:rPr>
        <w:t xml:space="preserve"> IPCC </w:t>
      </w:r>
      <w:r>
        <w:rPr>
          <w:rFonts w:hint="eastAsia" w:ascii="仿宋" w:hAnsi="宋体" w:eastAsia="仿宋" w:cs="宋体"/>
          <w:sz w:val="24"/>
          <w:lang w:eastAsia="zh-CN"/>
        </w:rPr>
        <w:t>推荐值。排放因子优先采用现场实测值或区域特定值，其次国家通用值，再次</w:t>
      </w:r>
      <w:r>
        <w:rPr>
          <w:rFonts w:ascii="仿宋" w:eastAsia="仿宋"/>
          <w:sz w:val="24"/>
        </w:rPr>
        <w:t xml:space="preserve"> IPCC </w:t>
      </w:r>
      <w:r>
        <w:rPr>
          <w:rFonts w:hint="eastAsia" w:ascii="仿宋" w:hAnsi="宋体" w:eastAsia="仿宋" w:cs="宋体"/>
          <w:sz w:val="24"/>
          <w:lang w:eastAsia="zh-CN"/>
        </w:rPr>
        <w:t>缺省值或本文件附录</w:t>
      </w:r>
      <w:r>
        <w:rPr>
          <w:rFonts w:ascii="仿宋" w:eastAsia="仿宋"/>
          <w:sz w:val="24"/>
        </w:rPr>
        <w:t xml:space="preserve"> B </w:t>
      </w:r>
      <w:r>
        <w:rPr>
          <w:rFonts w:hint="eastAsia" w:ascii="仿宋" w:hAnsi="宋体" w:eastAsia="仿宋" w:cs="宋体"/>
          <w:sz w:val="24"/>
          <w:lang w:eastAsia="zh-CN"/>
        </w:rPr>
        <w:t>推荐值。单位统一为</w:t>
      </w:r>
      <w:r>
        <w:rPr>
          <w:rFonts w:ascii="仿宋" w:eastAsia="仿宋"/>
          <w:sz w:val="24"/>
        </w:rPr>
        <w:t xml:space="preserve"> kg CO₂e</w:t>
      </w:r>
      <w:r>
        <w:rPr>
          <w:rFonts w:hint="eastAsia" w:ascii="仿宋" w:hAnsi="宋体" w:eastAsia="仿宋" w:cs="宋体"/>
          <w:sz w:val="24"/>
          <w:lang w:eastAsia="zh-CN"/>
        </w:rPr>
        <w:t>。</w:t>
      </w:r>
    </w:p>
    <w:p w14:paraId="3B550455">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8.2 单位产品碳足迹。</w:t>
      </w:r>
      <w:r>
        <w:rPr>
          <w:rFonts w:ascii="仿宋" w:eastAsia="仿宋"/>
          <w:sz w:val="24"/>
        </w:rPr>
        <w:t xml:space="preserve"> </w:t>
      </w:r>
      <w:r>
        <w:rPr>
          <w:rFonts w:hint="eastAsia" w:ascii="仿宋" w:hAnsi="宋体" w:eastAsia="仿宋" w:cs="宋体"/>
          <w:sz w:val="24"/>
          <w:lang w:eastAsia="zh-CN"/>
        </w:rPr>
        <w:t>神湾菠萝全生命周期单位产品碳足迹（</w:t>
      </w:r>
      <w:r>
        <w:rPr>
          <w:rFonts w:ascii="仿宋" w:eastAsia="仿宋"/>
          <w:sz w:val="24"/>
        </w:rPr>
        <w:t>CF</w:t>
      </w:r>
      <w:r>
        <w:rPr>
          <w:rFonts w:hint="eastAsia" w:ascii="仿宋" w:hAnsi="宋体" w:eastAsia="仿宋" w:cs="宋体"/>
          <w:sz w:val="24"/>
          <w:lang w:eastAsia="zh-CN"/>
        </w:rPr>
        <w:t>）按式汇总：</w:t>
      </w:r>
      <w:r>
        <w:rPr>
          <w:rFonts w:ascii="仿宋" w:eastAsia="仿宋"/>
          <w:sz w:val="24"/>
        </w:rPr>
        <w:t>CF =</w:t>
      </w:r>
      <w:r>
        <w:rPr>
          <w:rFonts w:hint="eastAsia" w:ascii="仿宋" w:hAnsi="宋体" w:eastAsia="仿宋" w:cs="宋体"/>
          <w:sz w:val="24"/>
          <w:lang w:eastAsia="zh-CN"/>
        </w:rPr>
        <w:t>（</w:t>
      </w:r>
      <w:r>
        <w:rPr>
          <w:rFonts w:hint="eastAsia" w:ascii="仿宋" w:eastAsia="仿宋" w:cs="宋体"/>
          <w:sz w:val="24"/>
          <w:lang w:val="en-US" w:eastAsia="zh-CN"/>
        </w:rPr>
        <w:t>原料获取与投入</w:t>
      </w:r>
      <w:r>
        <w:rPr>
          <w:rFonts w:hint="eastAsia" w:ascii="仿宋" w:hAnsi="宋体" w:eastAsia="仿宋" w:cs="宋体"/>
          <w:sz w:val="24"/>
          <w:lang w:eastAsia="zh-CN"/>
        </w:rPr>
        <w:t>阶段</w:t>
      </w:r>
      <w:r>
        <w:rPr>
          <w:rFonts w:ascii="仿宋" w:eastAsia="仿宋"/>
          <w:sz w:val="24"/>
        </w:rPr>
        <w:t xml:space="preserve"> GHG </w:t>
      </w:r>
      <w:r>
        <w:rPr>
          <w:rFonts w:hint="eastAsia" w:ascii="仿宋" w:hAnsi="宋体" w:eastAsia="仿宋" w:cs="宋体"/>
          <w:sz w:val="24"/>
          <w:lang w:eastAsia="zh-CN"/>
        </w:rPr>
        <w:t>排放量</w:t>
      </w:r>
      <w:r>
        <w:rPr>
          <w:rFonts w:ascii="仿宋" w:eastAsia="仿宋"/>
          <w:sz w:val="24"/>
        </w:rPr>
        <w:t xml:space="preserve"> + </w:t>
      </w:r>
      <w:r>
        <w:rPr>
          <w:rFonts w:hint="eastAsia" w:ascii="仿宋" w:eastAsia="仿宋"/>
          <w:sz w:val="24"/>
          <w:lang w:val="en-US" w:eastAsia="zh-CN"/>
        </w:rPr>
        <w:t>生产</w:t>
      </w:r>
      <w:r>
        <w:rPr>
          <w:rFonts w:hint="eastAsia" w:ascii="仿宋" w:hAnsi="宋体" w:eastAsia="仿宋" w:cs="宋体"/>
          <w:sz w:val="24"/>
          <w:lang w:eastAsia="zh-CN"/>
        </w:rPr>
        <w:t>阶段</w:t>
      </w:r>
      <w:r>
        <w:rPr>
          <w:rFonts w:ascii="仿宋" w:eastAsia="仿宋"/>
          <w:sz w:val="24"/>
        </w:rPr>
        <w:t xml:space="preserve"> GHG </w:t>
      </w:r>
      <w:r>
        <w:rPr>
          <w:rFonts w:hint="eastAsia" w:ascii="仿宋" w:hAnsi="宋体" w:eastAsia="仿宋" w:cs="宋体"/>
          <w:sz w:val="24"/>
          <w:lang w:eastAsia="zh-CN"/>
        </w:rPr>
        <w:t>排放量）</w:t>
      </w:r>
      <w:r>
        <w:rPr>
          <w:rFonts w:ascii="仿宋" w:eastAsia="仿宋"/>
          <w:sz w:val="24"/>
        </w:rPr>
        <w:t xml:space="preserve">/ </w:t>
      </w:r>
      <w:r>
        <w:rPr>
          <w:rFonts w:hint="eastAsia" w:ascii="仿宋" w:hAnsi="宋体" w:eastAsia="仿宋" w:cs="宋体"/>
          <w:sz w:val="24"/>
          <w:lang w:eastAsia="zh-CN"/>
        </w:rPr>
        <w:t>总产量。</w:t>
      </w:r>
    </w:p>
    <w:p w14:paraId="347D4B93">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hint="eastAsia" w:ascii="仿宋" w:hAnsi="宋体" w:eastAsia="仿宋" w:cs="宋体"/>
          <w:b/>
          <w:sz w:val="24"/>
          <w:lang w:eastAsia="zh-CN"/>
        </w:rPr>
        <w:t>8.3 原材料获取与投入阶段 GHG 排放量。</w:t>
      </w:r>
      <w:r>
        <w:rPr>
          <w:rFonts w:ascii="仿宋" w:eastAsia="仿宋"/>
          <w:sz w:val="24"/>
        </w:rPr>
        <w:t xml:space="preserve"> </w:t>
      </w:r>
      <w:r>
        <w:rPr>
          <w:rFonts w:hint="eastAsia" w:ascii="仿宋" w:hAnsi="宋体" w:eastAsia="仿宋" w:cs="宋体"/>
          <w:sz w:val="24"/>
          <w:lang w:eastAsia="zh-CN"/>
        </w:rPr>
        <w:t>包括：农业投入品的生产端排放，包装材料的生产端排放，以及农业投入品</w:t>
      </w:r>
      <w:r>
        <w:rPr>
          <w:rFonts w:hint="eastAsia" w:ascii="仿宋" w:eastAsia="仿宋" w:cs="宋体"/>
          <w:sz w:val="24"/>
          <w:lang w:val="en-US" w:eastAsia="zh-CN"/>
        </w:rPr>
        <w:t>和包装材料</w:t>
      </w:r>
      <w:r>
        <w:rPr>
          <w:rFonts w:hint="eastAsia" w:ascii="仿宋" w:hAnsi="宋体" w:eastAsia="仿宋" w:cs="宋体"/>
          <w:sz w:val="24"/>
          <w:lang w:eastAsia="zh-CN"/>
        </w:rPr>
        <w:t>运抵种植户的运输排放</w:t>
      </w:r>
      <w:r>
        <w:rPr>
          <w:rFonts w:hint="eastAsia" w:ascii="仿宋" w:eastAsia="仿宋" w:cs="宋体"/>
          <w:sz w:val="24"/>
          <w:lang w:eastAsia="zh-CN"/>
        </w:rPr>
        <w:t>。</w:t>
      </w:r>
    </w:p>
    <w:p w14:paraId="306D439F">
      <w:pPr>
        <w:pStyle w:val="16"/>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hint="eastAsia" w:ascii="仿宋" w:hAnsi="宋体" w:eastAsia="仿宋" w:cs="宋体"/>
          <w:b/>
          <w:sz w:val="24"/>
          <w:lang w:val="en-US" w:eastAsia="zh-CN"/>
        </w:rPr>
        <w:t>8.3.1 农业投入品上游生产端 GHG 排放量。</w:t>
      </w:r>
      <w:r>
        <w:rPr>
          <w:rFonts w:ascii="仿宋" w:eastAsia="仿宋"/>
          <w:sz w:val="24"/>
        </w:rPr>
        <w:t>种苗、化肥、有机肥、农膜等农业投入品按“投入品活动数据 × 单位投入品排放因子”计算，其中肥料活动数据以 kg N、kg P₂O₅、kg K₂O 计，农膜以 kg 计。肥料上游生产排放因子（kg CO₂e/kg 养分，源自 ecoinvent v3.12 cutoff 数据库）：尿素 2.79、硝酸铵 3.89、无机氮肥 10.80、磷酸二铵 2.06、无机磷肥 4.18、硝酸钾 3.12、无机钾肥 9.29、复合肥（NPK 15-15-15）2.00、复合肥（NPK 26-15-15）3.41。</w:t>
      </w:r>
    </w:p>
    <w:p w14:paraId="4BAA8401">
      <w:pPr>
        <w:snapToGrid/>
        <w:spacing w:beforeAutospacing="0" w:afterAutospacing="0" w:line="560" w:lineRule="exact"/>
        <w:ind w:left="0" w:leftChars="0" w:right="0" w:rightChars="0" w:firstLine="482" w:firstLineChars="0"/>
        <w:jc w:val="both"/>
        <w:rPr>
          <w:rFonts w:hint="default" w:ascii="仿宋" w:hAnsi="宋体" w:eastAsia="仿宋" w:cs="宋体"/>
          <w:b/>
          <w:sz w:val="24"/>
          <w:lang w:val="en-US" w:eastAsia="zh-CN"/>
        </w:rPr>
      </w:pPr>
      <w:r>
        <w:rPr>
          <w:rFonts w:hint="eastAsia" w:ascii="仿宋" w:hAnsi="宋体" w:eastAsia="仿宋" w:cs="宋体"/>
          <w:b/>
          <w:sz w:val="24"/>
          <w:lang w:val="en-US" w:eastAsia="zh-CN"/>
        </w:rPr>
        <w:t>8.3.</w:t>
      </w:r>
      <w:r>
        <w:rPr>
          <w:rFonts w:hint="eastAsia" w:ascii="仿宋" w:eastAsia="仿宋" w:cs="宋体"/>
          <w:b/>
          <w:sz w:val="24"/>
          <w:lang w:val="en-US" w:eastAsia="zh-CN"/>
        </w:rPr>
        <w:t>2</w:t>
      </w:r>
      <w:r>
        <w:rPr>
          <w:rFonts w:hint="eastAsia" w:ascii="仿宋" w:hAnsi="宋体" w:eastAsia="仿宋" w:cs="宋体"/>
          <w:b/>
          <w:sz w:val="24"/>
          <w:lang w:val="en-US" w:eastAsia="zh-CN"/>
        </w:rPr>
        <w:t xml:space="preserve"> 包装材料生产 GHG 排放量。</w:t>
      </w:r>
      <w:r>
        <w:rPr>
          <w:rFonts w:ascii="仿宋" w:eastAsia="仿宋"/>
          <w:sz w:val="24"/>
        </w:rPr>
        <w:t>包装材料包括瓦楞箱、EPE 网套、塑料袋、无纺布袋等，按“包装材料用量 × 包装材料排放因子”计算。包装材料排放因子（kg CO₂e/kg，源自 ecoinvent v3.12 cutoff 数据库）：瓦楞纸箱 1.3035、EPE 网套 3.3031、无纺布袋 4.2992、塑料袋 0.0331。其他未列出的包装材料与农业投入品，宜优先采用供应商提供的环境产品声明（EPD）、公开发布的本土生命周期数据库（CPCD、CLCD）或 ecoinvent 数据库对应数据，并注明来源、技术代表性与不确定性；不宜采用无来源的缺省数值。</w:t>
      </w:r>
    </w:p>
    <w:p w14:paraId="660B650C">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hint="eastAsia" w:ascii="仿宋" w:hAnsi="宋体" w:eastAsia="仿宋" w:cs="宋体"/>
          <w:b/>
          <w:sz w:val="24"/>
          <w:lang w:val="en-US" w:eastAsia="zh-CN"/>
        </w:rPr>
        <w:t>8.3.</w:t>
      </w:r>
      <w:r>
        <w:rPr>
          <w:rFonts w:hint="eastAsia" w:ascii="仿宋" w:eastAsia="仿宋" w:cs="宋体"/>
          <w:b/>
          <w:sz w:val="24"/>
          <w:lang w:val="en-US" w:eastAsia="zh-CN"/>
        </w:rPr>
        <w:t>3</w:t>
      </w:r>
      <w:r>
        <w:rPr>
          <w:rFonts w:hint="eastAsia" w:ascii="仿宋" w:hAnsi="宋体" w:eastAsia="仿宋" w:cs="宋体"/>
          <w:b/>
          <w:sz w:val="24"/>
          <w:lang w:val="en-US" w:eastAsia="zh-CN"/>
        </w:rPr>
        <w:t xml:space="preserve"> </w:t>
      </w:r>
      <w:r>
        <w:rPr>
          <w:rFonts w:hint="eastAsia" w:ascii="仿宋" w:eastAsia="仿宋" w:cs="宋体"/>
          <w:b/>
          <w:sz w:val="24"/>
          <w:lang w:val="en-US" w:eastAsia="zh-CN"/>
        </w:rPr>
        <w:t>农业投入品</w:t>
      </w:r>
      <w:r>
        <w:rPr>
          <w:rFonts w:hint="eastAsia" w:ascii="仿宋" w:hAnsi="宋体" w:eastAsia="仿宋" w:cs="宋体"/>
          <w:b/>
          <w:sz w:val="24"/>
          <w:lang w:val="en-US" w:eastAsia="zh-CN"/>
        </w:rPr>
        <w:t>及包装材料运输 GHG 排放量。</w:t>
      </w:r>
      <w:r>
        <w:rPr>
          <w:rFonts w:ascii="仿宋" w:eastAsia="仿宋"/>
          <w:sz w:val="24"/>
        </w:rPr>
        <w:t>包括农业投入品与包装材料运抵种植户或加工厂的运输，以及废弃农膜、不还田植株等农业废弃物和包装废弃物的外送运输，按“运输量 × 运输距离 × 运输方式排放因子（kg CO₂e/t·km）”计算。</w:t>
      </w:r>
    </w:p>
    <w:p w14:paraId="5A581AD9">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hint="eastAsia" w:ascii="仿宋" w:hAnsi="宋体" w:eastAsia="仿宋" w:cs="宋体"/>
          <w:b/>
          <w:sz w:val="24"/>
          <w:lang w:eastAsia="zh-CN"/>
        </w:rPr>
        <w:t xml:space="preserve">8.4 生产阶段 GHG 排放量。 </w:t>
      </w:r>
      <w:r>
        <w:rPr>
          <w:rFonts w:hint="eastAsia" w:ascii="仿宋" w:eastAsia="仿宋"/>
          <w:sz w:val="24"/>
          <w:lang w:eastAsia="zh-CN"/>
        </w:rPr>
        <w:t>包括：种植阶段与包装阶段。</w:t>
      </w:r>
    </w:p>
    <w:p w14:paraId="353126D0">
      <w:pPr>
        <w:snapToGrid/>
        <w:spacing w:beforeAutospacing="0" w:afterAutospacing="0" w:line="560" w:lineRule="exact"/>
        <w:ind w:left="0" w:leftChars="0" w:right="0" w:rightChars="0" w:firstLine="482" w:firstLineChars="0"/>
        <w:jc w:val="both"/>
        <w:rPr>
          <w:rFonts w:hint="default" w:ascii="仿宋" w:hAnsi="宋体" w:eastAsia="仿宋" w:cs="宋体"/>
          <w:b/>
          <w:sz w:val="24"/>
          <w:lang w:val="en-US" w:eastAsia="zh-CN"/>
        </w:rPr>
      </w:pPr>
      <w:r>
        <w:rPr>
          <w:rFonts w:hint="eastAsia" w:ascii="仿宋" w:hAnsi="宋体" w:eastAsia="仿宋" w:cs="宋体"/>
          <w:b/>
          <w:sz w:val="24"/>
          <w:lang w:val="en-US" w:eastAsia="zh-CN"/>
        </w:rPr>
        <w:t xml:space="preserve">8.4.1 </w:t>
      </w:r>
      <w:r>
        <w:rPr>
          <w:rFonts w:hint="eastAsia" w:ascii="仿宋" w:eastAsia="仿宋" w:cs="宋体"/>
          <w:b/>
          <w:sz w:val="24"/>
          <w:lang w:val="en-US" w:eastAsia="zh-CN"/>
        </w:rPr>
        <w:t>种植</w:t>
      </w:r>
      <w:r>
        <w:rPr>
          <w:rFonts w:hint="eastAsia" w:ascii="仿宋" w:hAnsi="宋体" w:eastAsia="仿宋" w:cs="宋体"/>
          <w:b/>
          <w:sz w:val="24"/>
          <w:lang w:eastAsia="zh-CN"/>
        </w:rPr>
        <w:t>阶段 GHG 排放量。</w:t>
      </w:r>
      <w:r>
        <w:rPr>
          <w:rFonts w:hint="eastAsia" w:ascii="仿宋" w:eastAsia="仿宋"/>
          <w:sz w:val="24"/>
          <w:lang w:eastAsia="zh-CN"/>
        </w:rPr>
        <w:t>农田 N₂O 排放量与农机耗能排放量之和，并扣减经确认的农田碳汇量。神湾菠萝属旱地作物，采用山泉水或雨水灌溉，灌溉过程不消耗能源，故无需核算灌溉相关温室气体排放。</w:t>
      </w:r>
    </w:p>
    <w:p w14:paraId="097A661A">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8.4</w:t>
      </w:r>
      <w:r>
        <w:rPr>
          <w:rFonts w:hint="eastAsia" w:ascii="仿宋" w:eastAsia="仿宋" w:cs="宋体"/>
          <w:b/>
          <w:sz w:val="24"/>
          <w:lang w:val="en-US" w:eastAsia="zh-CN"/>
        </w:rPr>
        <w:t>.1.1</w:t>
      </w:r>
      <w:r>
        <w:rPr>
          <w:rFonts w:hint="eastAsia" w:ascii="仿宋" w:hAnsi="宋体" w:eastAsia="仿宋" w:cs="宋体"/>
          <w:b/>
          <w:sz w:val="24"/>
          <w:lang w:eastAsia="zh-CN"/>
        </w:rPr>
        <w:t xml:space="preserve"> 农田 N₂O 排放量。</w:t>
      </w:r>
      <w:r>
        <w:rPr>
          <w:rFonts w:ascii="仿宋" w:eastAsia="仿宋"/>
          <w:sz w:val="24"/>
        </w:rPr>
        <w:t xml:space="preserve"> </w:t>
      </w:r>
      <w:r>
        <w:rPr>
          <w:rFonts w:hint="eastAsia" w:ascii="仿宋" w:hAnsi="宋体" w:eastAsia="仿宋" w:cs="宋体"/>
          <w:sz w:val="24"/>
          <w:lang w:eastAsia="zh-CN"/>
        </w:rPr>
        <w:t>根据</w:t>
      </w:r>
      <w:r>
        <w:rPr>
          <w:rFonts w:ascii="仿宋" w:eastAsia="仿宋"/>
          <w:sz w:val="24"/>
        </w:rPr>
        <w:t xml:space="preserve"> IPCC 2006 </w:t>
      </w:r>
      <w:r>
        <w:rPr>
          <w:rFonts w:hint="eastAsia" w:ascii="仿宋" w:hAnsi="宋体" w:eastAsia="仿宋" w:cs="宋体"/>
          <w:sz w:val="24"/>
          <w:lang w:eastAsia="zh-CN"/>
        </w:rPr>
        <w:t>指南，农田</w:t>
      </w:r>
      <w:r>
        <w:rPr>
          <w:rFonts w:ascii="仿宋" w:eastAsia="仿宋"/>
          <w:sz w:val="24"/>
        </w:rPr>
        <w:t xml:space="preserve"> N₂O </w:t>
      </w:r>
      <w:r>
        <w:rPr>
          <w:rFonts w:hint="eastAsia" w:ascii="仿宋" w:hAnsi="宋体" w:eastAsia="仿宋" w:cs="宋体"/>
          <w:sz w:val="24"/>
          <w:lang w:eastAsia="zh-CN"/>
        </w:rPr>
        <w:t>排放分为直接与间接两部分。直接排放包括化肥氮、有机肥氮及植株还田氮的排放；间接排放包括土壤和水面</w:t>
      </w:r>
      <w:r>
        <w:rPr>
          <w:rFonts w:ascii="仿宋" w:eastAsia="仿宋"/>
          <w:sz w:val="24"/>
        </w:rPr>
        <w:t xml:space="preserve"> N </w:t>
      </w:r>
      <w:r>
        <w:rPr>
          <w:rFonts w:hint="eastAsia" w:ascii="仿宋" w:hAnsi="宋体" w:eastAsia="仿宋" w:cs="宋体"/>
          <w:sz w:val="24"/>
          <w:lang w:eastAsia="zh-CN"/>
        </w:rPr>
        <w:t>大气沉积的</w:t>
      </w:r>
      <w:r>
        <w:rPr>
          <w:rFonts w:ascii="仿宋" w:eastAsia="仿宋"/>
          <w:sz w:val="24"/>
        </w:rPr>
        <w:t xml:space="preserve"> N₂O </w:t>
      </w:r>
      <w:r>
        <w:rPr>
          <w:rFonts w:hint="eastAsia" w:ascii="仿宋" w:hAnsi="宋体" w:eastAsia="仿宋" w:cs="宋体"/>
          <w:sz w:val="24"/>
          <w:lang w:eastAsia="zh-CN"/>
        </w:rPr>
        <w:t>排放以及淋溶和径流氮排放。</w:t>
      </w:r>
    </w:p>
    <w:p w14:paraId="78E5CC2D">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hint="eastAsia" w:ascii="仿宋" w:hAnsi="宋体" w:eastAsia="仿宋" w:cs="宋体"/>
          <w:sz w:val="24"/>
          <w:lang w:eastAsia="zh-CN"/>
        </w:rPr>
        <w:t>主要参数取值（广东适用）：</w:t>
      </w:r>
    </w:p>
    <w:p w14:paraId="2726E606">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sz w:val="24"/>
          <w:lang w:eastAsia="zh-CN"/>
        </w:rPr>
        <w:t>农田土壤</w:t>
      </w:r>
      <w:r>
        <w:rPr>
          <w:rFonts w:ascii="仿宋" w:eastAsia="仿宋"/>
          <w:sz w:val="24"/>
        </w:rPr>
        <w:t xml:space="preserve"> N₂O </w:t>
      </w:r>
      <w:r>
        <w:rPr>
          <w:rFonts w:hint="eastAsia" w:ascii="仿宋" w:hAnsi="宋体" w:eastAsia="仿宋" w:cs="宋体"/>
          <w:sz w:val="24"/>
          <w:lang w:eastAsia="zh-CN"/>
        </w:rPr>
        <w:t>直接排放因子</w:t>
      </w:r>
      <w:r>
        <w:rPr>
          <w:rFonts w:ascii="仿宋" w:eastAsia="仿宋"/>
          <w:sz w:val="24"/>
        </w:rPr>
        <w:t xml:space="preserve"> EFd</w:t>
      </w:r>
      <w:r>
        <w:rPr>
          <w:rFonts w:hint="eastAsia" w:ascii="仿宋" w:hAnsi="宋体" w:eastAsia="仿宋" w:cs="宋体"/>
          <w:sz w:val="24"/>
          <w:lang w:eastAsia="zh-CN"/>
        </w:rPr>
        <w:t>：广东取</w:t>
      </w:r>
      <w:r>
        <w:rPr>
          <w:rFonts w:ascii="仿宋" w:eastAsia="仿宋"/>
          <w:sz w:val="24"/>
        </w:rPr>
        <w:t xml:space="preserve"> 0.0178 kg N₂O-N/kg N</w:t>
      </w:r>
      <w:r>
        <w:rPr>
          <w:rFonts w:hint="eastAsia" w:ascii="仿宋" w:hAnsi="宋体" w:eastAsia="仿宋" w:cs="宋体"/>
          <w:sz w:val="24"/>
          <w:lang w:eastAsia="zh-CN"/>
        </w:rPr>
        <w:t>（全国其他地区</w:t>
      </w:r>
      <w:r>
        <w:rPr>
          <w:rFonts w:ascii="仿宋" w:eastAsia="仿宋"/>
          <w:sz w:val="24"/>
        </w:rPr>
        <w:t xml:space="preserve"> 0.0056</w:t>
      </w:r>
      <w:r>
        <w:rPr>
          <w:rFonts w:hint="eastAsia" w:ascii="仿宋" w:hAnsi="宋体" w:eastAsia="仿宋" w:cs="宋体"/>
          <w:sz w:val="24"/>
          <w:lang w:eastAsia="zh-CN"/>
        </w:rPr>
        <w:t>～</w:t>
      </w:r>
      <w:r>
        <w:rPr>
          <w:rFonts w:ascii="仿宋" w:eastAsia="仿宋"/>
          <w:sz w:val="24"/>
        </w:rPr>
        <w:t>0.0114 kg N₂O-N/kg N</w:t>
      </w:r>
      <w:r>
        <w:rPr>
          <w:rFonts w:hint="eastAsia" w:ascii="仿宋" w:hAnsi="宋体" w:eastAsia="仿宋" w:cs="宋体"/>
          <w:sz w:val="24"/>
          <w:lang w:eastAsia="zh-CN"/>
        </w:rPr>
        <w:t>，源自《省级温室气体清单指南（试行）》）。</w:t>
      </w:r>
    </w:p>
    <w:p w14:paraId="455641A9">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ascii="仿宋" w:eastAsia="仿宋"/>
          <w:sz w:val="24"/>
        </w:rPr>
        <w:t xml:space="preserve">- N₂O </w:t>
      </w:r>
      <w:r>
        <w:rPr>
          <w:rFonts w:hint="eastAsia" w:ascii="仿宋" w:hAnsi="宋体" w:eastAsia="仿宋" w:cs="宋体"/>
          <w:sz w:val="24"/>
          <w:lang w:eastAsia="zh-CN"/>
        </w:rPr>
        <w:t>全球增温潜势</w:t>
      </w:r>
      <w:r>
        <w:rPr>
          <w:rFonts w:ascii="仿宋" w:eastAsia="仿宋"/>
          <w:sz w:val="24"/>
        </w:rPr>
        <w:t xml:space="preserve"> GWP100</w:t>
      </w:r>
      <w:r>
        <w:rPr>
          <w:rFonts w:hint="eastAsia" w:ascii="仿宋" w:hAnsi="宋体" w:eastAsia="仿宋" w:cs="宋体"/>
          <w:sz w:val="24"/>
          <w:lang w:eastAsia="zh-CN"/>
        </w:rPr>
        <w:t>：</w:t>
      </w:r>
      <w:r>
        <w:rPr>
          <w:rFonts w:ascii="仿宋" w:eastAsia="仿宋"/>
          <w:sz w:val="24"/>
        </w:rPr>
        <w:t>273</w:t>
      </w:r>
      <w:r>
        <w:rPr>
          <w:rFonts w:hint="eastAsia" w:ascii="仿宋" w:hAnsi="宋体" w:eastAsia="仿宋" w:cs="宋体"/>
          <w:sz w:val="24"/>
          <w:lang w:eastAsia="zh-CN"/>
        </w:rPr>
        <w:t>（</w:t>
      </w:r>
      <w:r>
        <w:rPr>
          <w:rFonts w:ascii="仿宋" w:eastAsia="仿宋"/>
          <w:sz w:val="24"/>
        </w:rPr>
        <w:t>IPCC</w:t>
      </w:r>
      <w:r>
        <w:rPr>
          <w:rFonts w:hint="eastAsia" w:ascii="仿宋" w:hAnsi="宋体" w:eastAsia="仿宋" w:cs="宋体"/>
          <w:sz w:val="24"/>
          <w:lang w:eastAsia="zh-CN"/>
        </w:rPr>
        <w:t>，</w:t>
      </w:r>
      <w:r>
        <w:rPr>
          <w:rFonts w:ascii="仿宋" w:eastAsia="仿宋"/>
          <w:sz w:val="24"/>
        </w:rPr>
        <w:t>2021</w:t>
      </w:r>
      <w:r>
        <w:rPr>
          <w:rFonts w:hint="eastAsia" w:ascii="仿宋" w:hAnsi="宋体" w:eastAsia="仿宋" w:cs="宋体"/>
          <w:sz w:val="24"/>
          <w:lang w:eastAsia="zh-CN"/>
        </w:rPr>
        <w:t>）。</w:t>
      </w:r>
    </w:p>
    <w:p w14:paraId="49BFC623">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sz w:val="24"/>
          <w:lang w:eastAsia="zh-CN"/>
        </w:rPr>
        <w:t>化肥气态氮损失比例</w:t>
      </w:r>
      <w:r>
        <w:rPr>
          <w:rFonts w:ascii="仿宋" w:eastAsia="仿宋"/>
          <w:sz w:val="24"/>
        </w:rPr>
        <w:t xml:space="preserve"> FracSN</w:t>
      </w:r>
      <w:r>
        <w:rPr>
          <w:rFonts w:hint="eastAsia" w:ascii="仿宋" w:hAnsi="宋体" w:eastAsia="仿宋" w:cs="宋体"/>
          <w:sz w:val="24"/>
          <w:lang w:eastAsia="zh-CN"/>
        </w:rPr>
        <w:t>：</w:t>
      </w:r>
      <w:r>
        <w:rPr>
          <w:rFonts w:ascii="仿宋" w:eastAsia="仿宋"/>
          <w:sz w:val="24"/>
        </w:rPr>
        <w:t>0.11</w:t>
      </w:r>
      <w:r>
        <w:rPr>
          <w:rFonts w:hint="eastAsia" w:ascii="仿宋" w:hAnsi="宋体" w:eastAsia="仿宋" w:cs="宋体"/>
          <w:sz w:val="24"/>
          <w:lang w:eastAsia="zh-CN"/>
        </w:rPr>
        <w:t>（</w:t>
      </w:r>
      <w:r>
        <w:rPr>
          <w:rFonts w:ascii="仿宋" w:eastAsia="仿宋"/>
          <w:sz w:val="24"/>
        </w:rPr>
        <w:t>11%</w:t>
      </w:r>
      <w:r>
        <w:rPr>
          <w:rFonts w:hint="eastAsia" w:ascii="仿宋" w:hAnsi="宋体" w:eastAsia="仿宋" w:cs="宋体"/>
          <w:sz w:val="24"/>
          <w:lang w:eastAsia="zh-CN"/>
        </w:rPr>
        <w:t>）；有机肥气态氮损失比例</w:t>
      </w:r>
      <w:r>
        <w:rPr>
          <w:rFonts w:ascii="仿宋" w:eastAsia="仿宋"/>
          <w:sz w:val="24"/>
        </w:rPr>
        <w:t xml:space="preserve"> FracON</w:t>
      </w:r>
      <w:r>
        <w:rPr>
          <w:rFonts w:hint="eastAsia" w:ascii="仿宋" w:hAnsi="宋体" w:eastAsia="仿宋" w:cs="宋体"/>
          <w:sz w:val="24"/>
          <w:lang w:eastAsia="zh-CN"/>
        </w:rPr>
        <w:t>：</w:t>
      </w:r>
      <w:r>
        <w:rPr>
          <w:rFonts w:ascii="仿宋" w:eastAsia="仿宋"/>
          <w:sz w:val="24"/>
        </w:rPr>
        <w:t>0.21</w:t>
      </w:r>
      <w:r>
        <w:rPr>
          <w:rFonts w:hint="eastAsia" w:ascii="仿宋" w:hAnsi="宋体" w:eastAsia="仿宋" w:cs="宋体"/>
          <w:sz w:val="24"/>
          <w:lang w:eastAsia="zh-CN"/>
        </w:rPr>
        <w:t>（</w:t>
      </w:r>
      <w:r>
        <w:rPr>
          <w:rFonts w:ascii="仿宋" w:eastAsia="仿宋"/>
          <w:sz w:val="24"/>
        </w:rPr>
        <w:t>21%</w:t>
      </w:r>
      <w:r>
        <w:rPr>
          <w:rFonts w:hint="eastAsia" w:ascii="仿宋" w:hAnsi="宋体" w:eastAsia="仿宋" w:cs="宋体"/>
          <w:sz w:val="24"/>
          <w:lang w:eastAsia="zh-CN"/>
        </w:rPr>
        <w:t>）。</w:t>
      </w:r>
    </w:p>
    <w:p w14:paraId="10C3BD21">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sz w:val="24"/>
          <w:lang w:eastAsia="zh-CN"/>
        </w:rPr>
        <w:t>氮淋溶及径流损失比例</w:t>
      </w:r>
      <w:r>
        <w:rPr>
          <w:rFonts w:ascii="仿宋" w:eastAsia="仿宋"/>
          <w:sz w:val="24"/>
        </w:rPr>
        <w:t xml:space="preserve"> Fracleach/run</w:t>
      </w:r>
      <w:r>
        <w:rPr>
          <w:rFonts w:hint="eastAsia" w:ascii="仿宋" w:hAnsi="宋体" w:eastAsia="仿宋" w:cs="宋体"/>
          <w:sz w:val="24"/>
          <w:lang w:eastAsia="zh-CN"/>
        </w:rPr>
        <w:t>：</w:t>
      </w:r>
      <w:r>
        <w:rPr>
          <w:rFonts w:ascii="仿宋" w:eastAsia="仿宋"/>
          <w:sz w:val="24"/>
        </w:rPr>
        <w:t>0.24</w:t>
      </w:r>
      <w:r>
        <w:rPr>
          <w:rFonts w:hint="eastAsia" w:ascii="仿宋" w:hAnsi="宋体" w:eastAsia="仿宋" w:cs="宋体"/>
          <w:sz w:val="24"/>
          <w:lang w:eastAsia="zh-CN"/>
        </w:rPr>
        <w:t>（</w:t>
      </w:r>
      <w:r>
        <w:rPr>
          <w:rFonts w:ascii="仿宋" w:eastAsia="仿宋"/>
          <w:sz w:val="24"/>
        </w:rPr>
        <w:t>24%</w:t>
      </w:r>
      <w:r>
        <w:rPr>
          <w:rFonts w:hint="eastAsia" w:ascii="仿宋" w:hAnsi="宋体" w:eastAsia="仿宋" w:cs="宋体"/>
          <w:sz w:val="24"/>
          <w:lang w:eastAsia="zh-CN"/>
        </w:rPr>
        <w:t>）。</w:t>
      </w:r>
    </w:p>
    <w:p w14:paraId="361D401A">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sz w:val="24"/>
          <w:lang w:eastAsia="zh-CN"/>
        </w:rPr>
        <w:t>氮挥发沉降</w:t>
      </w:r>
      <w:r>
        <w:rPr>
          <w:rFonts w:ascii="仿宋" w:eastAsia="仿宋"/>
          <w:sz w:val="24"/>
        </w:rPr>
        <w:t xml:space="preserve"> N₂O </w:t>
      </w:r>
      <w:r>
        <w:rPr>
          <w:rFonts w:hint="eastAsia" w:ascii="仿宋" w:hAnsi="宋体" w:eastAsia="仿宋" w:cs="宋体"/>
          <w:sz w:val="24"/>
          <w:lang w:eastAsia="zh-CN"/>
        </w:rPr>
        <w:t>排放因子：</w:t>
      </w:r>
      <w:r>
        <w:rPr>
          <w:rFonts w:ascii="仿宋" w:eastAsia="仿宋"/>
          <w:sz w:val="24"/>
        </w:rPr>
        <w:t>0.014 kg N₂O-N/kg N</w:t>
      </w:r>
      <w:r>
        <w:rPr>
          <w:rFonts w:hint="eastAsia" w:ascii="仿宋" w:hAnsi="宋体" w:eastAsia="仿宋" w:cs="宋体"/>
          <w:sz w:val="24"/>
          <w:lang w:eastAsia="zh-CN"/>
        </w:rPr>
        <w:t>；氮淋溶径流</w:t>
      </w:r>
      <w:r>
        <w:rPr>
          <w:rFonts w:ascii="仿宋" w:eastAsia="仿宋"/>
          <w:sz w:val="24"/>
        </w:rPr>
        <w:t xml:space="preserve"> N₂O </w:t>
      </w:r>
      <w:r>
        <w:rPr>
          <w:rFonts w:hint="eastAsia" w:ascii="仿宋" w:hAnsi="宋体" w:eastAsia="仿宋" w:cs="宋体"/>
          <w:sz w:val="24"/>
          <w:lang w:eastAsia="zh-CN"/>
        </w:rPr>
        <w:t>排放因子：</w:t>
      </w:r>
      <w:r>
        <w:rPr>
          <w:rFonts w:ascii="仿宋" w:eastAsia="仿宋"/>
          <w:sz w:val="24"/>
        </w:rPr>
        <w:t>0.011 kg N₂O-N/kg N</w:t>
      </w:r>
      <w:r>
        <w:rPr>
          <w:rFonts w:hint="eastAsia" w:ascii="仿宋" w:hAnsi="宋体" w:eastAsia="仿宋" w:cs="宋体"/>
          <w:sz w:val="24"/>
          <w:lang w:eastAsia="zh-CN"/>
        </w:rPr>
        <w:t>（源自</w:t>
      </w:r>
      <w:r>
        <w:rPr>
          <w:rFonts w:ascii="仿宋" w:eastAsia="仿宋"/>
          <w:sz w:val="24"/>
        </w:rPr>
        <w:t xml:space="preserve"> 2019 Refinement to the 2006 IPCC Guidelines</w:t>
      </w:r>
      <w:r>
        <w:rPr>
          <w:rFonts w:hint="eastAsia" w:ascii="仿宋" w:hAnsi="宋体" w:eastAsia="仿宋" w:cs="宋体"/>
          <w:sz w:val="24"/>
          <w:lang w:eastAsia="zh-CN"/>
        </w:rPr>
        <w:t>）。</w:t>
      </w:r>
    </w:p>
    <w:p w14:paraId="180B9030">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hint="eastAsia" w:ascii="仿宋" w:hAnsi="宋体" w:eastAsia="仿宋" w:cs="宋体"/>
          <w:b/>
          <w:sz w:val="24"/>
          <w:lang w:eastAsia="zh-CN"/>
        </w:rPr>
        <w:t>8.4</w:t>
      </w:r>
      <w:r>
        <w:rPr>
          <w:rFonts w:hint="eastAsia" w:ascii="仿宋" w:eastAsia="仿宋" w:cs="宋体"/>
          <w:b/>
          <w:sz w:val="24"/>
          <w:lang w:val="en-US" w:eastAsia="zh-CN"/>
        </w:rPr>
        <w:t>.1.2</w:t>
      </w:r>
      <w:r>
        <w:rPr>
          <w:rFonts w:hint="eastAsia" w:ascii="仿宋" w:hAnsi="宋体" w:eastAsia="仿宋" w:cs="宋体"/>
          <w:b/>
          <w:sz w:val="24"/>
          <w:lang w:eastAsia="zh-CN"/>
        </w:rPr>
        <w:t xml:space="preserve"> 农机耗能产生的 GHG 排放量。</w:t>
      </w:r>
      <w:r>
        <w:rPr>
          <w:rFonts w:hint="eastAsia" w:ascii="仿宋" w:eastAsia="仿宋"/>
          <w:sz w:val="24"/>
          <w:lang w:eastAsia="zh-CN"/>
        </w:rPr>
        <w:t>农机作业耗能及母株清园作业耗能排放按“耗电量 × 区域电网排放因子”加“化石燃料消耗 × 对应排放因子”计算。广东电网排放因子取 0.4403 kg CO₂e/kW·h。柴油（固定源）3.1081、柴油（非道路移动源）3.1480、汽油（非道路四冲程）3.0127、汽油（非道路二冲程）3.1608 kg CO₂e/kg（源自已发布排放因子公告及 IPCC 2021；体积计量时按 20 ℃ 密度折算为质量，柴油 0.835 kg/L、汽油 0.725 kg/L）。当燃料消耗量以体积（L）计量时，应按 20 ℃ 密度折算为质量后使用；如能获得燃料实测密度或结算吨升折算系数，宜优先采用实测值。</w:t>
      </w:r>
    </w:p>
    <w:p w14:paraId="24155133">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8.</w:t>
      </w:r>
      <w:r>
        <w:rPr>
          <w:rFonts w:hint="eastAsia" w:ascii="仿宋" w:eastAsia="仿宋" w:cs="宋体"/>
          <w:b/>
          <w:sz w:val="24"/>
          <w:lang w:val="en-US" w:eastAsia="zh-CN"/>
        </w:rPr>
        <w:t>4.1.3</w:t>
      </w:r>
      <w:r>
        <w:rPr>
          <w:rFonts w:hint="eastAsia" w:ascii="仿宋" w:hAnsi="宋体" w:eastAsia="仿宋" w:cs="宋体"/>
          <w:b/>
          <w:sz w:val="24"/>
          <w:lang w:eastAsia="zh-CN"/>
        </w:rPr>
        <w:t xml:space="preserve"> 清除量与碳汇处理。</w:t>
      </w:r>
      <w:r>
        <w:rPr>
          <w:rFonts w:ascii="仿宋" w:eastAsia="仿宋"/>
          <w:sz w:val="24"/>
        </w:rPr>
        <w:t xml:space="preserve"> </w:t>
      </w:r>
      <w:r>
        <w:rPr>
          <w:rFonts w:hint="eastAsia" w:ascii="仿宋" w:hAnsi="宋体" w:eastAsia="仿宋" w:cs="宋体"/>
          <w:sz w:val="24"/>
          <w:lang w:eastAsia="zh-CN"/>
        </w:rPr>
        <w:t>可纳入核算的碳汇包括植株活体生物量碳、枯落物碳、土壤有机碳变化（</w:t>
      </w:r>
      <w:r>
        <w:rPr>
          <w:rFonts w:ascii="仿宋" w:eastAsia="仿宋"/>
          <w:sz w:val="24"/>
        </w:rPr>
        <w:t>ΔSOC</w:t>
      </w:r>
      <w:r>
        <w:rPr>
          <w:rFonts w:hint="eastAsia" w:ascii="仿宋" w:hAnsi="宋体" w:eastAsia="仿宋" w:cs="宋体"/>
          <w:sz w:val="24"/>
          <w:lang w:eastAsia="zh-CN"/>
        </w:rPr>
        <w:t>）。处理边界明确：</w:t>
      </w:r>
      <w:r>
        <w:rPr>
          <w:rFonts w:ascii="仿宋" w:eastAsia="仿宋"/>
          <w:sz w:val="24"/>
        </w:rPr>
        <w:t>①</w:t>
      </w:r>
      <w:r>
        <w:rPr>
          <w:rFonts w:hint="eastAsia" w:ascii="仿宋" w:hAnsi="宋体" w:eastAsia="仿宋" w:cs="宋体"/>
          <w:sz w:val="24"/>
          <w:lang w:eastAsia="zh-CN"/>
        </w:rPr>
        <w:t>植株生物量碳属临时碳储存，果实采收后随消费及残体分解短期内释放回大气，净贡献约等于零，仅作信息项单独披露，不参与碳足迹抵扣；</w:t>
      </w:r>
      <w:r>
        <w:rPr>
          <w:rFonts w:ascii="仿宋" w:eastAsia="仿宋"/>
          <w:sz w:val="24"/>
        </w:rPr>
        <w:t>②</w:t>
      </w:r>
      <w:r>
        <w:rPr>
          <w:rFonts w:hint="eastAsia" w:ascii="仿宋" w:hAnsi="宋体" w:eastAsia="仿宋" w:cs="宋体"/>
          <w:sz w:val="24"/>
          <w:lang w:eastAsia="zh-CN"/>
        </w:rPr>
        <w:t>枯落物碳须证明其进入稳定土壤有机碳库且经实测土壤有机碳净增加（</w:t>
      </w:r>
      <w:r>
        <w:rPr>
          <w:rFonts w:ascii="仿宋" w:eastAsia="仿宋"/>
          <w:sz w:val="24"/>
        </w:rPr>
        <w:t>ΔSOC</w:t>
      </w:r>
      <w:r>
        <w:rPr>
          <w:rFonts w:hint="eastAsia" w:ascii="仿宋" w:hAnsi="宋体" w:eastAsia="仿宋" w:cs="宋体"/>
          <w:sz w:val="24"/>
          <w:lang w:eastAsia="zh-CN"/>
        </w:rPr>
        <w:t>＞</w:t>
      </w:r>
      <w:r>
        <w:rPr>
          <w:rFonts w:ascii="仿宋" w:eastAsia="仿宋"/>
          <w:sz w:val="24"/>
        </w:rPr>
        <w:t>0</w:t>
      </w:r>
      <w:r>
        <w:rPr>
          <w:rFonts w:hint="eastAsia" w:ascii="仿宋" w:hAnsi="宋体" w:eastAsia="仿宋" w:cs="宋体"/>
          <w:sz w:val="24"/>
          <w:lang w:eastAsia="zh-CN"/>
        </w:rPr>
        <w:t>）方可计入清除量，主张提供不少于</w:t>
      </w:r>
      <w:r>
        <w:rPr>
          <w:rFonts w:ascii="仿宋" w:eastAsia="仿宋"/>
          <w:sz w:val="24"/>
        </w:rPr>
        <w:t xml:space="preserve"> 3 </w:t>
      </w:r>
      <w:r>
        <w:rPr>
          <w:rFonts w:hint="eastAsia" w:ascii="仿宋" w:hAnsi="宋体" w:eastAsia="仿宋" w:cs="宋体"/>
          <w:sz w:val="24"/>
          <w:lang w:eastAsia="zh-CN"/>
        </w:rPr>
        <w:t>年的定位实测证据，无证据时仅作披露、不抵扣；</w:t>
      </w:r>
      <w:r>
        <w:rPr>
          <w:rFonts w:ascii="仿宋" w:eastAsia="仿宋"/>
          <w:sz w:val="24"/>
        </w:rPr>
        <w:t>③</w:t>
      </w:r>
      <w:r>
        <w:rPr>
          <w:rFonts w:hint="eastAsia" w:ascii="仿宋" w:hAnsi="宋体" w:eastAsia="仿宋" w:cs="宋体"/>
          <w:sz w:val="24"/>
          <w:lang w:eastAsia="zh-CN"/>
        </w:rPr>
        <w:t>土壤有机碳变化（</w:t>
      </w:r>
      <w:r>
        <w:rPr>
          <w:rFonts w:ascii="仿宋" w:eastAsia="仿宋"/>
          <w:sz w:val="24"/>
        </w:rPr>
        <w:t>ΔSOC</w:t>
      </w:r>
      <w:r>
        <w:rPr>
          <w:rFonts w:hint="eastAsia" w:ascii="仿宋" w:hAnsi="宋体" w:eastAsia="仿宋" w:cs="宋体"/>
          <w:sz w:val="24"/>
          <w:lang w:eastAsia="zh-CN"/>
        </w:rPr>
        <w:t>）作为清除量计入，须同时满足：基于不少于</w:t>
      </w:r>
      <w:r>
        <w:rPr>
          <w:rFonts w:ascii="仿宋" w:eastAsia="仿宋"/>
          <w:sz w:val="24"/>
        </w:rPr>
        <w:t xml:space="preserve"> 3 </w:t>
      </w:r>
      <w:r>
        <w:rPr>
          <w:rFonts w:hint="eastAsia" w:ascii="仿宋" w:hAnsi="宋体" w:eastAsia="仿宋" w:cs="宋体"/>
          <w:sz w:val="24"/>
          <w:lang w:eastAsia="zh-CN"/>
        </w:rPr>
        <w:t>年的定位重复实测、采用等效土壤质量法校正、相对</w:t>
      </w:r>
      <w:r>
        <w:rPr>
          <w:rFonts w:ascii="仿宋" w:eastAsia="仿宋"/>
          <w:sz w:val="24"/>
        </w:rPr>
        <w:t>"</w:t>
      </w:r>
      <w:r>
        <w:rPr>
          <w:rFonts w:hint="eastAsia" w:ascii="仿宋" w:hAnsi="宋体" w:eastAsia="仿宋" w:cs="宋体"/>
          <w:sz w:val="24"/>
          <w:lang w:eastAsia="zh-CN"/>
        </w:rPr>
        <w:t>一切照旧</w:t>
      </w:r>
      <w:r>
        <w:rPr>
          <w:rFonts w:ascii="仿宋" w:eastAsia="仿宋"/>
          <w:sz w:val="24"/>
        </w:rPr>
        <w:t>"</w:t>
      </w:r>
      <w:r>
        <w:rPr>
          <w:rFonts w:hint="eastAsia" w:ascii="仿宋" w:hAnsi="宋体" w:eastAsia="仿宋" w:cs="宋体"/>
          <w:sz w:val="24"/>
          <w:lang w:eastAsia="zh-CN"/>
        </w:rPr>
        <w:t>基线</w:t>
      </w:r>
      <w:r>
        <w:rPr>
          <w:rFonts w:ascii="仿宋" w:eastAsia="仿宋"/>
          <w:sz w:val="24"/>
        </w:rPr>
        <w:t xml:space="preserve"> ΔSOC</w:t>
      </w:r>
      <w:r>
        <w:rPr>
          <w:rFonts w:hint="eastAsia" w:ascii="仿宋" w:hAnsi="宋体" w:eastAsia="仿宋" w:cs="宋体"/>
          <w:sz w:val="24"/>
          <w:lang w:eastAsia="zh-CN"/>
        </w:rPr>
        <w:t>＞</w:t>
      </w:r>
      <w:r>
        <w:rPr>
          <w:rFonts w:ascii="仿宋" w:eastAsia="仿宋"/>
          <w:sz w:val="24"/>
        </w:rPr>
        <w:t>0</w:t>
      </w:r>
      <w:r>
        <w:rPr>
          <w:rFonts w:hint="eastAsia" w:ascii="仿宋" w:hAnsi="宋体" w:eastAsia="仿宋" w:cs="宋体"/>
          <w:sz w:val="24"/>
          <w:lang w:eastAsia="zh-CN"/>
        </w:rPr>
        <w:t>、碳增量由特定管理措施改变带来（额外性）；因土地利用变化引起的碳变化不计入，连作导致土壤有机碳下降的不得计入；</w:t>
      </w:r>
      <w:r>
        <w:rPr>
          <w:rFonts w:ascii="仿宋" w:eastAsia="仿宋"/>
          <w:sz w:val="24"/>
        </w:rPr>
        <w:t>④</w:t>
      </w:r>
      <w:r>
        <w:rPr>
          <w:rFonts w:hint="eastAsia" w:ascii="仿宋" w:hAnsi="宋体" w:eastAsia="仿宋" w:cs="宋体"/>
          <w:sz w:val="24"/>
          <w:lang w:eastAsia="zh-CN"/>
        </w:rPr>
        <w:t>单季或短期（不足</w:t>
      </w:r>
      <w:r>
        <w:rPr>
          <w:rFonts w:ascii="仿宋" w:eastAsia="仿宋"/>
          <w:sz w:val="24"/>
        </w:rPr>
        <w:t xml:space="preserve"> 3 </w:t>
      </w:r>
      <w:r>
        <w:rPr>
          <w:rFonts w:hint="eastAsia" w:ascii="仿宋" w:hAnsi="宋体" w:eastAsia="仿宋" w:cs="宋体"/>
          <w:sz w:val="24"/>
          <w:lang w:eastAsia="zh-CN"/>
        </w:rPr>
        <w:t>年）观测所得土壤碳升高，不构成净增证据，不得作为永久碳汇抵扣；</w:t>
      </w:r>
      <w:r>
        <w:rPr>
          <w:rFonts w:ascii="仿宋" w:eastAsia="仿宋"/>
          <w:sz w:val="24"/>
        </w:rPr>
        <w:t>⑤</w:t>
      </w:r>
      <w:r>
        <w:rPr>
          <w:rFonts w:hint="eastAsia" w:ascii="仿宋" w:hAnsi="宋体" w:eastAsia="仿宋" w:cs="宋体"/>
          <w:sz w:val="24"/>
          <w:lang w:eastAsia="zh-CN"/>
        </w:rPr>
        <w:t>植株自然生长、呼吸同化与释放的碳属自然过程，不视为额外人为排放，不单独计入。</w:t>
      </w:r>
    </w:p>
    <w:p w14:paraId="4D13F3DA">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8.</w:t>
      </w:r>
      <w:r>
        <w:rPr>
          <w:rFonts w:hint="eastAsia" w:ascii="仿宋" w:eastAsia="仿宋" w:cs="宋体"/>
          <w:b/>
          <w:sz w:val="24"/>
          <w:lang w:val="en-US" w:eastAsia="zh-CN"/>
        </w:rPr>
        <w:t>4.2</w:t>
      </w:r>
      <w:r>
        <w:rPr>
          <w:rFonts w:hint="eastAsia" w:ascii="仿宋" w:hAnsi="宋体" w:eastAsia="仿宋" w:cs="宋体"/>
          <w:b/>
          <w:sz w:val="24"/>
          <w:lang w:eastAsia="zh-CN"/>
        </w:rPr>
        <w:t xml:space="preserve"> 包装阶段 GHG 排放量。</w:t>
      </w:r>
      <w:r>
        <w:rPr>
          <w:rFonts w:ascii="仿宋" w:eastAsia="仿宋"/>
          <w:sz w:val="24"/>
        </w:rPr>
        <w:t xml:space="preserve"> </w:t>
      </w:r>
      <w:r>
        <w:rPr>
          <w:rFonts w:hint="eastAsia" w:ascii="仿宋" w:eastAsia="仿宋"/>
          <w:sz w:val="24"/>
        </w:rPr>
        <w:t>包装作业分为人工包装或机器包装，人工包装不产生温室气体排放；机器包装根据耗能计算。</w:t>
      </w:r>
    </w:p>
    <w:p w14:paraId="2691EF00">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b/>
          <w:sz w:val="24"/>
          <w:lang w:eastAsia="zh-CN"/>
        </w:rPr>
        <w:t>8.10 结果汇总与不确定性分析。</w:t>
      </w:r>
      <w:r>
        <w:rPr>
          <w:rFonts w:ascii="仿宋" w:eastAsia="仿宋"/>
          <w:sz w:val="24"/>
        </w:rPr>
        <w:t xml:space="preserve"> </w:t>
      </w:r>
      <w:r>
        <w:rPr>
          <w:rFonts w:hint="eastAsia" w:ascii="仿宋" w:hAnsi="宋体" w:eastAsia="仿宋" w:cs="宋体"/>
          <w:sz w:val="24"/>
          <w:lang w:eastAsia="zh-CN"/>
        </w:rPr>
        <w:t>按公式汇总功能单位碳足迹后，宜同时列出鲜果与芽苗分配结果及各环节排放贡献占比。宜对活动数据与排放因子开展不确定性分析，并对肥料施用量、植株还田量与还田比例、芽苗分配产值、包装材料用量、运输距离等关键参数开展敏感性分析（推荐</w:t>
      </w:r>
      <w:r>
        <w:rPr>
          <w:rFonts w:ascii="仿宋" w:eastAsia="仿宋"/>
          <w:sz w:val="24"/>
        </w:rPr>
        <w:t xml:space="preserve"> ±10% </w:t>
      </w:r>
      <w:r>
        <w:rPr>
          <w:rFonts w:hint="eastAsia" w:ascii="仿宋" w:hAnsi="宋体" w:eastAsia="仿宋" w:cs="宋体"/>
          <w:sz w:val="24"/>
          <w:lang w:eastAsia="zh-CN"/>
        </w:rPr>
        <w:t>扰动），识别显著影响结果的参数，在核算报告中说明结果稳定程度。残留还田与生物量参数缺省值（宜实测，缺省参照</w:t>
      </w:r>
      <w:r>
        <w:rPr>
          <w:rFonts w:ascii="仿宋" w:eastAsia="仿宋"/>
          <w:sz w:val="24"/>
        </w:rPr>
        <w:t xml:space="preserve"> T/CGFA 012—2025 </w:t>
      </w:r>
      <w:r>
        <w:rPr>
          <w:rFonts w:hint="eastAsia" w:ascii="仿宋" w:hAnsi="宋体" w:eastAsia="仿宋" w:cs="宋体"/>
          <w:sz w:val="24"/>
          <w:lang w:eastAsia="zh-CN"/>
        </w:rPr>
        <w:t>相近作物取值）：收获指数</w:t>
      </w:r>
      <w:r>
        <w:rPr>
          <w:rFonts w:ascii="仿宋" w:eastAsia="仿宋"/>
          <w:sz w:val="24"/>
        </w:rPr>
        <w:t xml:space="preserve"> E 0.30</w:t>
      </w:r>
      <w:r>
        <w:rPr>
          <w:rFonts w:hint="eastAsia" w:ascii="仿宋" w:hAnsi="宋体" w:eastAsia="仿宋" w:cs="宋体"/>
          <w:sz w:val="24"/>
          <w:lang w:eastAsia="zh-CN"/>
        </w:rPr>
        <w:t>、根冠比</w:t>
      </w:r>
      <w:r>
        <w:rPr>
          <w:rFonts w:ascii="仿宋" w:eastAsia="仿宋"/>
          <w:sz w:val="24"/>
        </w:rPr>
        <w:t xml:space="preserve"> RS 0.20</w:t>
      </w:r>
      <w:r>
        <w:rPr>
          <w:rFonts w:hint="eastAsia" w:ascii="仿宋" w:hAnsi="宋体" w:eastAsia="仿宋" w:cs="宋体"/>
          <w:sz w:val="24"/>
          <w:lang w:eastAsia="zh-CN"/>
        </w:rPr>
        <w:t>、植株根系含氮量</w:t>
      </w:r>
      <w:r>
        <w:rPr>
          <w:rFonts w:ascii="仿宋" w:eastAsia="仿宋"/>
          <w:sz w:val="24"/>
        </w:rPr>
        <w:t xml:space="preserve"> RN 0.0080 kg N/kg</w:t>
      </w:r>
      <w:r>
        <w:rPr>
          <w:rFonts w:hint="eastAsia" w:ascii="仿宋" w:hAnsi="宋体" w:eastAsia="仿宋" w:cs="宋体"/>
          <w:sz w:val="24"/>
          <w:lang w:eastAsia="zh-CN"/>
        </w:rPr>
        <w:t>、植株还田比例</w:t>
      </w:r>
      <w:r>
        <w:rPr>
          <w:rFonts w:ascii="仿宋" w:eastAsia="仿宋"/>
          <w:sz w:val="24"/>
        </w:rPr>
        <w:t xml:space="preserve"> R 1.0</w:t>
      </w:r>
      <w:r>
        <w:rPr>
          <w:rFonts w:hint="eastAsia" w:ascii="仿宋" w:hAnsi="宋体" w:eastAsia="仿宋" w:cs="宋体"/>
          <w:sz w:val="24"/>
          <w:lang w:eastAsia="zh-CN"/>
        </w:rPr>
        <w:t>、残株含碳率</w:t>
      </w:r>
      <w:r>
        <w:rPr>
          <w:rFonts w:ascii="仿宋" w:eastAsia="仿宋"/>
          <w:sz w:val="24"/>
        </w:rPr>
        <w:t xml:space="preserve"> C 0.45</w:t>
      </w:r>
      <w:r>
        <w:rPr>
          <w:rFonts w:hint="eastAsia" w:ascii="仿宋" w:hAnsi="宋体" w:eastAsia="仿宋" w:cs="宋体"/>
          <w:sz w:val="24"/>
          <w:lang w:eastAsia="zh-CN"/>
        </w:rPr>
        <w:t>、枯落物分解常数</w:t>
      </w:r>
      <w:r>
        <w:rPr>
          <w:rFonts w:ascii="仿宋" w:eastAsia="仿宋"/>
          <w:sz w:val="24"/>
        </w:rPr>
        <w:t xml:space="preserve"> k 0.50</w:t>
      </w:r>
      <w:r>
        <w:rPr>
          <w:rFonts w:hint="eastAsia" w:ascii="仿宋" w:hAnsi="宋体" w:eastAsia="仿宋" w:cs="宋体"/>
          <w:sz w:val="24"/>
          <w:lang w:eastAsia="zh-CN"/>
        </w:rPr>
        <w:t>、年土壤有机碳净变化速率</w:t>
      </w:r>
      <w:r>
        <w:rPr>
          <w:rFonts w:ascii="仿宋" w:eastAsia="仿宋"/>
          <w:sz w:val="24"/>
        </w:rPr>
        <w:t xml:space="preserve"> rSOC </w:t>
      </w:r>
      <w:r>
        <w:rPr>
          <w:rFonts w:hint="eastAsia" w:ascii="仿宋" w:hAnsi="宋体" w:eastAsia="仿宋" w:cs="宋体"/>
          <w:sz w:val="24"/>
          <w:lang w:eastAsia="zh-CN"/>
        </w:rPr>
        <w:t>宜实测。</w:t>
      </w:r>
    </w:p>
    <w:p w14:paraId="5F3F86C3">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9. 核算报告</w:t>
      </w:r>
    </w:p>
    <w:p w14:paraId="42AD82A5">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核算报告至少应包括核算主体基本信息、概述、功能单位、系统边界、数据收集与处理、核算结果、结果解释等部分；应说明所采用的分配方法与依据、取舍环节及依据、清除量的处理方式、数据的不确定性和局限性；宜披露植株与枯落物碳（信息项）、芽苗产量去向及分配依据、各阶段排放贡献占比与关键排放环节识别、敏感性与不确定性分析结果。报告模板见附录</w:t>
      </w:r>
      <w:r>
        <w:rPr>
          <w:rFonts w:ascii="仿宋" w:eastAsia="仿宋"/>
          <w:sz w:val="24"/>
        </w:rPr>
        <w:t xml:space="preserve"> C</w:t>
      </w:r>
      <w:r>
        <w:rPr>
          <w:rFonts w:hint="eastAsia" w:ascii="仿宋" w:hAnsi="宋体" w:eastAsia="仿宋" w:cs="宋体"/>
          <w:sz w:val="24"/>
          <w:lang w:eastAsia="zh-CN"/>
        </w:rPr>
        <w:t>。</w:t>
      </w:r>
    </w:p>
    <w:p w14:paraId="1E4101C4">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10. 声明标识</w:t>
      </w:r>
    </w:p>
    <w:p w14:paraId="6853CDDB">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如需声明时，可按照</w:t>
      </w:r>
      <w:r>
        <w:rPr>
          <w:rFonts w:ascii="仿宋" w:eastAsia="仿宋"/>
          <w:sz w:val="24"/>
        </w:rPr>
        <w:t xml:space="preserve"> GB/T 24025 </w:t>
      </w:r>
      <w:r>
        <w:rPr>
          <w:rFonts w:hint="eastAsia" w:ascii="仿宋" w:hAnsi="宋体" w:eastAsia="仿宋" w:cs="宋体"/>
          <w:sz w:val="24"/>
          <w:lang w:eastAsia="zh-CN"/>
        </w:rPr>
        <w:t>或</w:t>
      </w:r>
      <w:r>
        <w:rPr>
          <w:rFonts w:ascii="仿宋" w:eastAsia="仿宋"/>
          <w:sz w:val="24"/>
        </w:rPr>
        <w:t xml:space="preserve"> ISO 14026 </w:t>
      </w:r>
      <w:r>
        <w:rPr>
          <w:rFonts w:hint="eastAsia" w:ascii="仿宋" w:hAnsi="宋体" w:eastAsia="仿宋" w:cs="宋体"/>
          <w:sz w:val="24"/>
          <w:lang w:eastAsia="zh-CN"/>
        </w:rPr>
        <w:t>的规定进行，确保声明的科学性与规范性；同时可遵循《广东产品碳足迹评价与标识管理暂行办法》的要求开展工作。</w:t>
      </w:r>
    </w:p>
    <w:p w14:paraId="6B40EF58">
      <w:pPr>
        <w:pStyle w:val="4"/>
        <w:numPr>
          <w:ilvl w:val="1"/>
          <w:numId w:val="0"/>
        </w:numPr>
        <w:snapToGrid/>
        <w:spacing w:before="200" w:beforeLines="0" w:beforeAutospacing="0" w:after="100" w:afterLines="0" w:afterAutospacing="0" w:line="240" w:lineRule="auto"/>
        <w:ind w:leftChars="0" w:right="0" w:rightChars="0"/>
        <w:jc w:val="left"/>
        <w:outlineLvl w:val="1"/>
        <w:rPr>
          <w:rFonts w:ascii="楷体" w:eastAsia="楷体"/>
          <w:b w:val="0"/>
          <w:sz w:val="32"/>
        </w:rPr>
      </w:pPr>
      <w:r>
        <w:rPr>
          <w:rFonts w:hint="eastAsia" w:ascii="楷体" w:hAnsi="宋体" w:eastAsia="楷体" w:cs="宋体"/>
          <w:b w:val="0"/>
          <w:sz w:val="32"/>
          <w:lang w:eastAsia="zh-CN"/>
        </w:rPr>
        <w:t>11. 附录</w:t>
      </w:r>
    </w:p>
    <w:p w14:paraId="47EE7D31">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附录</w:t>
      </w:r>
      <w:r>
        <w:rPr>
          <w:rFonts w:ascii="仿宋" w:eastAsia="仿宋"/>
          <w:sz w:val="24"/>
        </w:rPr>
        <w:t xml:space="preserve"> A</w:t>
      </w:r>
      <w:r>
        <w:rPr>
          <w:rFonts w:hint="eastAsia" w:ascii="仿宋" w:hAnsi="宋体" w:eastAsia="仿宋" w:cs="宋体"/>
          <w:sz w:val="24"/>
          <w:lang w:eastAsia="zh-CN"/>
        </w:rPr>
        <w:t>（资料性）给出神湾菠萝产品碳足迹需监测和获取的活动数据及相关要求（表</w:t>
      </w:r>
      <w:r>
        <w:rPr>
          <w:rFonts w:ascii="仿宋" w:eastAsia="仿宋"/>
          <w:sz w:val="24"/>
        </w:rPr>
        <w:t xml:space="preserve"> A.1</w:t>
      </w:r>
      <w:r>
        <w:rPr>
          <w:rFonts w:hint="eastAsia" w:ascii="仿宋" w:hAnsi="宋体" w:eastAsia="仿宋" w:cs="宋体"/>
          <w:sz w:val="24"/>
          <w:lang w:eastAsia="zh-CN"/>
        </w:rPr>
        <w:t>）；附录</w:t>
      </w:r>
      <w:r>
        <w:rPr>
          <w:rFonts w:ascii="仿宋" w:eastAsia="仿宋"/>
          <w:sz w:val="24"/>
        </w:rPr>
        <w:t xml:space="preserve"> B</w:t>
      </w:r>
      <w:r>
        <w:rPr>
          <w:rFonts w:hint="eastAsia" w:ascii="仿宋" w:hAnsi="宋体" w:eastAsia="仿宋" w:cs="宋体"/>
          <w:sz w:val="24"/>
          <w:lang w:eastAsia="zh-CN"/>
        </w:rPr>
        <w:t>（资料性）给出排放因子推荐值（广东适用），包括</w:t>
      </w:r>
      <w:r>
        <w:rPr>
          <w:rFonts w:ascii="仿宋" w:eastAsia="仿宋"/>
          <w:sz w:val="24"/>
        </w:rPr>
        <w:t xml:space="preserve"> GWP</w:t>
      </w:r>
      <w:r>
        <w:rPr>
          <w:rFonts w:hint="eastAsia" w:ascii="仿宋" w:hAnsi="宋体" w:eastAsia="仿宋" w:cs="宋体"/>
          <w:sz w:val="24"/>
          <w:lang w:eastAsia="zh-CN"/>
        </w:rPr>
        <w:t>、地区农田</w:t>
      </w:r>
      <w:r>
        <w:rPr>
          <w:rFonts w:ascii="仿宋" w:eastAsia="仿宋"/>
          <w:sz w:val="24"/>
        </w:rPr>
        <w:t xml:space="preserve"> N₂O </w:t>
      </w:r>
      <w:r>
        <w:rPr>
          <w:rFonts w:hint="eastAsia" w:ascii="仿宋" w:hAnsi="宋体" w:eastAsia="仿宋" w:cs="宋体"/>
          <w:sz w:val="24"/>
          <w:lang w:eastAsia="zh-CN"/>
        </w:rPr>
        <w:t>排放因子、肥料上游生产排放因子、能源排放因子、包装材料与农业投入品排放因子、残留还田与生物量参数缺省值（表</w:t>
      </w:r>
      <w:r>
        <w:rPr>
          <w:rFonts w:ascii="仿宋" w:eastAsia="仿宋"/>
          <w:sz w:val="24"/>
        </w:rPr>
        <w:t xml:space="preserve"> B.1</w:t>
      </w:r>
      <w:r>
        <w:rPr>
          <w:rFonts w:hint="eastAsia" w:ascii="仿宋" w:hAnsi="宋体" w:eastAsia="仿宋" w:cs="宋体"/>
          <w:sz w:val="24"/>
          <w:lang w:eastAsia="zh-CN"/>
        </w:rPr>
        <w:t>～</w:t>
      </w:r>
      <w:r>
        <w:rPr>
          <w:rFonts w:ascii="仿宋" w:eastAsia="仿宋"/>
          <w:sz w:val="24"/>
        </w:rPr>
        <w:t>B.7</w:t>
      </w:r>
      <w:r>
        <w:rPr>
          <w:rFonts w:hint="eastAsia" w:ascii="仿宋" w:hAnsi="宋体" w:eastAsia="仿宋" w:cs="宋体"/>
          <w:sz w:val="24"/>
          <w:lang w:eastAsia="zh-CN"/>
        </w:rPr>
        <w:t>）；附录</w:t>
      </w:r>
      <w:r>
        <w:rPr>
          <w:rFonts w:ascii="仿宋" w:eastAsia="仿宋"/>
          <w:sz w:val="24"/>
        </w:rPr>
        <w:t xml:space="preserve"> C</w:t>
      </w:r>
      <w:r>
        <w:rPr>
          <w:rFonts w:hint="eastAsia" w:ascii="仿宋" w:hAnsi="宋体" w:eastAsia="仿宋" w:cs="宋体"/>
          <w:sz w:val="24"/>
          <w:lang w:eastAsia="zh-CN"/>
        </w:rPr>
        <w:t>（资料性）给出神湾菠萝碳足迹核算报告模板。</w:t>
      </w:r>
    </w:p>
    <w:p w14:paraId="2D4ADD9C">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三、试验验证的分析、综述报告，技术经济论证，预期的经济效益、社会效益和生态效益</w:t>
      </w:r>
    </w:p>
    <w:p w14:paraId="18AC25CF">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编制过程中，编制组结合神湾菠萝生产实际，对核算边界、功能单位、系统边界、取舍准则、分配原则、量化方法及排放因子进行了系统梳理与初步测算验证。以典型神湾菠萝生产基地的活动数据为基础，按本文件规定的</w:t>
      </w:r>
      <w:r>
        <w:rPr>
          <w:rFonts w:ascii="仿宋" w:eastAsia="仿宋"/>
          <w:sz w:val="24"/>
        </w:rPr>
        <w:t>"</w:t>
      </w:r>
      <w:r>
        <w:rPr>
          <w:rFonts w:hint="eastAsia" w:ascii="仿宋" w:hAnsi="宋体" w:eastAsia="仿宋" w:cs="宋体"/>
          <w:sz w:val="24"/>
          <w:lang w:eastAsia="zh-CN"/>
        </w:rPr>
        <w:t>摇篮到大门</w:t>
      </w:r>
      <w:r>
        <w:rPr>
          <w:rFonts w:ascii="仿宋" w:eastAsia="仿宋"/>
          <w:sz w:val="24"/>
        </w:rPr>
        <w:t>"</w:t>
      </w:r>
      <w:r>
        <w:rPr>
          <w:rFonts w:hint="eastAsia" w:ascii="仿宋" w:hAnsi="宋体" w:eastAsia="仿宋" w:cs="宋体"/>
          <w:sz w:val="24"/>
          <w:lang w:eastAsia="zh-CN"/>
        </w:rPr>
        <w:t>边界与</w:t>
      </w:r>
      <w:r>
        <w:rPr>
          <w:rFonts w:ascii="仿宋" w:eastAsia="仿宋"/>
          <w:sz w:val="24"/>
        </w:rPr>
        <w:t xml:space="preserve"> AD×EF </w:t>
      </w:r>
      <w:r>
        <w:rPr>
          <w:rFonts w:hint="eastAsia" w:ascii="仿宋" w:hAnsi="宋体" w:eastAsia="仿宋" w:cs="宋体"/>
          <w:sz w:val="24"/>
          <w:lang w:eastAsia="zh-CN"/>
        </w:rPr>
        <w:t>方法开展试算，验证了方法的可操作性：种植阶段</w:t>
      </w:r>
      <w:r>
        <w:rPr>
          <w:rFonts w:ascii="仿宋" w:eastAsia="仿宋"/>
          <w:sz w:val="24"/>
        </w:rPr>
        <w:t xml:space="preserve"> N₂O </w:t>
      </w:r>
      <w:r>
        <w:rPr>
          <w:rFonts w:hint="eastAsia" w:ascii="仿宋" w:hAnsi="宋体" w:eastAsia="仿宋" w:cs="宋体"/>
          <w:sz w:val="24"/>
          <w:lang w:eastAsia="zh-CN"/>
        </w:rPr>
        <w:t>排放、农业投入品上游生产端排放、农机耗能排放、运输排放及包装阶段排放均可按本文件公式逐项核算；广东适用排放因子（</w:t>
      </w:r>
      <w:r>
        <w:rPr>
          <w:rFonts w:ascii="仿宋" w:eastAsia="仿宋"/>
          <w:sz w:val="24"/>
        </w:rPr>
        <w:t xml:space="preserve">N₂O </w:t>
      </w:r>
      <w:r>
        <w:rPr>
          <w:rFonts w:hint="eastAsia" w:ascii="仿宋" w:hAnsi="宋体" w:eastAsia="仿宋" w:cs="宋体"/>
          <w:sz w:val="24"/>
          <w:lang w:eastAsia="zh-CN"/>
        </w:rPr>
        <w:t>直接排放因子</w:t>
      </w:r>
      <w:r>
        <w:rPr>
          <w:rFonts w:ascii="仿宋" w:eastAsia="仿宋"/>
          <w:sz w:val="24"/>
        </w:rPr>
        <w:t xml:space="preserve"> 0.0178</w:t>
      </w:r>
      <w:r>
        <w:rPr>
          <w:rFonts w:hint="eastAsia" w:ascii="仿宋" w:hAnsi="宋体" w:eastAsia="仿宋" w:cs="宋体"/>
          <w:sz w:val="24"/>
          <w:lang w:eastAsia="zh-CN"/>
        </w:rPr>
        <w:t>、广东电网</w:t>
      </w:r>
      <w:r>
        <w:rPr>
          <w:rFonts w:ascii="仿宋" w:eastAsia="仿宋"/>
          <w:sz w:val="24"/>
        </w:rPr>
        <w:t xml:space="preserve"> 0.4403</w:t>
      </w:r>
      <w:r>
        <w:rPr>
          <w:rFonts w:hint="eastAsia" w:ascii="仿宋" w:hAnsi="宋体" w:eastAsia="仿宋" w:cs="宋体"/>
          <w:sz w:val="24"/>
          <w:lang w:eastAsia="zh-CN"/>
        </w:rPr>
        <w:t>、</w:t>
      </w:r>
      <w:r>
        <w:rPr>
          <w:rFonts w:ascii="仿宋" w:eastAsia="仿宋"/>
          <w:sz w:val="24"/>
        </w:rPr>
        <w:t xml:space="preserve">ecoinvent v3.12 cutoff </w:t>
      </w:r>
      <w:r>
        <w:rPr>
          <w:rFonts w:hint="eastAsia" w:ascii="仿宋" w:hAnsi="宋体" w:eastAsia="仿宋" w:cs="宋体"/>
          <w:sz w:val="24"/>
          <w:lang w:eastAsia="zh-CN"/>
        </w:rPr>
        <w:t>肥料与包装材料因子等）来源清晰、取值明确，能够支撑核算落地。</w:t>
      </w:r>
    </w:p>
    <w:p w14:paraId="7DCD0EAF">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hint="eastAsia" w:ascii="仿宋" w:hAnsi="宋体" w:eastAsia="仿宋" w:cs="宋体"/>
          <w:sz w:val="24"/>
          <w:lang w:eastAsia="zh-CN"/>
        </w:rPr>
        <w:t>预期效益：</w:t>
      </w:r>
    </w:p>
    <w:p w14:paraId="77704C78">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b/>
          <w:sz w:val="24"/>
          <w:lang w:eastAsia="zh-CN"/>
        </w:rPr>
        <w:t>经济效益</w:t>
      </w:r>
      <w:r>
        <w:rPr>
          <w:rFonts w:hint="eastAsia" w:ascii="仿宋" w:hAnsi="宋体" w:eastAsia="仿宋" w:cs="宋体"/>
          <w:sz w:val="24"/>
          <w:lang w:eastAsia="zh-CN"/>
        </w:rPr>
        <w:t>：统一核算口径，降低企业重复试错成本；碳足迹绩效可量化追踪，支撑产品碳标识认证与绿色采购、供应链低碳管理，提升神湾菠萝品牌溢价与市场价格竞争力。</w:t>
      </w:r>
    </w:p>
    <w:p w14:paraId="46355337">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b/>
          <w:sz w:val="24"/>
          <w:lang w:eastAsia="zh-CN"/>
        </w:rPr>
        <w:t>社会效益</w:t>
      </w:r>
      <w:r>
        <w:rPr>
          <w:rFonts w:hint="eastAsia" w:ascii="仿宋" w:hAnsi="宋体" w:eastAsia="仿宋" w:cs="宋体"/>
          <w:sz w:val="24"/>
          <w:lang w:eastAsia="zh-CN"/>
        </w:rPr>
        <w:t>：为地理标志农产品绿色低碳转型提供技术支撑，引导消费者选择低碳产品，形成绿色低碳生产生活方式；为政府部门农业减排固碳决策提供数据基础。</w:t>
      </w:r>
    </w:p>
    <w:p w14:paraId="0FC43001">
      <w:pPr>
        <w:snapToGrid/>
        <w:spacing w:beforeAutospacing="0" w:afterAutospacing="0" w:line="560" w:lineRule="exact"/>
        <w:ind w:left="0" w:leftChars="0" w:right="0" w:rightChars="0" w:firstLine="482" w:firstLineChars="0"/>
        <w:jc w:val="both"/>
        <w:rPr>
          <w:rFonts w:ascii="仿宋" w:eastAsia="仿宋"/>
          <w:sz w:val="24"/>
        </w:rPr>
      </w:pPr>
      <w:r>
        <w:rPr>
          <w:rFonts w:ascii="仿宋" w:eastAsia="仿宋"/>
          <w:sz w:val="24"/>
        </w:rPr>
        <w:t xml:space="preserve">- </w:t>
      </w:r>
      <w:r>
        <w:rPr>
          <w:rFonts w:hint="eastAsia" w:ascii="仿宋" w:hAnsi="宋体" w:eastAsia="仿宋" w:cs="宋体"/>
          <w:b/>
          <w:sz w:val="24"/>
          <w:lang w:eastAsia="zh-CN"/>
        </w:rPr>
        <w:t>生态效益</w:t>
      </w:r>
      <w:r>
        <w:rPr>
          <w:rFonts w:hint="eastAsia" w:ascii="仿宋" w:hAnsi="宋体" w:eastAsia="仿宋" w:cs="宋体"/>
          <w:sz w:val="24"/>
          <w:lang w:eastAsia="zh-CN"/>
        </w:rPr>
        <w:t>：识别关键排放环节（如肥料施用、农业投入品上游生产、包装材料等），为优化施肥结构、增施有机肥、减少高碳包装、提升土壤固碳等减排措施提供量化依据，助力农业绿色低碳发展。</w:t>
      </w:r>
    </w:p>
    <w:p w14:paraId="08F60014">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四、与国际、国外同类标准技术内容的对比情况</w:t>
      </w:r>
    </w:p>
    <w:p w14:paraId="3CC9E921">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国际方面，</w:t>
      </w:r>
      <w:r>
        <w:rPr>
          <w:rFonts w:ascii="仿宋" w:eastAsia="仿宋"/>
          <w:sz w:val="24"/>
        </w:rPr>
        <w:t>ISO 14067:2018</w:t>
      </w:r>
      <w:r>
        <w:rPr>
          <w:rFonts w:hint="eastAsia" w:ascii="仿宋" w:hAnsi="宋体" w:eastAsia="仿宋" w:cs="宋体"/>
          <w:sz w:val="24"/>
          <w:lang w:eastAsia="zh-CN"/>
        </w:rPr>
        <w:t>、</w:t>
      </w:r>
      <w:r>
        <w:rPr>
          <w:rFonts w:ascii="仿宋" w:eastAsia="仿宋"/>
          <w:sz w:val="24"/>
        </w:rPr>
        <w:t xml:space="preserve">PAS 2050:2011 </w:t>
      </w:r>
      <w:r>
        <w:rPr>
          <w:rFonts w:hint="eastAsia" w:ascii="仿宋" w:hAnsi="宋体" w:eastAsia="仿宋" w:cs="宋体"/>
          <w:sz w:val="24"/>
          <w:lang w:eastAsia="zh-CN"/>
        </w:rPr>
        <w:t>给出了产品碳足迹量化的通用框架与原则；</w:t>
      </w:r>
      <w:r>
        <w:rPr>
          <w:rFonts w:ascii="仿宋" w:eastAsia="仿宋"/>
          <w:sz w:val="24"/>
        </w:rPr>
        <w:t>GB/T 24040—2008</w:t>
      </w:r>
      <w:r>
        <w:rPr>
          <w:rFonts w:hint="eastAsia" w:ascii="仿宋" w:hAnsi="宋体" w:eastAsia="仿宋" w:cs="宋体"/>
          <w:sz w:val="24"/>
          <w:lang w:eastAsia="zh-CN"/>
        </w:rPr>
        <w:t>、</w:t>
      </w:r>
      <w:r>
        <w:rPr>
          <w:rFonts w:ascii="仿宋" w:eastAsia="仿宋"/>
          <w:sz w:val="24"/>
        </w:rPr>
        <w:t>GB/T 24044—2008</w:t>
      </w:r>
      <w:r>
        <w:rPr>
          <w:rFonts w:hint="eastAsia" w:ascii="仿宋" w:hAnsi="宋体" w:eastAsia="仿宋" w:cs="宋体"/>
          <w:sz w:val="24"/>
          <w:lang w:eastAsia="zh-CN"/>
        </w:rPr>
        <w:t>（等同采用</w:t>
      </w:r>
      <w:r>
        <w:rPr>
          <w:rFonts w:ascii="仿宋" w:eastAsia="仿宋"/>
          <w:sz w:val="24"/>
        </w:rPr>
        <w:t xml:space="preserve"> ISO 14040</w:t>
      </w:r>
      <w:r>
        <w:rPr>
          <w:rFonts w:hint="eastAsia" w:ascii="仿宋" w:hAnsi="宋体" w:eastAsia="仿宋" w:cs="宋体"/>
          <w:sz w:val="24"/>
          <w:lang w:eastAsia="zh-CN"/>
        </w:rPr>
        <w:t>、</w:t>
      </w:r>
      <w:r>
        <w:rPr>
          <w:rFonts w:ascii="仿宋" w:eastAsia="仿宋"/>
          <w:sz w:val="24"/>
        </w:rPr>
        <w:t>ISO 14044</w:t>
      </w:r>
      <w:r>
        <w:rPr>
          <w:rFonts w:hint="eastAsia" w:ascii="仿宋" w:hAnsi="宋体" w:eastAsia="仿宋" w:cs="宋体"/>
          <w:sz w:val="24"/>
          <w:lang w:eastAsia="zh-CN"/>
        </w:rPr>
        <w:t>）确立了生命周期评价方法学基础。国外农业碳足迹研究多集中于小麦、玉米、水稻等温带大田作物，其数据库（如</w:t>
      </w:r>
      <w:r>
        <w:rPr>
          <w:rFonts w:ascii="仿宋" w:eastAsia="仿宋"/>
          <w:sz w:val="24"/>
        </w:rPr>
        <w:t xml:space="preserve"> Ecoinvent</w:t>
      </w:r>
      <w:r>
        <w:rPr>
          <w:rFonts w:hint="eastAsia" w:ascii="仿宋" w:hAnsi="宋体" w:eastAsia="仿宋" w:cs="宋体"/>
          <w:sz w:val="24"/>
          <w:lang w:eastAsia="zh-CN"/>
        </w:rPr>
        <w:t>、</w:t>
      </w:r>
      <w:r>
        <w:rPr>
          <w:rFonts w:ascii="仿宋" w:eastAsia="仿宋"/>
          <w:sz w:val="24"/>
        </w:rPr>
        <w:t>Agri-footprint</w:t>
      </w:r>
      <w:r>
        <w:rPr>
          <w:rFonts w:hint="eastAsia" w:ascii="仿宋" w:hAnsi="宋体" w:eastAsia="仿宋" w:cs="宋体"/>
          <w:sz w:val="24"/>
          <w:lang w:eastAsia="zh-CN"/>
        </w:rPr>
        <w:t>）对华南坡地热带亚热带果树种植、多年生</w:t>
      </w:r>
      <w:r>
        <w:rPr>
          <w:rFonts w:ascii="仿宋" w:eastAsia="仿宋"/>
          <w:sz w:val="24"/>
        </w:rPr>
        <w:t>"</w:t>
      </w:r>
      <w:r>
        <w:rPr>
          <w:rFonts w:hint="eastAsia" w:ascii="仿宋" w:hAnsi="宋体" w:eastAsia="仿宋" w:cs="宋体"/>
          <w:sz w:val="24"/>
          <w:lang w:eastAsia="zh-CN"/>
        </w:rPr>
        <w:t>一造一种</w:t>
      </w:r>
      <w:r>
        <w:rPr>
          <w:rFonts w:ascii="仿宋" w:eastAsia="仿宋"/>
          <w:sz w:val="24"/>
        </w:rPr>
        <w:t>"</w:t>
      </w:r>
      <w:r>
        <w:rPr>
          <w:rFonts w:hint="eastAsia" w:ascii="仿宋" w:hAnsi="宋体" w:eastAsia="仿宋" w:cs="宋体"/>
          <w:sz w:val="24"/>
          <w:lang w:eastAsia="zh-CN"/>
        </w:rPr>
        <w:t>栽培模式的代表性不足，缺少可直接引用的本土化活动数据与排放因子。</w:t>
      </w:r>
    </w:p>
    <w:p w14:paraId="42568755">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本文件在</w:t>
      </w:r>
      <w:r>
        <w:rPr>
          <w:rFonts w:ascii="仿宋" w:eastAsia="仿宋"/>
          <w:sz w:val="24"/>
        </w:rPr>
        <w:t xml:space="preserve"> GB/T 24067—2024 </w:t>
      </w:r>
      <w:r>
        <w:rPr>
          <w:rFonts w:hint="eastAsia" w:ascii="仿宋" w:hAnsi="宋体" w:eastAsia="仿宋" w:cs="宋体"/>
          <w:sz w:val="24"/>
          <w:lang w:eastAsia="zh-CN"/>
        </w:rPr>
        <w:t>框架下，结合神湾菠萝生产实际制定产品种类规则，是对国家通用标准在特定农产品上的细化与落地。与国外通用框架相比，本文件针对性地解决了多年生果树核算周期确定、坡地自流灌溉免核算、植株与枯落物碳汇处理、鲜果与芽苗分配等特殊问题，更契合我国华南地区特色农产品实际。</w:t>
      </w:r>
    </w:p>
    <w:p w14:paraId="3438984C">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五、以国际标准为基础的起草情况</w:t>
      </w:r>
    </w:p>
    <w:p w14:paraId="2C239184">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本文件制定过程中，参考了</w:t>
      </w:r>
      <w:r>
        <w:rPr>
          <w:rFonts w:ascii="仿宋" w:eastAsia="仿宋"/>
          <w:sz w:val="24"/>
        </w:rPr>
        <w:t xml:space="preserve"> ISO 14067:2018</w:t>
      </w:r>
      <w:r>
        <w:rPr>
          <w:rFonts w:hint="eastAsia" w:ascii="仿宋" w:hAnsi="宋体" w:eastAsia="仿宋" w:cs="宋体"/>
          <w:sz w:val="24"/>
          <w:lang w:eastAsia="zh-CN"/>
        </w:rPr>
        <w:t>、</w:t>
      </w:r>
      <w:r>
        <w:rPr>
          <w:rFonts w:ascii="仿宋" w:eastAsia="仿宋"/>
          <w:sz w:val="24"/>
        </w:rPr>
        <w:t xml:space="preserve">PAS 2050:2011 </w:t>
      </w:r>
      <w:r>
        <w:rPr>
          <w:rFonts w:hint="eastAsia" w:ascii="仿宋" w:hAnsi="宋体" w:eastAsia="仿宋" w:cs="宋体"/>
          <w:sz w:val="24"/>
          <w:lang w:eastAsia="zh-CN"/>
        </w:rPr>
        <w:t>等国际标准确立的通用原则与方法学框架，并合规引用其作为参考文献。本文件未以某一国际标准全文为基础进行等同采用（</w:t>
      </w:r>
      <w:r>
        <w:rPr>
          <w:rFonts w:ascii="仿宋" w:eastAsia="仿宋"/>
          <w:sz w:val="24"/>
        </w:rPr>
        <w:t>IDT</w:t>
      </w:r>
      <w:r>
        <w:rPr>
          <w:rFonts w:hint="eastAsia" w:ascii="仿宋" w:hAnsi="宋体" w:eastAsia="仿宋" w:cs="宋体"/>
          <w:sz w:val="24"/>
          <w:lang w:eastAsia="zh-CN"/>
        </w:rPr>
        <w:t>）或修改采用（</w:t>
      </w:r>
      <w:r>
        <w:rPr>
          <w:rFonts w:ascii="仿宋" w:eastAsia="仿宋"/>
          <w:sz w:val="24"/>
        </w:rPr>
        <w:t>MOD</w:t>
      </w:r>
      <w:r>
        <w:rPr>
          <w:rFonts w:hint="eastAsia" w:ascii="仿宋" w:hAnsi="宋体" w:eastAsia="仿宋" w:cs="宋体"/>
          <w:sz w:val="24"/>
          <w:lang w:eastAsia="zh-CN"/>
        </w:rPr>
        <w:t>）起草，而是在</w:t>
      </w:r>
      <w:r>
        <w:rPr>
          <w:rFonts w:ascii="仿宋" w:eastAsia="仿宋"/>
          <w:sz w:val="24"/>
        </w:rPr>
        <w:t xml:space="preserve"> GB/T 24067—2024 </w:t>
      </w:r>
      <w:r>
        <w:rPr>
          <w:rFonts w:hint="eastAsia" w:ascii="仿宋" w:hAnsi="宋体" w:eastAsia="仿宋" w:cs="宋体"/>
          <w:sz w:val="24"/>
          <w:lang w:eastAsia="zh-CN"/>
        </w:rPr>
        <w:t>等国家标准框架下，结合神湾菠萝地域与生产特点制定产品种类规则。未直接采用国际标准作为主体文本的原因在于：国际标准多为通用框架，缺少针对华南坡地多年生果树、特定地理标志农产品的本土化参数与分配规则，直接采用难以满足可比、可信的核算需求。</w:t>
      </w:r>
    </w:p>
    <w:p w14:paraId="248348B1">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六、与有关法律、行政法规及相关标准的关系</w:t>
      </w:r>
    </w:p>
    <w:p w14:paraId="602C0F6F">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本文件编制遵循现行相关法律、法规和强制性国家标准。在</w:t>
      </w:r>
      <w:r>
        <w:rPr>
          <w:rFonts w:ascii="仿宋" w:eastAsia="仿宋"/>
          <w:sz w:val="24"/>
        </w:rPr>
        <w:t xml:space="preserve"> GB/T 24067—2024</w:t>
      </w:r>
      <w:r>
        <w:rPr>
          <w:rFonts w:hint="eastAsia" w:ascii="仿宋" w:hAnsi="宋体" w:eastAsia="仿宋" w:cs="宋体"/>
          <w:sz w:val="24"/>
          <w:lang w:eastAsia="zh-CN"/>
        </w:rPr>
        <w:t>、</w:t>
      </w:r>
      <w:r>
        <w:rPr>
          <w:rFonts w:ascii="仿宋" w:eastAsia="仿宋"/>
          <w:sz w:val="24"/>
        </w:rPr>
        <w:t>GB/T 24040—2008</w:t>
      </w:r>
      <w:r>
        <w:rPr>
          <w:rFonts w:hint="eastAsia" w:ascii="仿宋" w:hAnsi="宋体" w:eastAsia="仿宋" w:cs="宋体"/>
          <w:sz w:val="24"/>
          <w:lang w:eastAsia="zh-CN"/>
        </w:rPr>
        <w:t>、</w:t>
      </w:r>
      <w:r>
        <w:rPr>
          <w:rFonts w:ascii="仿宋" w:eastAsia="仿宋"/>
          <w:sz w:val="24"/>
        </w:rPr>
        <w:t xml:space="preserve">GB/T 24044—2008 </w:t>
      </w:r>
      <w:r>
        <w:rPr>
          <w:rFonts w:hint="eastAsia" w:ascii="仿宋" w:hAnsi="宋体" w:eastAsia="仿宋" w:cs="宋体"/>
          <w:sz w:val="24"/>
          <w:lang w:eastAsia="zh-CN"/>
        </w:rPr>
        <w:t>等国家标准的通用框架下制定，与现行国家标准协调一致、无冲突；同时与</w:t>
      </w:r>
      <w:r>
        <w:rPr>
          <w:rFonts w:ascii="仿宋" w:eastAsia="仿宋"/>
          <w:sz w:val="24"/>
        </w:rPr>
        <w:t xml:space="preserve"> DB4420/T 2—2022</w:t>
      </w:r>
      <w:r>
        <w:rPr>
          <w:rFonts w:hint="eastAsia" w:ascii="仿宋" w:hAnsi="宋体" w:eastAsia="仿宋" w:cs="宋体"/>
          <w:sz w:val="24"/>
          <w:lang w:eastAsia="zh-CN"/>
        </w:rPr>
        <w:t>《地理标志产品</w:t>
      </w:r>
      <w:r>
        <w:rPr>
          <w:rFonts w:ascii="仿宋" w:eastAsia="仿宋"/>
          <w:sz w:val="24"/>
        </w:rPr>
        <w:t xml:space="preserve"> </w:t>
      </w:r>
      <w:r>
        <w:rPr>
          <w:rFonts w:hint="eastAsia" w:ascii="仿宋" w:hAnsi="宋体" w:eastAsia="仿宋" w:cs="宋体"/>
          <w:sz w:val="24"/>
          <w:lang w:eastAsia="zh-CN"/>
        </w:rPr>
        <w:t>神湾菠萝》、</w:t>
      </w:r>
      <w:r>
        <w:rPr>
          <w:rFonts w:ascii="仿宋" w:eastAsia="仿宋"/>
          <w:sz w:val="24"/>
        </w:rPr>
        <w:t>T/CGFA 012—2025</w:t>
      </w:r>
      <w:r>
        <w:rPr>
          <w:rFonts w:hint="eastAsia" w:ascii="仿宋" w:hAnsi="宋体" w:eastAsia="仿宋" w:cs="宋体"/>
          <w:sz w:val="24"/>
          <w:lang w:eastAsia="zh-CN"/>
        </w:rPr>
        <w:t>《温室气体</w:t>
      </w:r>
      <w:r>
        <w:rPr>
          <w:rFonts w:ascii="仿宋" w:eastAsia="仿宋"/>
          <w:sz w:val="24"/>
        </w:rPr>
        <w:t xml:space="preserve"> </w:t>
      </w:r>
      <w:r>
        <w:rPr>
          <w:rFonts w:hint="eastAsia" w:ascii="仿宋" w:hAnsi="宋体" w:eastAsia="仿宋" w:cs="宋体"/>
          <w:sz w:val="24"/>
          <w:lang w:eastAsia="zh-CN"/>
        </w:rPr>
        <w:t>产品碳足迹量化方法与要求</w:t>
      </w:r>
      <w:r>
        <w:rPr>
          <w:rFonts w:ascii="仿宋" w:eastAsia="仿宋"/>
          <w:sz w:val="24"/>
        </w:rPr>
        <w:t xml:space="preserve"> </w:t>
      </w:r>
      <w:r>
        <w:rPr>
          <w:rFonts w:hint="eastAsia" w:ascii="仿宋" w:hAnsi="宋体" w:eastAsia="仿宋" w:cs="宋体"/>
          <w:sz w:val="24"/>
          <w:lang w:eastAsia="zh-CN"/>
        </w:rPr>
        <w:t>种植农产品》等相关标准衔接配套。</w:t>
      </w:r>
    </w:p>
    <w:p w14:paraId="0C2EE756">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七、重大分歧意见的处理经过和依据</w:t>
      </w:r>
    </w:p>
    <w:p w14:paraId="7FCDD72A">
      <w:pPr>
        <w:snapToGrid/>
        <w:spacing w:beforeAutospacing="0" w:afterAutospacing="0" w:line="560" w:lineRule="exact"/>
        <w:ind w:left="0" w:leftChars="0" w:right="0" w:rightChars="0" w:firstLine="482" w:firstLineChars="0"/>
        <w:jc w:val="left"/>
        <w:rPr>
          <w:rFonts w:ascii="仿宋" w:eastAsia="仿宋"/>
          <w:sz w:val="24"/>
        </w:rPr>
      </w:pPr>
      <w:r>
        <w:rPr>
          <w:rFonts w:hint="eastAsia" w:ascii="仿宋" w:hAnsi="宋体" w:eastAsia="仿宋" w:cs="宋体"/>
          <w:sz w:val="24"/>
          <w:lang w:eastAsia="zh-CN"/>
        </w:rPr>
        <w:t>本标准在编制和征求意见过程中无重大分歧意见。</w:t>
      </w:r>
    </w:p>
    <w:p w14:paraId="44362F04">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八、涉及专利的有关说明</w:t>
      </w:r>
    </w:p>
    <w:p w14:paraId="37C52E14">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本文件不涉及具体专利的应用。请注意本文件的某些内容可能涉及专利，本文件的发布机构不承担识别专利的责任。</w:t>
      </w:r>
    </w:p>
    <w:p w14:paraId="133D7565">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九、实施标准的要求，以及组织措施、技术措施、过渡期和实施日期的建议</w:t>
      </w:r>
    </w:p>
    <w:p w14:paraId="5429DFD0">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本文件为首次制定的团体标准，建议发布后预留必要的过渡期（建议</w:t>
      </w:r>
      <w:r>
        <w:rPr>
          <w:rFonts w:ascii="仿宋" w:eastAsia="仿宋"/>
          <w:sz w:val="24"/>
        </w:rPr>
        <w:t xml:space="preserve"> 2026 </w:t>
      </w:r>
      <w:r>
        <w:rPr>
          <w:rFonts w:hint="eastAsia" w:ascii="仿宋" w:hAnsi="宋体" w:eastAsia="仿宋" w:cs="宋体"/>
          <w:sz w:val="24"/>
          <w:lang w:eastAsia="zh-CN"/>
        </w:rPr>
        <w:t>年内发布、</w:t>
      </w:r>
      <w:r>
        <w:rPr>
          <w:rFonts w:ascii="仿宋" w:eastAsia="仿宋"/>
          <w:sz w:val="24"/>
        </w:rPr>
        <w:t xml:space="preserve">2026 </w:t>
      </w:r>
      <w:r>
        <w:rPr>
          <w:rFonts w:hint="eastAsia" w:ascii="仿宋" w:hAnsi="宋体" w:eastAsia="仿宋" w:cs="宋体"/>
          <w:sz w:val="24"/>
          <w:lang w:eastAsia="zh-CN"/>
        </w:rPr>
        <w:t>年内或次年起实施），以便为相关方了解、熟悉和应用本标准预留时间。</w:t>
      </w:r>
    </w:p>
    <w:p w14:paraId="401B91FA">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hint="eastAsia" w:ascii="仿宋" w:hAnsi="宋体" w:eastAsia="仿宋" w:cs="宋体"/>
          <w:sz w:val="24"/>
          <w:lang w:eastAsia="zh-CN"/>
        </w:rPr>
        <w:t>建议措施：</w:t>
      </w:r>
    </w:p>
    <w:p w14:paraId="1D1DA995">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b/>
          <w:sz w:val="24"/>
          <w:lang w:eastAsia="zh-CN"/>
        </w:rPr>
        <w:t>组织措施</w:t>
      </w:r>
      <w:r>
        <w:rPr>
          <w:rFonts w:hint="eastAsia" w:ascii="仿宋" w:hAnsi="宋体" w:eastAsia="仿宋" w:cs="宋体"/>
          <w:sz w:val="24"/>
          <w:lang w:eastAsia="zh-CN"/>
        </w:rPr>
        <w:t>：由中山市环境科学学会归口管理，编制组负责技术答疑与版本维护；依托行业协会、种植主体联盟推动标准宣贯。</w:t>
      </w:r>
    </w:p>
    <w:p w14:paraId="5808170F">
      <w:pPr>
        <w:snapToGrid/>
        <w:spacing w:beforeAutospacing="0" w:afterAutospacing="0" w:line="560" w:lineRule="exact"/>
        <w:ind w:left="0" w:leftChars="0" w:right="0" w:rightChars="0" w:firstLine="482" w:firstLineChars="0"/>
        <w:jc w:val="both"/>
        <w:rPr>
          <w:rFonts w:hint="eastAsia" w:ascii="仿宋" w:hAnsi="宋体" w:eastAsia="仿宋" w:cs="宋体"/>
          <w:sz w:val="24"/>
          <w:lang w:eastAsia="zh-CN"/>
        </w:rPr>
      </w:pPr>
      <w:r>
        <w:rPr>
          <w:rFonts w:ascii="仿宋" w:eastAsia="仿宋"/>
          <w:sz w:val="24"/>
        </w:rPr>
        <w:t xml:space="preserve">- </w:t>
      </w:r>
      <w:r>
        <w:rPr>
          <w:rFonts w:hint="eastAsia" w:ascii="仿宋" w:hAnsi="宋体" w:eastAsia="仿宋" w:cs="宋体"/>
          <w:b/>
          <w:sz w:val="24"/>
          <w:lang w:eastAsia="zh-CN"/>
        </w:rPr>
        <w:t>技术措施</w:t>
      </w:r>
      <w:r>
        <w:rPr>
          <w:rFonts w:hint="eastAsia" w:ascii="仿宋" w:hAnsi="宋体" w:eastAsia="仿宋" w:cs="宋体"/>
          <w:sz w:val="24"/>
          <w:lang w:eastAsia="zh-CN"/>
        </w:rPr>
        <w:t>：制定分项计量与数据采集方案，指导种植主体建立农资采购与施用台账、农机作业与能耗台账、产量与芽苗去向台账，规范土壤容重与有机碳含量等参数采样检测，保证数据真实、完整、可追溯。</w:t>
      </w:r>
    </w:p>
    <w:p w14:paraId="7C5F2E5E">
      <w:pPr>
        <w:snapToGrid/>
        <w:spacing w:beforeAutospacing="0" w:afterAutospacing="0" w:line="560" w:lineRule="exact"/>
        <w:ind w:left="0" w:leftChars="0" w:right="0" w:rightChars="0" w:firstLine="482" w:firstLineChars="0"/>
        <w:jc w:val="both"/>
        <w:rPr>
          <w:rFonts w:ascii="仿宋" w:eastAsia="仿宋"/>
          <w:sz w:val="24"/>
        </w:rPr>
      </w:pPr>
      <w:r>
        <w:rPr>
          <w:rFonts w:ascii="仿宋" w:eastAsia="仿宋"/>
          <w:sz w:val="24"/>
        </w:rPr>
        <w:t xml:space="preserve">- </w:t>
      </w:r>
      <w:r>
        <w:rPr>
          <w:rFonts w:hint="eastAsia" w:ascii="仿宋" w:hAnsi="宋体" w:eastAsia="仿宋" w:cs="宋体"/>
          <w:b/>
          <w:sz w:val="24"/>
          <w:lang w:eastAsia="zh-CN"/>
        </w:rPr>
        <w:t>应用措施</w:t>
      </w:r>
      <w:r>
        <w:rPr>
          <w:rFonts w:hint="eastAsia" w:ascii="仿宋" w:hAnsi="宋体" w:eastAsia="仿宋" w:cs="宋体"/>
          <w:sz w:val="24"/>
          <w:lang w:eastAsia="zh-CN"/>
        </w:rPr>
        <w:t>：标准发布后同步开展宣贯培训与试点核算，率先在神湾镇地理标志保护范围内的种植主体中示范应用，推动成果应用于产品碳标识认证、低碳采购与供应链碳管理；及时总结实践经验并反馈至编制组，以便后续修订完善。</w:t>
      </w:r>
    </w:p>
    <w:p w14:paraId="20D1032C">
      <w:pPr>
        <w:pStyle w:val="3"/>
        <w:numPr>
          <w:ilvl w:val="0"/>
          <w:numId w:val="0"/>
        </w:numPr>
        <w:tabs>
          <w:tab w:val="clear" w:pos="-420"/>
        </w:tabs>
        <w:snapToGrid/>
        <w:spacing w:before="200" w:beforeLines="0" w:beforeAutospacing="0" w:after="100" w:afterLines="0" w:afterAutospacing="0" w:line="240" w:lineRule="auto"/>
        <w:ind w:leftChars="0" w:right="0" w:rightChars="0"/>
        <w:jc w:val="left"/>
        <w:outlineLvl w:val="0"/>
        <w:rPr>
          <w:rFonts w:ascii="黑体" w:eastAsia="黑体"/>
          <w:b w:val="0"/>
          <w:sz w:val="32"/>
        </w:rPr>
      </w:pPr>
      <w:r>
        <w:rPr>
          <w:rFonts w:hint="eastAsia" w:ascii="黑体" w:hAnsi="宋体" w:eastAsia="黑体" w:cs="宋体"/>
          <w:b w:val="0"/>
          <w:sz w:val="32"/>
          <w:lang w:eastAsia="zh-CN"/>
        </w:rPr>
        <w:t>十、其他应当说明的事项</w:t>
      </w:r>
    </w:p>
    <w:p w14:paraId="2C49A89D">
      <w:pPr>
        <w:snapToGrid/>
        <w:spacing w:beforeAutospacing="0" w:afterAutospacing="0" w:line="560" w:lineRule="exact"/>
        <w:ind w:left="0" w:leftChars="0" w:right="0" w:rightChars="0" w:firstLine="482" w:firstLineChars="0"/>
        <w:jc w:val="both"/>
        <w:rPr>
          <w:rFonts w:ascii="仿宋" w:eastAsia="仿宋"/>
          <w:sz w:val="24"/>
        </w:rPr>
      </w:pPr>
      <w:r>
        <w:rPr>
          <w:rFonts w:hint="eastAsia" w:ascii="仿宋" w:hAnsi="宋体" w:eastAsia="仿宋" w:cs="宋体"/>
          <w:sz w:val="24"/>
          <w:lang w:eastAsia="zh-CN"/>
        </w:rPr>
        <w:t>本文件没有</w:t>
      </w:r>
      <w:bookmarkStart w:id="0" w:name="_GoBack"/>
      <w:bookmarkEnd w:id="0"/>
      <w:r>
        <w:rPr>
          <w:rFonts w:hint="eastAsia" w:ascii="仿宋" w:hAnsi="宋体" w:eastAsia="仿宋" w:cs="宋体"/>
          <w:sz w:val="24"/>
          <w:lang w:eastAsia="zh-CN"/>
        </w:rPr>
        <w:t>其他需要说明的其他事项。</w:t>
      </w:r>
    </w:p>
    <w:p w14:paraId="782A59F2">
      <w:pPr>
        <w:snapToGrid/>
        <w:spacing w:beforeAutospacing="0" w:afterAutospacing="0" w:line="560" w:lineRule="exact"/>
        <w:ind w:left="0" w:leftChars="0" w:right="0" w:rightChars="0" w:firstLine="482" w:firstLineChars="0"/>
        <w:jc w:val="left"/>
        <w:rPr>
          <w:rFonts w:ascii="仿宋" w:eastAsia="仿宋"/>
          <w:sz w:val="24"/>
        </w:rPr>
      </w:pPr>
    </w:p>
    <w:sectPr>
      <w:footerReference r:id="rId5" w:type="default"/>
      <w:pgSz w:w="11906" w:h="16838"/>
      <w:pgMar w:top="1440" w:right="1797" w:bottom="1440" w:left="1797" w:header="720" w:footer="720" w:gutter="0"/>
      <w:pgNumType w:fmt="decimal"/>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汉仪正圆-45W">
    <w:altName w:val="宋体"/>
    <w:panose1 w:val="00020600040101010101"/>
    <w:charset w:val="86"/>
    <w:family w:val="roman"/>
    <w:pitch w:val="default"/>
    <w:sig w:usb0="00000000" w:usb1="00000000" w:usb2="00000016" w:usb3="00000000" w:csb0="0004009F" w:csb1="00000000"/>
  </w:font>
  <w:font w:name="MS Gothic">
    <w:panose1 w:val="020B0609070205080204"/>
    <w:charset w:val="80"/>
    <w:family w:val="auto"/>
    <w:pitch w:val="default"/>
    <w:sig w:usb0="E00002FF" w:usb1="6AC7FDFB" w:usb2="08000012" w:usb3="00000000" w:csb0="4002009F" w:csb1="DFD70000"/>
  </w:font>
  <w:font w:name="Microsoft YaHei UI">
    <w:panose1 w:val="020B0503020204020204"/>
    <w:charset w:val="86"/>
    <w:family w:val="swiss"/>
    <w:pitch w:val="default"/>
    <w:sig w:usb0="80000287" w:usb1="2ACF3C50" w:usb2="00000016" w:usb3="00000000" w:csb0="0004001F" w:csb1="00000000"/>
  </w:font>
  <w:font w:name="方正小标宋简体">
    <w:altName w:val="仿宋_GB2312"/>
    <w:panose1 w:val="02010601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51DE09">
    <w:pPr>
      <w:pStyle w:val="5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E2CD6DC">
                          <w:pPr>
                            <w:pStyle w:val="55"/>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E2CD6DC">
                    <w:pPr>
                      <w:pStyle w:val="55"/>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C5C303"/>
    <w:multiLevelType w:val="singleLevel"/>
    <w:tmpl w:val="A3C5C303"/>
    <w:lvl w:ilvl="0" w:tentative="0">
      <w:start w:val="1"/>
      <w:numFmt w:val="chineseCounting"/>
      <w:pStyle w:val="3"/>
      <w:suff w:val="nothing"/>
      <w:lvlText w:val="第%1章 "/>
      <w:lvlJc w:val="left"/>
      <w:pPr>
        <w:tabs>
          <w:tab w:val="left" w:pos="0"/>
        </w:tabs>
        <w:ind w:left="0" w:firstLine="420"/>
      </w:pPr>
      <w:rPr>
        <w:rFonts w:hint="eastAsia" w:ascii="黑体" w:hAnsi="黑体" w:eastAsia="黑体" w:cs="Times New Roman"/>
      </w:rPr>
    </w:lvl>
  </w:abstractNum>
  <w:abstractNum w:abstractNumId="1">
    <w:nsid w:val="A5B23F46"/>
    <w:multiLevelType w:val="multilevel"/>
    <w:tmpl w:val="A5B23F46"/>
    <w:lvl w:ilvl="0" w:tentative="0">
      <w:start w:val="1"/>
      <w:numFmt w:val="bullet"/>
      <w:pStyle w:val="40"/>
      <w:suff w:val="space"/>
      <w:lvlText w:val="◊"/>
      <w:lvlJc w:val="left"/>
      <w:pPr>
        <w:tabs>
          <w:tab w:val="left" w:pos="0"/>
        </w:tabs>
        <w:ind w:left="0" w:firstLine="0"/>
      </w:pPr>
      <w:rPr>
        <w:rFonts w:hint="default" w:ascii="Arial" w:hAnsi="Arial"/>
        <w:color w:val="auto"/>
      </w:rPr>
    </w:lvl>
    <w:lvl w:ilvl="1" w:tentative="0">
      <w:start w:val="1"/>
      <w:numFmt w:val="bullet"/>
      <w:lvlText w:val=""/>
      <w:lvlJc w:val="left"/>
      <w:pPr>
        <w:ind w:left="880" w:hanging="440"/>
      </w:pPr>
      <w:rPr>
        <w:rFonts w:hint="default" w:ascii="Wingdings" w:hAnsi="Wingdings"/>
      </w:rPr>
    </w:lvl>
    <w:lvl w:ilvl="2" w:tentative="0">
      <w:start w:val="1"/>
      <w:numFmt w:val="bullet"/>
      <w:lvlText w:val=""/>
      <w:lvlJc w:val="left"/>
      <w:pPr>
        <w:ind w:left="1320" w:hanging="440"/>
      </w:pPr>
      <w:rPr>
        <w:rFonts w:hint="default" w:ascii="Wingdings" w:hAnsi="Wingdings"/>
      </w:rPr>
    </w:lvl>
    <w:lvl w:ilvl="3" w:tentative="0">
      <w:start w:val="1"/>
      <w:numFmt w:val="bullet"/>
      <w:lvlText w:val=""/>
      <w:lvlJc w:val="left"/>
      <w:pPr>
        <w:ind w:left="1760" w:hanging="440"/>
      </w:pPr>
      <w:rPr>
        <w:rFonts w:hint="default" w:ascii="Wingdings" w:hAnsi="Wingdings"/>
      </w:rPr>
    </w:lvl>
    <w:lvl w:ilvl="4" w:tentative="0">
      <w:start w:val="1"/>
      <w:numFmt w:val="bullet"/>
      <w:lvlText w:val=""/>
      <w:lvlJc w:val="left"/>
      <w:pPr>
        <w:ind w:left="2200" w:hanging="440"/>
      </w:pPr>
      <w:rPr>
        <w:rFonts w:hint="default" w:ascii="Wingdings" w:hAnsi="Wingdings"/>
      </w:rPr>
    </w:lvl>
    <w:lvl w:ilvl="5" w:tentative="0">
      <w:start w:val="1"/>
      <w:numFmt w:val="bullet"/>
      <w:lvlText w:val=""/>
      <w:lvlJc w:val="left"/>
      <w:pPr>
        <w:ind w:left="2640" w:hanging="440"/>
      </w:pPr>
      <w:rPr>
        <w:rFonts w:hint="default" w:ascii="Wingdings" w:hAnsi="Wingdings"/>
      </w:rPr>
    </w:lvl>
    <w:lvl w:ilvl="6" w:tentative="0">
      <w:start w:val="1"/>
      <w:numFmt w:val="bullet"/>
      <w:lvlText w:val=""/>
      <w:lvlJc w:val="left"/>
      <w:pPr>
        <w:ind w:left="3080" w:hanging="440"/>
      </w:pPr>
      <w:rPr>
        <w:rFonts w:hint="default" w:ascii="Wingdings" w:hAnsi="Wingdings"/>
      </w:rPr>
    </w:lvl>
    <w:lvl w:ilvl="7" w:tentative="0">
      <w:start w:val="1"/>
      <w:numFmt w:val="bullet"/>
      <w:lvlText w:val=""/>
      <w:lvlJc w:val="left"/>
      <w:pPr>
        <w:ind w:left="3520" w:hanging="440"/>
      </w:pPr>
      <w:rPr>
        <w:rFonts w:hint="default" w:ascii="Wingdings" w:hAnsi="Wingdings"/>
      </w:rPr>
    </w:lvl>
    <w:lvl w:ilvl="8" w:tentative="0">
      <w:start w:val="1"/>
      <w:numFmt w:val="bullet"/>
      <w:lvlText w:val=""/>
      <w:lvlJc w:val="left"/>
      <w:pPr>
        <w:ind w:left="3960" w:hanging="440"/>
      </w:pPr>
      <w:rPr>
        <w:rFonts w:hint="default" w:ascii="Wingdings" w:hAnsi="Wingdings"/>
      </w:rPr>
    </w:lvl>
  </w:abstractNum>
  <w:abstractNum w:abstractNumId="2">
    <w:nsid w:val="C12C37DC"/>
    <w:multiLevelType w:val="singleLevel"/>
    <w:tmpl w:val="C12C37DC"/>
    <w:lvl w:ilvl="0" w:tentative="0">
      <w:start w:val="1"/>
      <w:numFmt w:val="bullet"/>
      <w:pStyle w:val="46"/>
      <w:suff w:val="space"/>
      <w:lvlText w:val=""/>
      <w:lvlJc w:val="left"/>
      <w:pPr>
        <w:tabs>
          <w:tab w:val="left" w:pos="420"/>
        </w:tabs>
        <w:ind w:left="0" w:firstLine="0"/>
      </w:pPr>
      <w:rPr>
        <w:rFonts w:hint="default" w:ascii="Wingdings" w:hAnsi="Wingdings"/>
        <w:color w:val="auto"/>
      </w:rPr>
    </w:lvl>
  </w:abstractNum>
  <w:abstractNum w:abstractNumId="3">
    <w:nsid w:val="DC4D49BD"/>
    <w:multiLevelType w:val="multilevel"/>
    <w:tmpl w:val="DC4D49BD"/>
    <w:lvl w:ilvl="0" w:tentative="0">
      <w:start w:val="1"/>
      <w:numFmt w:val="decimal"/>
      <w:lvlText w:val="第%1章 "/>
      <w:lvlJc w:val="left"/>
      <w:pPr>
        <w:tabs>
          <w:tab w:val="left" w:pos="0"/>
        </w:tabs>
        <w:ind w:left="0" w:leftChars="0" w:firstLine="0" w:firstLineChars="0"/>
      </w:pPr>
      <w:rPr>
        <w:rFonts w:hint="default" w:ascii="黑体" w:hAnsi="黑体" w:eastAsia="黑体" w:cs="Times New Roman"/>
      </w:rPr>
    </w:lvl>
    <w:lvl w:ilvl="1" w:tentative="0">
      <w:start w:val="1"/>
      <w:numFmt w:val="decimal"/>
      <w:pStyle w:val="4"/>
      <w:lvlText w:val="%1.%2 "/>
      <w:lvlJc w:val="left"/>
      <w:pPr>
        <w:tabs>
          <w:tab w:val="left" w:pos="0"/>
        </w:tabs>
        <w:ind w:left="0" w:leftChars="0" w:firstLine="0" w:firstLineChars="0"/>
      </w:pPr>
      <w:rPr>
        <w:rFonts w:hint="default" w:ascii="Times New Roman" w:hAnsi="Times New Roman" w:eastAsia="宋体" w:cs="Times New Roman"/>
      </w:rPr>
    </w:lvl>
    <w:lvl w:ilvl="2" w:tentative="0">
      <w:start w:val="1"/>
      <w:numFmt w:val="decimal"/>
      <w:pStyle w:val="5"/>
      <w:lvlText w:val="%1.%2.%3 "/>
      <w:lvlJc w:val="left"/>
      <w:pPr>
        <w:tabs>
          <w:tab w:val="left" w:pos="0"/>
        </w:tabs>
        <w:ind w:left="0" w:leftChars="0" w:firstLine="0" w:firstLineChars="0"/>
      </w:pPr>
      <w:rPr>
        <w:rFonts w:hint="default" w:ascii="Times New Roman" w:hAnsi="Times New Roman" w:eastAsia="宋体" w:cs="Times New Roman"/>
        <w:b/>
        <w:bCs/>
      </w:rPr>
    </w:lvl>
    <w:lvl w:ilvl="3" w:tentative="0">
      <w:start w:val="1"/>
      <w:numFmt w:val="decimal"/>
      <w:pStyle w:val="6"/>
      <w:lvlText w:val="%1.%2.%3.%4 "/>
      <w:lvlJc w:val="left"/>
      <w:pPr>
        <w:tabs>
          <w:tab w:val="left" w:pos="0"/>
        </w:tabs>
        <w:ind w:left="0" w:leftChars="0" w:firstLine="0" w:firstLineChars="0"/>
      </w:pPr>
      <w:rPr>
        <w:rFonts w:hint="default" w:ascii="Times New Roman" w:hAnsi="Times New Roman" w:eastAsia="宋体" w:cs="Times New Roman"/>
        <w:b/>
        <w:bCs/>
      </w:rPr>
    </w:lvl>
    <w:lvl w:ilvl="4" w:tentative="0">
      <w:start w:val="1"/>
      <w:numFmt w:val="decimal"/>
      <w:pStyle w:val="7"/>
      <w:lvlText w:val="%1.%2.%3.%4.%5 "/>
      <w:lvlJc w:val="left"/>
      <w:pPr>
        <w:tabs>
          <w:tab w:val="left" w:pos="0"/>
        </w:tabs>
        <w:ind w:left="0" w:leftChars="0" w:firstLine="0" w:firstLineChars="0"/>
      </w:pPr>
      <w:rPr>
        <w:rFonts w:hint="default" w:ascii="Times New Roman" w:hAnsi="Times New Roman" w:eastAsia="宋体" w:cs="Times New Roman"/>
        <w:b/>
        <w:bCs/>
      </w:rPr>
    </w:lvl>
    <w:lvl w:ilvl="5" w:tentative="0">
      <w:start w:val="1"/>
      <w:numFmt w:val="decimal"/>
      <w:pStyle w:val="8"/>
      <w:lvlText w:val="%1.%2.%3.%4.%5.%6 "/>
      <w:lvlJc w:val="left"/>
      <w:pPr>
        <w:tabs>
          <w:tab w:val="left" w:pos="0"/>
        </w:tabs>
        <w:ind w:left="0" w:leftChars="0" w:firstLine="0" w:firstLineChars="0"/>
      </w:pPr>
      <w:rPr>
        <w:rFonts w:hint="default" w:ascii="Times New Roman" w:hAnsi="Times New Roman" w:eastAsia="宋体" w:cs="Times New Roman"/>
        <w:b/>
        <w:bCs/>
      </w:rPr>
    </w:lvl>
    <w:lvl w:ilvl="6" w:tentative="0">
      <w:start w:val="1"/>
      <w:numFmt w:val="decimal"/>
      <w:pStyle w:val="9"/>
      <w:suff w:val="nothing"/>
      <w:lvlText w:val="%1.%2.%3.%4.%5.%6.%7 "/>
      <w:lvlJc w:val="left"/>
      <w:pPr>
        <w:tabs>
          <w:tab w:val="left" w:pos="0"/>
        </w:tabs>
        <w:ind w:left="0" w:leftChars="0" w:firstLine="0" w:firstLineChars="0"/>
      </w:pPr>
      <w:rPr>
        <w:rFonts w:hint="default" w:ascii="Times New Roman" w:hAnsi="Times New Roman" w:eastAsia="宋体" w:cs="Times New Roman"/>
        <w:b/>
        <w:bCs/>
      </w:rPr>
    </w:lvl>
    <w:lvl w:ilvl="7" w:tentative="0">
      <w:start w:val="1"/>
      <w:numFmt w:val="decimal"/>
      <w:pStyle w:val="10"/>
      <w:lvlText w:val="%1.%2.%3.%4.%5.%6.%7.%8 "/>
      <w:lvlJc w:val="left"/>
      <w:pPr>
        <w:tabs>
          <w:tab w:val="left" w:pos="420"/>
        </w:tabs>
        <w:ind w:left="0" w:leftChars="0" w:firstLine="0" w:firstLineChars="0"/>
      </w:pPr>
      <w:rPr>
        <w:rFonts w:hint="default" w:ascii="Times New Roman" w:hAnsi="Times New Roman" w:eastAsia="宋体" w:cs="Times New Roman"/>
      </w:rPr>
    </w:lvl>
    <w:lvl w:ilvl="8" w:tentative="0">
      <w:start w:val="1"/>
      <w:numFmt w:val="decimal"/>
      <w:pStyle w:val="11"/>
      <w:lvlText w:val="%1.%2.%3.%4.%5.%6.%7.%8.%9 "/>
      <w:lvlJc w:val="left"/>
      <w:pPr>
        <w:tabs>
          <w:tab w:val="left" w:pos="0"/>
        </w:tabs>
        <w:ind w:left="0" w:leftChars="0" w:firstLine="0" w:firstLineChars="0"/>
      </w:pPr>
      <w:rPr>
        <w:rFonts w:hint="default" w:ascii="Times New Roman" w:hAnsi="Times New Roman" w:eastAsia="宋体" w:cs="Times New Roman"/>
      </w:rPr>
    </w:lvl>
  </w:abstractNum>
  <w:abstractNum w:abstractNumId="4">
    <w:nsid w:val="E08E37DC"/>
    <w:multiLevelType w:val="singleLevel"/>
    <w:tmpl w:val="E08E37DC"/>
    <w:lvl w:ilvl="0" w:tentative="0">
      <w:start w:val="1"/>
      <w:numFmt w:val="bullet"/>
      <w:pStyle w:val="24"/>
      <w:suff w:val="space"/>
      <w:lvlText w:val=""/>
      <w:lvlJc w:val="left"/>
      <w:pPr>
        <w:tabs>
          <w:tab w:val="left" w:pos="0"/>
        </w:tabs>
        <w:ind w:left="0" w:firstLine="0"/>
      </w:pPr>
      <w:rPr>
        <w:rFonts w:hint="default" w:ascii="Wingdings" w:hAnsi="Wingdings"/>
        <w:color w:val="auto"/>
      </w:rPr>
    </w:lvl>
  </w:abstractNum>
  <w:abstractNum w:abstractNumId="5">
    <w:nsid w:val="106257FD"/>
    <w:multiLevelType w:val="multilevel"/>
    <w:tmpl w:val="106257FD"/>
    <w:lvl w:ilvl="0" w:tentative="0">
      <w:start w:val="1"/>
      <w:numFmt w:val="bullet"/>
      <w:pStyle w:val="17"/>
      <w:suff w:val="space"/>
      <w:lvlText w:val=""/>
      <w:lvlJc w:val="left"/>
      <w:pPr>
        <w:tabs>
          <w:tab w:val="left" w:pos="420"/>
        </w:tabs>
        <w:ind w:left="0" w:firstLine="0"/>
      </w:pPr>
      <w:rPr>
        <w:rFonts w:hint="default" w:ascii="Wingdings" w:hAnsi="Wingdings"/>
        <w:color w:val="auto"/>
      </w:rPr>
    </w:lvl>
    <w:lvl w:ilvl="1" w:tentative="0">
      <w:start w:val="1"/>
      <w:numFmt w:val="bullet"/>
      <w:lvlText w:val=""/>
      <w:lvlJc w:val="left"/>
      <w:pPr>
        <w:ind w:left="1300" w:hanging="440"/>
      </w:pPr>
      <w:rPr>
        <w:rFonts w:hint="default" w:ascii="Wingdings" w:hAnsi="Wingdings"/>
      </w:rPr>
    </w:lvl>
    <w:lvl w:ilvl="2" w:tentative="0">
      <w:start w:val="1"/>
      <w:numFmt w:val="bullet"/>
      <w:lvlText w:val=""/>
      <w:lvlJc w:val="left"/>
      <w:pPr>
        <w:ind w:left="1740" w:hanging="440"/>
      </w:pPr>
      <w:rPr>
        <w:rFonts w:hint="default" w:ascii="Wingdings" w:hAnsi="Wingdings"/>
      </w:rPr>
    </w:lvl>
    <w:lvl w:ilvl="3" w:tentative="0">
      <w:start w:val="1"/>
      <w:numFmt w:val="bullet"/>
      <w:lvlText w:val=""/>
      <w:lvlJc w:val="left"/>
      <w:pPr>
        <w:ind w:left="2180" w:hanging="440"/>
      </w:pPr>
      <w:rPr>
        <w:rFonts w:hint="default" w:ascii="Wingdings" w:hAnsi="Wingdings"/>
      </w:rPr>
    </w:lvl>
    <w:lvl w:ilvl="4" w:tentative="0">
      <w:start w:val="1"/>
      <w:numFmt w:val="bullet"/>
      <w:lvlText w:val=""/>
      <w:lvlJc w:val="left"/>
      <w:pPr>
        <w:ind w:left="2620" w:hanging="440"/>
      </w:pPr>
      <w:rPr>
        <w:rFonts w:hint="default" w:ascii="Wingdings" w:hAnsi="Wingdings"/>
      </w:rPr>
    </w:lvl>
    <w:lvl w:ilvl="5" w:tentative="0">
      <w:start w:val="1"/>
      <w:numFmt w:val="bullet"/>
      <w:lvlText w:val=""/>
      <w:lvlJc w:val="left"/>
      <w:pPr>
        <w:ind w:left="3060" w:hanging="440"/>
      </w:pPr>
      <w:rPr>
        <w:rFonts w:hint="default" w:ascii="Wingdings" w:hAnsi="Wingdings"/>
      </w:rPr>
    </w:lvl>
    <w:lvl w:ilvl="6" w:tentative="0">
      <w:start w:val="1"/>
      <w:numFmt w:val="bullet"/>
      <w:lvlText w:val=""/>
      <w:lvlJc w:val="left"/>
      <w:pPr>
        <w:ind w:left="3500" w:hanging="440"/>
      </w:pPr>
      <w:rPr>
        <w:rFonts w:hint="default" w:ascii="Wingdings" w:hAnsi="Wingdings"/>
      </w:rPr>
    </w:lvl>
    <w:lvl w:ilvl="7" w:tentative="0">
      <w:start w:val="1"/>
      <w:numFmt w:val="bullet"/>
      <w:lvlText w:val=""/>
      <w:lvlJc w:val="left"/>
      <w:pPr>
        <w:ind w:left="3940" w:hanging="440"/>
      </w:pPr>
      <w:rPr>
        <w:rFonts w:hint="default" w:ascii="Wingdings" w:hAnsi="Wingdings"/>
      </w:rPr>
    </w:lvl>
    <w:lvl w:ilvl="8" w:tentative="0">
      <w:start w:val="1"/>
      <w:numFmt w:val="bullet"/>
      <w:lvlText w:val=""/>
      <w:lvlJc w:val="left"/>
      <w:pPr>
        <w:ind w:left="4380" w:hanging="440"/>
      </w:pPr>
      <w:rPr>
        <w:rFonts w:hint="default" w:ascii="Wingdings" w:hAnsi="Wingdings"/>
      </w:rPr>
    </w:lvl>
  </w:abstractNum>
  <w:abstractNum w:abstractNumId="6">
    <w:nsid w:val="74D657D1"/>
    <w:multiLevelType w:val="multilevel"/>
    <w:tmpl w:val="74D657D1"/>
    <w:lvl w:ilvl="0" w:tentative="0">
      <w:start w:val="1"/>
      <w:numFmt w:val="decimal"/>
      <w:pStyle w:val="20"/>
      <w:suff w:val="space"/>
      <w:lvlText w:val="第 %1 条"/>
      <w:lvlJc w:val="left"/>
      <w:pPr>
        <w:tabs>
          <w:tab w:val="left" w:pos="0"/>
        </w:tabs>
        <w:ind w:left="0" w:firstLine="0"/>
      </w:pPr>
      <w:rPr>
        <w:rFonts w:hint="default"/>
      </w:rPr>
    </w:lvl>
    <w:lvl w:ilvl="1" w:tentative="0">
      <w:start w:val="1"/>
      <w:numFmt w:val="decimalFullWidth"/>
      <w:pStyle w:val="14"/>
      <w:isLgl/>
      <w:suff w:val="space"/>
      <w:lvlText w:val="%1.%2"/>
      <w:lvlJc w:val="left"/>
      <w:pPr>
        <w:tabs>
          <w:tab w:val="left" w:pos="420"/>
        </w:tabs>
        <w:ind w:left="0" w:firstLine="0"/>
      </w:pPr>
      <w:rPr>
        <w:rFonts w:hint="eastAsia"/>
      </w:rPr>
    </w:lvl>
    <w:lvl w:ilvl="2" w:tentative="0">
      <w:start w:val="1"/>
      <w:numFmt w:val="decimal"/>
      <w:pStyle w:val="36"/>
      <w:isLgl/>
      <w:suff w:val="space"/>
      <w:lvlText w:val="%1.%2.%3"/>
      <w:lvlJc w:val="left"/>
      <w:pPr>
        <w:tabs>
          <w:tab w:val="left" w:pos="0"/>
        </w:tabs>
        <w:ind w:left="0" w:firstLine="0"/>
      </w:pPr>
      <w:rPr>
        <w:rFonts w:hint="eastAsia"/>
      </w:rPr>
    </w:lvl>
    <w:lvl w:ilvl="3" w:tentative="0">
      <w:start w:val="1"/>
      <w:numFmt w:val="decimal"/>
      <w:pStyle w:val="47"/>
      <w:isLgl/>
      <w:suff w:val="space"/>
      <w:lvlText w:val="%4）"/>
      <w:lvlJc w:val="left"/>
      <w:pPr>
        <w:tabs>
          <w:tab w:val="left" w:pos="420"/>
        </w:tabs>
        <w:ind w:left="0" w:firstLine="0"/>
      </w:pPr>
      <w:rPr>
        <w:rFonts w:hint="default"/>
      </w:rPr>
    </w:lvl>
    <w:lvl w:ilvl="4" w:tentative="0">
      <w:start w:val="1"/>
      <w:numFmt w:val="decimalZero"/>
      <w:pStyle w:val="65"/>
      <w:isLgl/>
      <w:lvlText w:val="%5."/>
      <w:lvlJc w:val="left"/>
      <w:pPr>
        <w:tabs>
          <w:tab w:val="left" w:pos="420"/>
        </w:tabs>
        <w:ind w:left="0" w:firstLine="0"/>
      </w:pPr>
      <w:rPr>
        <w:rFonts w:hint="default"/>
      </w:rPr>
    </w:lvl>
    <w:lvl w:ilvl="5" w:tentative="0">
      <w:start w:val="1"/>
      <w:numFmt w:val="lowerLetter"/>
      <w:lvlText w:val="%6)"/>
      <w:lvlJc w:val="left"/>
      <w:pPr>
        <w:ind w:left="1152" w:hanging="432"/>
      </w:pPr>
      <w:rPr>
        <w:rFonts w:hint="eastAsia"/>
      </w:rPr>
    </w:lvl>
    <w:lvl w:ilvl="6" w:tentative="0">
      <w:start w:val="1"/>
      <w:numFmt w:val="lowerRoman"/>
      <w:lvlText w:val="%7)"/>
      <w:lvlJc w:val="right"/>
      <w:pPr>
        <w:ind w:left="1296" w:hanging="288"/>
      </w:pPr>
      <w:rPr>
        <w:rFonts w:hint="eastAsia"/>
      </w:rPr>
    </w:lvl>
    <w:lvl w:ilvl="7" w:tentative="0">
      <w:start w:val="1"/>
      <w:numFmt w:val="lowerLetter"/>
      <w:lvlText w:val="%8."/>
      <w:lvlJc w:val="left"/>
      <w:pPr>
        <w:ind w:left="1440" w:hanging="432"/>
      </w:pPr>
      <w:rPr>
        <w:rFonts w:hint="eastAsia"/>
      </w:rPr>
    </w:lvl>
    <w:lvl w:ilvl="8" w:tentative="0">
      <w:start w:val="1"/>
      <w:numFmt w:val="lowerRoman"/>
      <w:lvlText w:val="%9."/>
      <w:lvlJc w:val="right"/>
      <w:pPr>
        <w:ind w:left="1584" w:hanging="144"/>
      </w:pPr>
      <w:rPr>
        <w:rFonts w:hint="eastAsia"/>
      </w:rPr>
    </w:lvl>
  </w:abstractNum>
  <w:abstractNum w:abstractNumId="7">
    <w:nsid w:val="789DDC66"/>
    <w:multiLevelType w:val="singleLevel"/>
    <w:tmpl w:val="789DDC66"/>
    <w:lvl w:ilvl="0" w:tentative="0">
      <w:start w:val="1"/>
      <w:numFmt w:val="bullet"/>
      <w:pStyle w:val="33"/>
      <w:suff w:val="space"/>
      <w:lvlText w:val=""/>
      <w:lvlJc w:val="left"/>
      <w:pPr>
        <w:tabs>
          <w:tab w:val="left" w:pos="420"/>
        </w:tabs>
        <w:ind w:left="0" w:firstLine="0"/>
      </w:pPr>
      <w:rPr>
        <w:rFonts w:hint="default" w:ascii="Wingdings" w:hAnsi="Wingdings"/>
        <w:color w:val="auto"/>
      </w:rPr>
    </w:lvl>
  </w:abstractNum>
  <w:num w:numId="1">
    <w:abstractNumId w:val="0"/>
  </w:num>
  <w:num w:numId="2">
    <w:abstractNumId w:val="3"/>
  </w:num>
  <w:num w:numId="3">
    <w:abstractNumId w:val="6"/>
  </w:num>
  <w:num w:numId="4">
    <w:abstractNumId w:val="5"/>
  </w:num>
  <w:num w:numId="5">
    <w:abstractNumId w:val="4"/>
  </w:num>
  <w:num w:numId="6">
    <w:abstractNumId w:val="7"/>
  </w:num>
  <w:num w:numId="7">
    <w:abstractNumId w:val="1"/>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E676A83"/>
    <w:rsid w:val="19C94F6A"/>
    <w:rsid w:val="22DB2438"/>
    <w:rsid w:val="52406F39"/>
    <w:rsid w:val="5E725701"/>
    <w:rsid w:val="73D82A9B"/>
    <w:rsid w:val="7573066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semiHidden="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qFormat="1"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qFormat="1" w:unhideWhenUsed="0" w:uiPriority="99"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widowControl w:val="0"/>
      <w:bidi w:val="0"/>
      <w:adjustRightInd w:val="0"/>
      <w:snapToGrid w:val="0"/>
      <w:spacing w:line="360" w:lineRule="auto"/>
      <w:ind w:firstLine="440" w:firstLineChars="200"/>
      <w:jc w:val="both"/>
    </w:pPr>
    <w:rPr>
      <w:rFonts w:ascii="宋体" w:hAnsi="宋体" w:eastAsia="宋体" w:cs="Times New Roman"/>
      <w:color w:val="auto"/>
      <w:kern w:val="2"/>
      <w:sz w:val="24"/>
      <w:szCs w:val="24"/>
      <w:lang w:val="en-US" w:eastAsia="zh-CN" w:bidi="ar-SA"/>
    </w:rPr>
  </w:style>
  <w:style w:type="paragraph" w:styleId="3">
    <w:name w:val="heading 1"/>
    <w:next w:val="1"/>
    <w:link w:val="200"/>
    <w:qFormat/>
    <w:uiPriority w:val="9"/>
    <w:pPr>
      <w:keepNext/>
      <w:keepLines/>
      <w:numPr>
        <w:ilvl w:val="0"/>
        <w:numId w:val="1"/>
      </w:numPr>
      <w:tabs>
        <w:tab w:val="left" w:pos="-420"/>
      </w:tabs>
      <w:bidi w:val="0"/>
      <w:adjustRightInd w:val="0"/>
      <w:snapToGrid w:val="0"/>
      <w:spacing w:before="50" w:beforeLines="50" w:after="50" w:afterLines="50" w:line="288" w:lineRule="auto"/>
      <w:ind w:left="0" w:leftChars="0" w:firstLine="0" w:firstLineChars="0"/>
      <w:outlineLvl w:val="0"/>
    </w:pPr>
    <w:rPr>
      <w:rFonts w:ascii="黑体" w:hAnsi="黑体" w:eastAsia="黑体" w:cs="Times New Roman"/>
      <w:b/>
      <w:bCs/>
      <w:color w:val="auto"/>
      <w:kern w:val="44"/>
      <w:sz w:val="32"/>
      <w:szCs w:val="32"/>
      <w:lang w:val="en-US" w:eastAsia="zh-CN" w:bidi="ar-SA"/>
    </w:rPr>
  </w:style>
  <w:style w:type="paragraph" w:styleId="4">
    <w:name w:val="heading 2"/>
    <w:next w:val="1"/>
    <w:link w:val="201"/>
    <w:unhideWhenUsed/>
    <w:qFormat/>
    <w:uiPriority w:val="9"/>
    <w:pPr>
      <w:numPr>
        <w:ilvl w:val="1"/>
        <w:numId w:val="2"/>
      </w:numPr>
      <w:bidi w:val="0"/>
      <w:adjustRightInd w:val="0"/>
      <w:snapToGrid w:val="0"/>
      <w:spacing w:before="50" w:beforeLines="50" w:after="50" w:afterLines="50" w:line="288" w:lineRule="auto"/>
      <w:ind w:left="0" w:leftChars="0" w:firstLine="0" w:firstLineChars="0"/>
      <w:outlineLvl w:val="1"/>
    </w:pPr>
    <w:rPr>
      <w:rFonts w:ascii="黑体" w:hAnsi="黑体" w:eastAsia="黑体" w:cs="Times New Roman"/>
      <w:b/>
      <w:bCs/>
      <w:color w:val="auto"/>
      <w:kern w:val="2"/>
      <w:sz w:val="30"/>
      <w:szCs w:val="30"/>
      <w:lang w:val="en-US" w:eastAsia="zh-CN" w:bidi="ar-SA"/>
    </w:rPr>
  </w:style>
  <w:style w:type="paragraph" w:styleId="5">
    <w:name w:val="heading 3"/>
    <w:next w:val="1"/>
    <w:link w:val="202"/>
    <w:unhideWhenUsed/>
    <w:qFormat/>
    <w:uiPriority w:val="9"/>
    <w:pPr>
      <w:numPr>
        <w:ilvl w:val="2"/>
        <w:numId w:val="2"/>
      </w:numPr>
      <w:bidi w:val="0"/>
      <w:adjustRightInd w:val="0"/>
      <w:snapToGrid w:val="0"/>
      <w:spacing w:before="50" w:beforeLines="50" w:after="50" w:afterLines="50" w:line="288" w:lineRule="auto"/>
      <w:ind w:left="0" w:leftChars="0" w:firstLine="0" w:firstLineChars="0"/>
      <w:outlineLvl w:val="2"/>
    </w:pPr>
    <w:rPr>
      <w:rFonts w:ascii="黑体" w:hAnsi="黑体" w:eastAsia="黑体" w:cs="Times New Roman"/>
      <w:b/>
      <w:bCs/>
      <w:color w:val="auto"/>
      <w:kern w:val="2"/>
      <w:sz w:val="28"/>
      <w:szCs w:val="28"/>
      <w:lang w:val="en-US" w:eastAsia="zh-CN" w:bidi="ar-SA"/>
    </w:rPr>
  </w:style>
  <w:style w:type="paragraph" w:styleId="6">
    <w:name w:val="heading 4"/>
    <w:next w:val="1"/>
    <w:link w:val="260"/>
    <w:unhideWhenUsed/>
    <w:qFormat/>
    <w:uiPriority w:val="9"/>
    <w:pPr>
      <w:numPr>
        <w:ilvl w:val="3"/>
        <w:numId w:val="2"/>
      </w:numPr>
      <w:bidi w:val="0"/>
      <w:adjustRightInd w:val="0"/>
      <w:snapToGrid w:val="0"/>
      <w:spacing w:before="50" w:beforeLines="50" w:after="50" w:afterLines="50" w:line="288" w:lineRule="auto"/>
      <w:ind w:left="0" w:leftChars="0" w:firstLine="0" w:firstLineChars="0"/>
      <w:outlineLvl w:val="3"/>
    </w:pPr>
    <w:rPr>
      <w:rFonts w:ascii="黑体" w:hAnsi="黑体" w:eastAsia="黑体" w:cs="Times New Roman"/>
      <w:b/>
      <w:bCs/>
      <w:color w:val="auto"/>
      <w:sz w:val="28"/>
      <w:szCs w:val="28"/>
      <w:lang w:val="en-US" w:eastAsia="zh-CN" w:bidi="ar-SA"/>
    </w:rPr>
  </w:style>
  <w:style w:type="paragraph" w:styleId="7">
    <w:name w:val="heading 5"/>
    <w:next w:val="1"/>
    <w:link w:val="213"/>
    <w:unhideWhenUsed/>
    <w:qFormat/>
    <w:uiPriority w:val="9"/>
    <w:pPr>
      <w:keepNext w:val="0"/>
      <w:keepLines w:val="0"/>
      <w:pageBreakBefore w:val="0"/>
      <w:widowControl/>
      <w:numPr>
        <w:ilvl w:val="4"/>
        <w:numId w:val="2"/>
      </w:numPr>
      <w:tabs>
        <w:tab w:val="left" w:pos="420"/>
      </w:tabs>
      <w:kinsoku/>
      <w:wordWrap/>
      <w:overflowPunct/>
      <w:topLinePunct w:val="0"/>
      <w:autoSpaceDE/>
      <w:autoSpaceDN/>
      <w:bidi w:val="0"/>
      <w:adjustRightInd w:val="0"/>
      <w:snapToGrid w:val="0"/>
      <w:spacing w:before="50" w:beforeLines="50" w:after="50" w:afterLines="50" w:line="288" w:lineRule="auto"/>
      <w:ind w:left="0" w:leftChars="0" w:firstLine="0" w:firstLineChars="0"/>
      <w:textAlignment w:val="auto"/>
      <w:outlineLvl w:val="4"/>
    </w:pPr>
    <w:rPr>
      <w:rFonts w:ascii="黑体" w:hAnsi="黑体" w:eastAsia="黑体" w:cs="Times New Roman"/>
      <w:b/>
      <w:bCs/>
      <w:color w:val="262626" w:themeColor="text1" w:themeTint="D9"/>
      <w:sz w:val="28"/>
      <w:szCs w:val="28"/>
      <w:lang w:val="en-US" w:eastAsia="zh-CN" w:bidi="ar-SA"/>
      <w14:textFill>
        <w14:solidFill>
          <w14:schemeClr w14:val="tx1">
            <w14:lumMod w14:val="85000"/>
            <w14:lumOff w14:val="15000"/>
          </w14:schemeClr>
        </w14:solidFill>
      </w14:textFill>
    </w:rPr>
  </w:style>
  <w:style w:type="paragraph" w:styleId="8">
    <w:name w:val="heading 6"/>
    <w:next w:val="1"/>
    <w:link w:val="214"/>
    <w:unhideWhenUsed/>
    <w:qFormat/>
    <w:uiPriority w:val="0"/>
    <w:pPr>
      <w:keepNext w:val="0"/>
      <w:keepLines w:val="0"/>
      <w:pageBreakBefore w:val="0"/>
      <w:widowControl/>
      <w:numPr>
        <w:ilvl w:val="5"/>
        <w:numId w:val="2"/>
      </w:numPr>
      <w:kinsoku/>
      <w:wordWrap/>
      <w:overflowPunct/>
      <w:topLinePunct w:val="0"/>
      <w:autoSpaceDE/>
      <w:autoSpaceDN/>
      <w:bidi w:val="0"/>
      <w:adjustRightInd w:val="0"/>
      <w:snapToGrid w:val="0"/>
      <w:spacing w:before="50" w:beforeLines="50" w:after="50" w:afterLines="50" w:line="288" w:lineRule="auto"/>
      <w:ind w:left="0" w:leftChars="0" w:firstLine="0" w:firstLineChars="0"/>
      <w:textAlignment w:val="auto"/>
      <w:outlineLvl w:val="5"/>
    </w:pPr>
    <w:rPr>
      <w:rFonts w:ascii="黑体" w:hAnsi="黑体" w:eastAsia="黑体" w:cs="黑体"/>
      <w:b/>
      <w:bCs/>
      <w:color w:val="auto"/>
      <w:sz w:val="24"/>
      <w:szCs w:val="24"/>
      <w:lang w:val="en-US" w:eastAsia="zh-CN" w:bidi="ar-SA"/>
    </w:rPr>
  </w:style>
  <w:style w:type="paragraph" w:styleId="9">
    <w:name w:val="heading 7"/>
    <w:next w:val="1"/>
    <w:link w:val="215"/>
    <w:unhideWhenUsed/>
    <w:qFormat/>
    <w:uiPriority w:val="0"/>
    <w:pPr>
      <w:keepNext w:val="0"/>
      <w:keepLines w:val="0"/>
      <w:pageBreakBefore w:val="0"/>
      <w:widowControl/>
      <w:numPr>
        <w:ilvl w:val="6"/>
        <w:numId w:val="2"/>
      </w:numPr>
      <w:tabs>
        <w:tab w:val="left" w:pos="420"/>
        <w:tab w:val="left" w:pos="4800"/>
      </w:tabs>
      <w:kinsoku/>
      <w:wordWrap/>
      <w:overflowPunct/>
      <w:topLinePunct w:val="0"/>
      <w:autoSpaceDE/>
      <w:autoSpaceDN/>
      <w:bidi w:val="0"/>
      <w:adjustRightInd w:val="0"/>
      <w:snapToGrid w:val="0"/>
      <w:spacing w:before="50" w:beforeLines="50" w:after="50" w:afterLines="50" w:line="288" w:lineRule="auto"/>
      <w:ind w:left="0" w:leftChars="0" w:firstLine="0" w:firstLineChars="0"/>
      <w:textAlignment w:val="auto"/>
      <w:outlineLvl w:val="6"/>
    </w:pPr>
    <w:rPr>
      <w:rFonts w:ascii="黑体" w:hAnsi="黑体" w:eastAsia="黑体" w:cs="Times New Roman"/>
      <w:b/>
      <w:bCs/>
      <w:color w:val="auto"/>
      <w:sz w:val="24"/>
      <w:szCs w:val="24"/>
      <w:lang w:val="en-US" w:eastAsia="zh-CN" w:bidi="ar-SA"/>
    </w:rPr>
  </w:style>
  <w:style w:type="paragraph" w:styleId="10">
    <w:name w:val="heading 8"/>
    <w:next w:val="1"/>
    <w:link w:val="216"/>
    <w:unhideWhenUsed/>
    <w:qFormat/>
    <w:uiPriority w:val="0"/>
    <w:pPr>
      <w:keepNext w:val="0"/>
      <w:keepLines w:val="0"/>
      <w:pageBreakBefore w:val="0"/>
      <w:widowControl/>
      <w:numPr>
        <w:ilvl w:val="7"/>
        <w:numId w:val="2"/>
      </w:numPr>
      <w:tabs>
        <w:tab w:val="left" w:pos="0"/>
      </w:tabs>
      <w:kinsoku/>
      <w:wordWrap/>
      <w:overflowPunct/>
      <w:topLinePunct w:val="0"/>
      <w:autoSpaceDE/>
      <w:autoSpaceDN/>
      <w:bidi w:val="0"/>
      <w:adjustRightInd w:val="0"/>
      <w:snapToGrid w:val="0"/>
      <w:spacing w:before="50" w:beforeLines="50" w:after="50" w:afterLines="50" w:line="288" w:lineRule="auto"/>
      <w:ind w:left="0" w:leftChars="0" w:firstLine="0" w:firstLineChars="0"/>
      <w:textAlignment w:val="auto"/>
      <w:outlineLvl w:val="7"/>
    </w:pPr>
    <w:rPr>
      <w:rFonts w:ascii="黑体" w:hAnsi="黑体" w:eastAsia="黑体" w:cs="Times New Roman"/>
      <w:color w:val="auto"/>
      <w:sz w:val="24"/>
      <w:szCs w:val="24"/>
      <w:lang w:val="en-US" w:eastAsia="zh-CN" w:bidi="ar-SA"/>
    </w:rPr>
  </w:style>
  <w:style w:type="paragraph" w:styleId="11">
    <w:name w:val="heading 9"/>
    <w:next w:val="1"/>
    <w:link w:val="217"/>
    <w:unhideWhenUsed/>
    <w:qFormat/>
    <w:uiPriority w:val="0"/>
    <w:pPr>
      <w:keepNext w:val="0"/>
      <w:keepLines w:val="0"/>
      <w:pageBreakBefore w:val="0"/>
      <w:widowControl/>
      <w:numPr>
        <w:ilvl w:val="8"/>
        <w:numId w:val="2"/>
      </w:numPr>
      <w:kinsoku/>
      <w:wordWrap/>
      <w:overflowPunct/>
      <w:topLinePunct w:val="0"/>
      <w:autoSpaceDE/>
      <w:autoSpaceDN/>
      <w:bidi w:val="0"/>
      <w:adjustRightInd w:val="0"/>
      <w:snapToGrid w:val="0"/>
      <w:spacing w:before="50" w:beforeLines="50" w:after="50" w:afterLines="50" w:line="288" w:lineRule="auto"/>
      <w:ind w:left="0" w:leftChars="0" w:firstLine="0" w:firstLineChars="0"/>
      <w:textAlignment w:val="auto"/>
      <w:outlineLvl w:val="8"/>
    </w:pPr>
    <w:rPr>
      <w:rFonts w:ascii="黑体" w:hAnsi="黑体" w:eastAsia="黑体" w:cs="Times New Roman"/>
      <w:color w:val="auto"/>
      <w:sz w:val="24"/>
      <w:szCs w:val="24"/>
      <w:lang w:val="en-US" w:eastAsia="zh-CN" w:bidi="ar-SA"/>
    </w:rPr>
  </w:style>
  <w:style w:type="character" w:default="1" w:styleId="188">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macro"/>
    <w:link w:val="240"/>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ind w:firstLine="440" w:firstLineChars="200"/>
    </w:pPr>
    <w:rPr>
      <w:rFonts w:ascii="Courier New" w:hAnsi="Courier New" w:eastAsia="宋体" w:cs="Courier New"/>
      <w:kern w:val="2"/>
      <w:sz w:val="24"/>
      <w:szCs w:val="24"/>
    </w:rPr>
  </w:style>
  <w:style w:type="paragraph" w:styleId="12">
    <w:name w:val="List 3"/>
    <w:basedOn w:val="1"/>
    <w:qFormat/>
    <w:uiPriority w:val="0"/>
    <w:pPr>
      <w:ind w:left="100" w:leftChars="400" w:hanging="200" w:hangingChars="200"/>
      <w:contextualSpacing/>
    </w:pPr>
  </w:style>
  <w:style w:type="paragraph" w:styleId="13">
    <w:name w:val="toc 7"/>
    <w:basedOn w:val="1"/>
    <w:next w:val="1"/>
    <w:qFormat/>
    <w:uiPriority w:val="0"/>
    <w:pPr>
      <w:ind w:left="2520" w:leftChars="1200"/>
    </w:pPr>
  </w:style>
  <w:style w:type="paragraph" w:styleId="14">
    <w:name w:val="List Number 2"/>
    <w:basedOn w:val="1"/>
    <w:qFormat/>
    <w:uiPriority w:val="0"/>
    <w:pPr>
      <w:numPr>
        <w:ilvl w:val="1"/>
        <w:numId w:val="3"/>
      </w:numPr>
      <w:tabs>
        <w:tab w:val="left" w:pos="419"/>
        <w:tab w:val="left" w:pos="1843"/>
        <w:tab w:val="clear" w:pos="420"/>
      </w:tabs>
      <w:spacing w:before="50" w:after="50"/>
      <w:ind w:firstLineChars="0"/>
    </w:pPr>
  </w:style>
  <w:style w:type="paragraph" w:styleId="15">
    <w:name w:val="table of authorities"/>
    <w:basedOn w:val="1"/>
    <w:next w:val="1"/>
    <w:qFormat/>
    <w:uiPriority w:val="0"/>
    <w:pPr>
      <w:ind w:left="420" w:leftChars="200" w:firstLine="0"/>
    </w:pPr>
  </w:style>
  <w:style w:type="paragraph" w:styleId="16">
    <w:name w:val="Note Heading"/>
    <w:basedOn w:val="1"/>
    <w:next w:val="1"/>
    <w:link w:val="254"/>
    <w:qFormat/>
    <w:uiPriority w:val="0"/>
    <w:pPr>
      <w:jc w:val="center"/>
    </w:pPr>
    <w:rPr>
      <w:rFonts w:ascii="汉仪正圆-45W" w:hAnsi="汉仪正圆-45W" w:eastAsia="汉仪正圆-45W" w:cstheme="minorBidi"/>
      <w:kern w:val="2"/>
      <w:sz w:val="22"/>
      <w:szCs w:val="22"/>
    </w:rPr>
  </w:style>
  <w:style w:type="paragraph" w:styleId="17">
    <w:name w:val="List Bullet 4"/>
    <w:basedOn w:val="1"/>
    <w:qFormat/>
    <w:uiPriority w:val="0"/>
    <w:pPr>
      <w:numPr>
        <w:ilvl w:val="0"/>
        <w:numId w:val="4"/>
      </w:numPr>
      <w:tabs>
        <w:tab w:val="clear" w:pos="420"/>
      </w:tabs>
      <w:spacing w:before="50" w:after="50"/>
      <w:ind w:left="1361" w:hanging="340"/>
    </w:pPr>
  </w:style>
  <w:style w:type="paragraph" w:styleId="18">
    <w:name w:val="index 8"/>
    <w:basedOn w:val="1"/>
    <w:next w:val="1"/>
    <w:qFormat/>
    <w:uiPriority w:val="0"/>
    <w:pPr>
      <w:ind w:left="1400" w:leftChars="1400" w:firstLine="0"/>
    </w:pPr>
  </w:style>
  <w:style w:type="paragraph" w:styleId="19">
    <w:name w:val="E-mail Signature"/>
    <w:basedOn w:val="1"/>
    <w:link w:val="239"/>
    <w:qFormat/>
    <w:uiPriority w:val="0"/>
    <w:rPr>
      <w:rFonts w:ascii="汉仪正圆-45W" w:hAnsi="汉仪正圆-45W" w:eastAsia="汉仪正圆-45W" w:cstheme="minorBidi"/>
      <w:kern w:val="2"/>
      <w:sz w:val="22"/>
      <w:szCs w:val="22"/>
    </w:rPr>
  </w:style>
  <w:style w:type="paragraph" w:styleId="20">
    <w:name w:val="List Number"/>
    <w:basedOn w:val="1"/>
    <w:link w:val="264"/>
    <w:qFormat/>
    <w:uiPriority w:val="0"/>
    <w:pPr>
      <w:numPr>
        <w:ilvl w:val="0"/>
        <w:numId w:val="3"/>
      </w:numPr>
      <w:tabs>
        <w:tab w:val="clear" w:pos="0"/>
      </w:tabs>
      <w:spacing w:before="50" w:after="50"/>
      <w:ind w:firstLineChars="0"/>
    </w:pPr>
  </w:style>
  <w:style w:type="paragraph" w:styleId="21">
    <w:name w:val="Normal Indent"/>
    <w:basedOn w:val="1"/>
    <w:qFormat/>
    <w:uiPriority w:val="0"/>
    <w:pPr>
      <w:ind w:firstLine="420"/>
    </w:pPr>
  </w:style>
  <w:style w:type="paragraph" w:styleId="22">
    <w:name w:val="caption"/>
    <w:basedOn w:val="1"/>
    <w:next w:val="1"/>
    <w:unhideWhenUsed/>
    <w:qFormat/>
    <w:uiPriority w:val="0"/>
    <w:pPr>
      <w:ind w:firstLine="0" w:firstLineChars="0"/>
    </w:pPr>
    <w:rPr>
      <w:sz w:val="20"/>
      <w:szCs w:val="20"/>
    </w:rPr>
  </w:style>
  <w:style w:type="paragraph" w:styleId="23">
    <w:name w:val="index 5"/>
    <w:basedOn w:val="1"/>
    <w:next w:val="1"/>
    <w:qFormat/>
    <w:uiPriority w:val="0"/>
    <w:pPr>
      <w:ind w:left="800" w:leftChars="800" w:firstLine="0"/>
    </w:pPr>
  </w:style>
  <w:style w:type="paragraph" w:styleId="24">
    <w:name w:val="List Bullet"/>
    <w:basedOn w:val="1"/>
    <w:link w:val="265"/>
    <w:qFormat/>
    <w:uiPriority w:val="0"/>
    <w:pPr>
      <w:numPr>
        <w:ilvl w:val="0"/>
        <w:numId w:val="5"/>
      </w:numPr>
      <w:tabs>
        <w:tab w:val="clear" w:pos="0"/>
      </w:tabs>
      <w:spacing w:before="50" w:after="50"/>
      <w:ind w:left="425" w:hanging="425"/>
    </w:pPr>
  </w:style>
  <w:style w:type="paragraph" w:styleId="25">
    <w:name w:val="envelope address"/>
    <w:basedOn w:val="1"/>
    <w:qFormat/>
    <w:uiPriority w:val="0"/>
    <w:pPr>
      <w:framePr w:w="7920" w:h="1980" w:hRule="exact" w:hSpace="180" w:wrap="auto" w:vAnchor="margin" w:hAnchor="page" w:xAlign="center" w:yAlign="bottom"/>
      <w:ind w:left="100" w:leftChars="1400"/>
    </w:pPr>
    <w:rPr>
      <w:rFonts w:asciiTheme="majorHAnsi" w:hAnsiTheme="majorHAnsi" w:eastAsiaTheme="majorEastAsia" w:cstheme="majorBidi"/>
      <w:sz w:val="24"/>
      <w:szCs w:val="24"/>
    </w:rPr>
  </w:style>
  <w:style w:type="paragraph" w:styleId="26">
    <w:name w:val="Document Map"/>
    <w:basedOn w:val="1"/>
    <w:link w:val="244"/>
    <w:qFormat/>
    <w:uiPriority w:val="0"/>
    <w:rPr>
      <w:rFonts w:ascii="Microsoft YaHei UI" w:hAnsi="汉仪正圆-45W" w:eastAsia="Microsoft YaHei UI" w:cstheme="minorBidi"/>
      <w:kern w:val="2"/>
      <w:sz w:val="18"/>
      <w:szCs w:val="18"/>
    </w:rPr>
  </w:style>
  <w:style w:type="paragraph" w:styleId="27">
    <w:name w:val="toa heading"/>
    <w:basedOn w:val="1"/>
    <w:next w:val="1"/>
    <w:qFormat/>
    <w:uiPriority w:val="0"/>
    <w:pPr>
      <w:spacing w:before="120"/>
    </w:pPr>
    <w:rPr>
      <w:rFonts w:asciiTheme="majorHAnsi" w:hAnsiTheme="majorHAnsi" w:eastAsiaTheme="majorEastAsia" w:cstheme="majorBidi"/>
      <w:sz w:val="24"/>
      <w:szCs w:val="24"/>
    </w:rPr>
  </w:style>
  <w:style w:type="paragraph" w:styleId="28">
    <w:name w:val="annotation text"/>
    <w:basedOn w:val="1"/>
    <w:qFormat/>
    <w:uiPriority w:val="0"/>
    <w:pPr>
      <w:ind w:firstLine="0" w:firstLineChars="0"/>
      <w:jc w:val="left"/>
    </w:pPr>
  </w:style>
  <w:style w:type="paragraph" w:styleId="29">
    <w:name w:val="index 6"/>
    <w:basedOn w:val="1"/>
    <w:next w:val="1"/>
    <w:qFormat/>
    <w:uiPriority w:val="0"/>
    <w:pPr>
      <w:ind w:left="1000" w:leftChars="1000" w:firstLine="0"/>
    </w:pPr>
  </w:style>
  <w:style w:type="paragraph" w:styleId="30">
    <w:name w:val="Salutation"/>
    <w:basedOn w:val="1"/>
    <w:next w:val="1"/>
    <w:link w:val="237"/>
    <w:qFormat/>
    <w:uiPriority w:val="0"/>
    <w:pPr>
      <w:ind w:firstLine="0" w:firstLineChars="0"/>
    </w:pPr>
    <w:rPr>
      <w:rFonts w:ascii="汉仪正圆-45W" w:hAnsi="汉仪正圆-45W" w:eastAsia="宋体" w:cstheme="minorBidi"/>
      <w:kern w:val="2"/>
      <w:sz w:val="22"/>
      <w:szCs w:val="22"/>
    </w:rPr>
  </w:style>
  <w:style w:type="paragraph" w:styleId="31">
    <w:name w:val="Body Text 3"/>
    <w:basedOn w:val="1"/>
    <w:link w:val="247"/>
    <w:qFormat/>
    <w:uiPriority w:val="0"/>
    <w:pPr>
      <w:spacing w:after="120"/>
    </w:pPr>
    <w:rPr>
      <w:rFonts w:ascii="汉仪正圆-45W" w:hAnsi="汉仪正圆-45W" w:eastAsia="汉仪正圆-45W" w:cstheme="minorBidi"/>
      <w:kern w:val="2"/>
      <w:sz w:val="16"/>
      <w:szCs w:val="16"/>
    </w:rPr>
  </w:style>
  <w:style w:type="paragraph" w:styleId="32">
    <w:name w:val="Closing"/>
    <w:basedOn w:val="1"/>
    <w:link w:val="241"/>
    <w:qFormat/>
    <w:uiPriority w:val="0"/>
    <w:pPr>
      <w:ind w:left="100" w:leftChars="2100"/>
    </w:pPr>
    <w:rPr>
      <w:rFonts w:ascii="汉仪正圆-45W" w:hAnsi="汉仪正圆-45W" w:eastAsia="汉仪正圆-45W" w:cstheme="minorBidi"/>
      <w:kern w:val="2"/>
      <w:sz w:val="22"/>
      <w:szCs w:val="22"/>
    </w:rPr>
  </w:style>
  <w:style w:type="paragraph" w:styleId="33">
    <w:name w:val="List Bullet 3"/>
    <w:basedOn w:val="1"/>
    <w:qFormat/>
    <w:uiPriority w:val="0"/>
    <w:pPr>
      <w:numPr>
        <w:ilvl w:val="0"/>
        <w:numId w:val="6"/>
      </w:numPr>
      <w:tabs>
        <w:tab w:val="clear" w:pos="420"/>
      </w:tabs>
      <w:spacing w:before="50" w:after="50"/>
      <w:ind w:left="964" w:hanging="340"/>
    </w:pPr>
  </w:style>
  <w:style w:type="paragraph" w:styleId="34">
    <w:name w:val="Body Text"/>
    <w:basedOn w:val="1"/>
    <w:link w:val="248"/>
    <w:qFormat/>
    <w:uiPriority w:val="0"/>
    <w:rPr>
      <w:rFonts w:ascii="宋体" w:hAnsi="宋体" w:eastAsia="宋体" w:cs="宋体"/>
      <w:kern w:val="2"/>
      <w:sz w:val="28"/>
      <w:szCs w:val="28"/>
      <w:lang w:val="en-US" w:eastAsia="zh-CN" w:bidi="ar-SA"/>
    </w:rPr>
  </w:style>
  <w:style w:type="paragraph" w:styleId="35">
    <w:name w:val="Body Text Indent"/>
    <w:basedOn w:val="1"/>
    <w:link w:val="250"/>
    <w:qFormat/>
    <w:uiPriority w:val="0"/>
    <w:pPr>
      <w:spacing w:after="120"/>
      <w:ind w:left="420" w:leftChars="200"/>
    </w:pPr>
    <w:rPr>
      <w:rFonts w:ascii="汉仪正圆-45W" w:hAnsi="汉仪正圆-45W" w:eastAsia="汉仪正圆-45W" w:cstheme="minorBidi"/>
      <w:kern w:val="2"/>
      <w:sz w:val="22"/>
      <w:szCs w:val="22"/>
    </w:rPr>
  </w:style>
  <w:style w:type="paragraph" w:styleId="36">
    <w:name w:val="List Number 3"/>
    <w:basedOn w:val="1"/>
    <w:qFormat/>
    <w:uiPriority w:val="0"/>
    <w:pPr>
      <w:numPr>
        <w:ilvl w:val="2"/>
        <w:numId w:val="3"/>
      </w:numPr>
      <w:spacing w:before="50" w:after="50"/>
    </w:pPr>
  </w:style>
  <w:style w:type="paragraph" w:styleId="37">
    <w:name w:val="List 2"/>
    <w:basedOn w:val="1"/>
    <w:qFormat/>
    <w:uiPriority w:val="0"/>
    <w:pPr>
      <w:ind w:left="100" w:leftChars="200" w:hanging="200" w:hangingChars="200"/>
      <w:contextualSpacing/>
    </w:pPr>
  </w:style>
  <w:style w:type="paragraph" w:styleId="38">
    <w:name w:val="List Continue"/>
    <w:basedOn w:val="1"/>
    <w:qFormat/>
    <w:uiPriority w:val="0"/>
    <w:pPr>
      <w:spacing w:after="120"/>
      <w:ind w:left="420" w:leftChars="200"/>
      <w:contextualSpacing/>
    </w:pPr>
  </w:style>
  <w:style w:type="paragraph" w:styleId="39">
    <w:name w:val="Block Text"/>
    <w:basedOn w:val="1"/>
    <w:qFormat/>
    <w:uiPriority w:val="0"/>
    <w:pPr>
      <w:spacing w:after="120"/>
      <w:ind w:left="1440" w:leftChars="700" w:right="1440" w:rightChars="700"/>
    </w:pPr>
  </w:style>
  <w:style w:type="paragraph" w:styleId="40">
    <w:name w:val="List Bullet 2"/>
    <w:basedOn w:val="1"/>
    <w:link w:val="266"/>
    <w:qFormat/>
    <w:uiPriority w:val="0"/>
    <w:pPr>
      <w:numPr>
        <w:ilvl w:val="0"/>
        <w:numId w:val="7"/>
      </w:numPr>
      <w:tabs>
        <w:tab w:val="clear" w:pos="0"/>
      </w:tabs>
      <w:spacing w:before="50" w:after="50"/>
      <w:ind w:left="646" w:hanging="227"/>
    </w:pPr>
  </w:style>
  <w:style w:type="paragraph" w:styleId="41">
    <w:name w:val="HTML Address"/>
    <w:basedOn w:val="1"/>
    <w:link w:val="267"/>
    <w:qFormat/>
    <w:uiPriority w:val="0"/>
    <w:rPr>
      <w:i/>
      <w:iCs/>
    </w:rPr>
  </w:style>
  <w:style w:type="paragraph" w:styleId="42">
    <w:name w:val="index 4"/>
    <w:basedOn w:val="1"/>
    <w:next w:val="1"/>
    <w:qFormat/>
    <w:uiPriority w:val="0"/>
    <w:pPr>
      <w:ind w:left="600" w:leftChars="600" w:firstLine="0"/>
    </w:pPr>
  </w:style>
  <w:style w:type="paragraph" w:styleId="43">
    <w:name w:val="toc 5"/>
    <w:basedOn w:val="1"/>
    <w:next w:val="1"/>
    <w:qFormat/>
    <w:uiPriority w:val="0"/>
    <w:pPr>
      <w:ind w:left="1680" w:leftChars="800" w:firstLine="0" w:firstLineChars="0"/>
    </w:pPr>
  </w:style>
  <w:style w:type="paragraph" w:styleId="44">
    <w:name w:val="toc 3"/>
    <w:basedOn w:val="1"/>
    <w:next w:val="1"/>
    <w:qFormat/>
    <w:uiPriority w:val="0"/>
    <w:pPr>
      <w:ind w:left="840" w:leftChars="400" w:firstLine="0" w:firstLineChars="0"/>
    </w:pPr>
  </w:style>
  <w:style w:type="paragraph" w:styleId="45">
    <w:name w:val="Plain Text"/>
    <w:basedOn w:val="1"/>
    <w:link w:val="238"/>
    <w:qFormat/>
    <w:uiPriority w:val="0"/>
    <w:rPr>
      <w:rFonts w:hAnsi="Courier New" w:cs="Courier New" w:asciiTheme="minorEastAsia" w:eastAsiaTheme="minorEastAsia"/>
      <w:kern w:val="2"/>
      <w:sz w:val="22"/>
      <w:szCs w:val="22"/>
    </w:rPr>
  </w:style>
  <w:style w:type="paragraph" w:styleId="46">
    <w:name w:val="List Bullet 5"/>
    <w:basedOn w:val="1"/>
    <w:qFormat/>
    <w:uiPriority w:val="0"/>
    <w:pPr>
      <w:numPr>
        <w:ilvl w:val="0"/>
        <w:numId w:val="8"/>
      </w:numPr>
      <w:tabs>
        <w:tab w:val="clear" w:pos="420"/>
      </w:tabs>
      <w:spacing w:before="50" w:after="50"/>
      <w:ind w:left="1757" w:hanging="340"/>
    </w:pPr>
  </w:style>
  <w:style w:type="paragraph" w:styleId="47">
    <w:name w:val="List Number 4"/>
    <w:basedOn w:val="1"/>
    <w:qFormat/>
    <w:uiPriority w:val="0"/>
    <w:pPr>
      <w:numPr>
        <w:ilvl w:val="3"/>
        <w:numId w:val="3"/>
      </w:numPr>
      <w:tabs>
        <w:tab w:val="left" w:pos="-420"/>
        <w:tab w:val="left" w:pos="0"/>
        <w:tab w:val="clear" w:pos="420"/>
      </w:tabs>
      <w:spacing w:before="50" w:after="50"/>
    </w:pPr>
  </w:style>
  <w:style w:type="paragraph" w:styleId="48">
    <w:name w:val="toc 8"/>
    <w:basedOn w:val="1"/>
    <w:next w:val="1"/>
    <w:qFormat/>
    <w:uiPriority w:val="0"/>
    <w:pPr>
      <w:ind w:left="2940" w:leftChars="1400"/>
    </w:pPr>
  </w:style>
  <w:style w:type="paragraph" w:styleId="49">
    <w:name w:val="index 3"/>
    <w:basedOn w:val="1"/>
    <w:next w:val="1"/>
    <w:qFormat/>
    <w:uiPriority w:val="0"/>
    <w:pPr>
      <w:ind w:left="400" w:leftChars="400" w:firstLine="0"/>
    </w:pPr>
  </w:style>
  <w:style w:type="paragraph" w:styleId="50">
    <w:name w:val="Date"/>
    <w:basedOn w:val="1"/>
    <w:next w:val="1"/>
    <w:link w:val="243"/>
    <w:qFormat/>
    <w:uiPriority w:val="0"/>
    <w:pPr>
      <w:ind w:left="0" w:leftChars="0" w:firstLine="0" w:firstLineChars="0"/>
      <w:jc w:val="right"/>
    </w:pPr>
    <w:rPr>
      <w:rFonts w:ascii="汉仪正圆-45W" w:hAnsi="汉仪正圆-45W" w:eastAsia="宋体" w:cstheme="minorBidi"/>
      <w:kern w:val="2"/>
      <w:sz w:val="22"/>
      <w:szCs w:val="22"/>
    </w:rPr>
  </w:style>
  <w:style w:type="paragraph" w:styleId="51">
    <w:name w:val="Body Text Indent 2"/>
    <w:basedOn w:val="1"/>
    <w:link w:val="252"/>
    <w:qFormat/>
    <w:uiPriority w:val="0"/>
    <w:pPr>
      <w:spacing w:after="120" w:line="480" w:lineRule="auto"/>
      <w:ind w:left="420" w:leftChars="200"/>
    </w:pPr>
    <w:rPr>
      <w:rFonts w:ascii="汉仪正圆-45W" w:hAnsi="汉仪正圆-45W" w:eastAsia="汉仪正圆-45W" w:cstheme="minorBidi"/>
      <w:kern w:val="2"/>
      <w:sz w:val="22"/>
      <w:szCs w:val="22"/>
    </w:rPr>
  </w:style>
  <w:style w:type="paragraph" w:styleId="52">
    <w:name w:val="endnote text"/>
    <w:basedOn w:val="1"/>
    <w:qFormat/>
    <w:uiPriority w:val="0"/>
    <w:pPr>
      <w:ind w:firstLine="0" w:firstLineChars="0"/>
      <w:jc w:val="left"/>
    </w:pPr>
  </w:style>
  <w:style w:type="paragraph" w:styleId="53">
    <w:name w:val="List Continue 5"/>
    <w:basedOn w:val="1"/>
    <w:qFormat/>
    <w:uiPriority w:val="0"/>
    <w:pPr>
      <w:spacing w:after="120"/>
      <w:ind w:left="2100" w:leftChars="1000"/>
      <w:contextualSpacing/>
    </w:pPr>
  </w:style>
  <w:style w:type="paragraph" w:styleId="54">
    <w:name w:val="Balloon Text"/>
    <w:basedOn w:val="1"/>
    <w:link w:val="272"/>
    <w:qFormat/>
    <w:uiPriority w:val="0"/>
    <w:pPr>
      <w:ind w:firstLine="0" w:firstLineChars="0"/>
    </w:pPr>
    <w:rPr>
      <w:sz w:val="18"/>
      <w:szCs w:val="18"/>
    </w:rPr>
  </w:style>
  <w:style w:type="paragraph" w:styleId="55">
    <w:name w:val="footer"/>
    <w:basedOn w:val="1"/>
    <w:link w:val="198"/>
    <w:qFormat/>
    <w:uiPriority w:val="0"/>
    <w:pPr>
      <w:tabs>
        <w:tab w:val="center" w:pos="4153"/>
        <w:tab w:val="right" w:pos="8306"/>
      </w:tabs>
      <w:ind w:firstLine="0" w:firstLineChars="0"/>
      <w:jc w:val="center"/>
    </w:pPr>
    <w:rPr>
      <w:sz w:val="18"/>
      <w:szCs w:val="18"/>
    </w:rPr>
  </w:style>
  <w:style w:type="paragraph" w:styleId="56">
    <w:name w:val="envelope return"/>
    <w:basedOn w:val="1"/>
    <w:qFormat/>
    <w:uiPriority w:val="0"/>
    <w:rPr>
      <w:rFonts w:asciiTheme="majorHAnsi" w:hAnsiTheme="majorHAnsi" w:eastAsiaTheme="majorEastAsia" w:cstheme="majorBidi"/>
    </w:rPr>
  </w:style>
  <w:style w:type="paragraph" w:styleId="57">
    <w:name w:val="header"/>
    <w:basedOn w:val="1"/>
    <w:link w:val="197"/>
    <w:qFormat/>
    <w:uiPriority w:val="0"/>
    <w:pPr>
      <w:pBdr>
        <w:top w:val="none" w:color="auto" w:sz="0" w:space="1"/>
        <w:left w:val="none" w:color="auto" w:sz="0" w:space="4"/>
        <w:bottom w:val="none" w:color="auto" w:sz="0" w:space="1"/>
        <w:right w:val="none" w:color="auto" w:sz="0" w:space="4"/>
      </w:pBdr>
      <w:tabs>
        <w:tab w:val="center" w:pos="4153"/>
        <w:tab w:val="right" w:pos="8306"/>
      </w:tabs>
      <w:ind w:firstLine="0" w:firstLineChars="0"/>
      <w:jc w:val="center"/>
    </w:pPr>
    <w:rPr>
      <w:sz w:val="18"/>
      <w:szCs w:val="18"/>
    </w:rPr>
  </w:style>
  <w:style w:type="paragraph" w:styleId="58">
    <w:name w:val="Signature"/>
    <w:basedOn w:val="1"/>
    <w:link w:val="242"/>
    <w:qFormat/>
    <w:uiPriority w:val="0"/>
    <w:pPr>
      <w:ind w:left="0" w:leftChars="0" w:firstLine="0" w:firstLineChars="0"/>
      <w:jc w:val="right"/>
    </w:pPr>
    <w:rPr>
      <w:rFonts w:ascii="汉仪正圆-45W" w:hAnsi="汉仪正圆-45W" w:eastAsia="宋体" w:cstheme="minorBidi"/>
      <w:kern w:val="2"/>
      <w:sz w:val="22"/>
      <w:szCs w:val="22"/>
    </w:rPr>
  </w:style>
  <w:style w:type="paragraph" w:styleId="59">
    <w:name w:val="toc 1"/>
    <w:basedOn w:val="1"/>
    <w:next w:val="1"/>
    <w:qFormat/>
    <w:uiPriority w:val="0"/>
    <w:pPr>
      <w:ind w:firstLine="0" w:firstLineChars="0"/>
    </w:pPr>
  </w:style>
  <w:style w:type="paragraph" w:styleId="60">
    <w:name w:val="List Continue 4"/>
    <w:basedOn w:val="1"/>
    <w:qFormat/>
    <w:uiPriority w:val="0"/>
    <w:pPr>
      <w:spacing w:after="120"/>
      <w:ind w:left="1680" w:leftChars="800"/>
      <w:contextualSpacing/>
    </w:pPr>
  </w:style>
  <w:style w:type="paragraph" w:styleId="61">
    <w:name w:val="toc 4"/>
    <w:basedOn w:val="1"/>
    <w:next w:val="1"/>
    <w:qFormat/>
    <w:uiPriority w:val="0"/>
    <w:pPr>
      <w:ind w:left="1260" w:leftChars="600" w:firstLine="0" w:firstLineChars="0"/>
    </w:pPr>
  </w:style>
  <w:style w:type="paragraph" w:styleId="62">
    <w:name w:val="index heading"/>
    <w:basedOn w:val="1"/>
    <w:next w:val="63"/>
    <w:qFormat/>
    <w:uiPriority w:val="0"/>
    <w:rPr>
      <w:rFonts w:asciiTheme="majorHAnsi" w:hAnsiTheme="majorHAnsi" w:eastAsiaTheme="majorEastAsia" w:cstheme="majorBidi"/>
      <w:b/>
      <w:bCs/>
    </w:rPr>
  </w:style>
  <w:style w:type="paragraph" w:styleId="63">
    <w:name w:val="index 1"/>
    <w:basedOn w:val="1"/>
    <w:next w:val="1"/>
    <w:qFormat/>
    <w:uiPriority w:val="0"/>
    <w:pPr>
      <w:ind w:firstLine="0"/>
    </w:pPr>
  </w:style>
  <w:style w:type="paragraph" w:styleId="64">
    <w:name w:val="Subtitle"/>
    <w:next w:val="34"/>
    <w:link w:val="261"/>
    <w:qFormat/>
    <w:uiPriority w:val="0"/>
    <w:pPr>
      <w:bidi w:val="0"/>
      <w:adjustRightInd w:val="0"/>
      <w:snapToGrid w:val="0"/>
      <w:spacing w:before="50" w:beforeLines="50" w:after="150" w:afterLines="150"/>
      <w:jc w:val="center"/>
      <w:outlineLvl w:val="1"/>
    </w:pPr>
    <w:rPr>
      <w:rFonts w:ascii="Times New Roman" w:hAnsi="Times New Roman" w:eastAsia="黑体" w:cs="Times New Roman"/>
      <w:color w:val="auto"/>
      <w:spacing w:val="11"/>
      <w:kern w:val="28"/>
      <w:sz w:val="36"/>
      <w:szCs w:val="36"/>
      <w:lang w:val="en-US" w:eastAsia="zh-CN" w:bidi="ar-SA"/>
    </w:rPr>
  </w:style>
  <w:style w:type="paragraph" w:styleId="65">
    <w:name w:val="List Number 5"/>
    <w:basedOn w:val="1"/>
    <w:qFormat/>
    <w:uiPriority w:val="0"/>
    <w:pPr>
      <w:numPr>
        <w:ilvl w:val="4"/>
        <w:numId w:val="3"/>
      </w:numPr>
      <w:tabs>
        <w:tab w:val="clear" w:pos="420"/>
      </w:tabs>
      <w:spacing w:before="50" w:after="50"/>
      <w:ind w:left="431" w:hanging="431"/>
    </w:pPr>
  </w:style>
  <w:style w:type="paragraph" w:styleId="66">
    <w:name w:val="List"/>
    <w:basedOn w:val="1"/>
    <w:qFormat/>
    <w:uiPriority w:val="0"/>
    <w:pPr>
      <w:ind w:left="200" w:hanging="200" w:hangingChars="200"/>
      <w:contextualSpacing/>
    </w:pPr>
  </w:style>
  <w:style w:type="paragraph" w:styleId="67">
    <w:name w:val="footnote text"/>
    <w:basedOn w:val="1"/>
    <w:qFormat/>
    <w:uiPriority w:val="0"/>
    <w:pPr>
      <w:ind w:firstLine="0" w:firstLineChars="0"/>
      <w:jc w:val="left"/>
    </w:pPr>
    <w:rPr>
      <w:sz w:val="24"/>
    </w:rPr>
  </w:style>
  <w:style w:type="paragraph" w:styleId="68">
    <w:name w:val="toc 6"/>
    <w:basedOn w:val="1"/>
    <w:next w:val="1"/>
    <w:qFormat/>
    <w:uiPriority w:val="0"/>
    <w:pPr>
      <w:ind w:left="2100" w:leftChars="1000"/>
    </w:pPr>
  </w:style>
  <w:style w:type="paragraph" w:styleId="69">
    <w:name w:val="List 5"/>
    <w:basedOn w:val="1"/>
    <w:qFormat/>
    <w:uiPriority w:val="0"/>
    <w:pPr>
      <w:ind w:left="100" w:leftChars="800" w:hanging="200" w:hangingChars="200"/>
      <w:contextualSpacing/>
    </w:pPr>
  </w:style>
  <w:style w:type="paragraph" w:styleId="70">
    <w:name w:val="Body Text Indent 3"/>
    <w:basedOn w:val="1"/>
    <w:link w:val="253"/>
    <w:qFormat/>
    <w:uiPriority w:val="0"/>
    <w:pPr>
      <w:spacing w:after="120"/>
      <w:ind w:left="420" w:leftChars="200"/>
    </w:pPr>
    <w:rPr>
      <w:rFonts w:ascii="汉仪正圆-45W" w:hAnsi="汉仪正圆-45W" w:eastAsia="汉仪正圆-45W" w:cstheme="minorBidi"/>
      <w:kern w:val="2"/>
      <w:sz w:val="16"/>
      <w:szCs w:val="16"/>
    </w:rPr>
  </w:style>
  <w:style w:type="paragraph" w:styleId="71">
    <w:name w:val="index 7"/>
    <w:basedOn w:val="1"/>
    <w:next w:val="1"/>
    <w:qFormat/>
    <w:uiPriority w:val="0"/>
    <w:pPr>
      <w:ind w:left="1200" w:leftChars="1200" w:firstLine="0"/>
    </w:pPr>
  </w:style>
  <w:style w:type="paragraph" w:styleId="72">
    <w:name w:val="index 9"/>
    <w:basedOn w:val="1"/>
    <w:next w:val="1"/>
    <w:qFormat/>
    <w:uiPriority w:val="0"/>
    <w:pPr>
      <w:ind w:left="1600" w:leftChars="1600" w:firstLine="0"/>
    </w:pPr>
  </w:style>
  <w:style w:type="paragraph" w:styleId="73">
    <w:name w:val="table of figures"/>
    <w:basedOn w:val="1"/>
    <w:next w:val="1"/>
    <w:qFormat/>
    <w:uiPriority w:val="0"/>
    <w:pPr>
      <w:ind w:leftChars="200" w:hanging="200" w:hangingChars="200"/>
    </w:pPr>
  </w:style>
  <w:style w:type="paragraph" w:styleId="74">
    <w:name w:val="toc 2"/>
    <w:basedOn w:val="1"/>
    <w:next w:val="1"/>
    <w:qFormat/>
    <w:uiPriority w:val="0"/>
    <w:pPr>
      <w:ind w:left="440" w:leftChars="200" w:firstLine="0" w:firstLineChars="0"/>
    </w:pPr>
  </w:style>
  <w:style w:type="paragraph" w:styleId="75">
    <w:name w:val="toc 9"/>
    <w:basedOn w:val="1"/>
    <w:next w:val="1"/>
    <w:link w:val="255"/>
    <w:qFormat/>
    <w:uiPriority w:val="0"/>
    <w:pPr>
      <w:ind w:left="3360" w:leftChars="1600"/>
    </w:pPr>
  </w:style>
  <w:style w:type="paragraph" w:styleId="76">
    <w:name w:val="Body Text 2"/>
    <w:basedOn w:val="1"/>
    <w:link w:val="246"/>
    <w:qFormat/>
    <w:uiPriority w:val="0"/>
    <w:pPr>
      <w:spacing w:after="120" w:line="480" w:lineRule="auto"/>
    </w:pPr>
    <w:rPr>
      <w:rFonts w:ascii="汉仪正圆-45W" w:hAnsi="汉仪正圆-45W" w:eastAsia="汉仪正圆-45W" w:cstheme="minorBidi"/>
      <w:kern w:val="2"/>
      <w:sz w:val="22"/>
      <w:szCs w:val="22"/>
    </w:rPr>
  </w:style>
  <w:style w:type="paragraph" w:styleId="77">
    <w:name w:val="List 4"/>
    <w:basedOn w:val="1"/>
    <w:qFormat/>
    <w:uiPriority w:val="0"/>
    <w:pPr>
      <w:ind w:left="100" w:leftChars="600" w:hanging="200" w:hangingChars="200"/>
      <w:contextualSpacing/>
    </w:pPr>
  </w:style>
  <w:style w:type="paragraph" w:styleId="78">
    <w:name w:val="List Continue 2"/>
    <w:basedOn w:val="1"/>
    <w:qFormat/>
    <w:uiPriority w:val="0"/>
    <w:pPr>
      <w:spacing w:after="120"/>
      <w:ind w:left="840" w:leftChars="400"/>
      <w:contextualSpacing/>
    </w:pPr>
  </w:style>
  <w:style w:type="paragraph" w:styleId="79">
    <w:name w:val="Message Header"/>
    <w:basedOn w:val="1"/>
    <w:link w:val="245"/>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kern w:val="2"/>
      <w:sz w:val="24"/>
      <w:szCs w:val="24"/>
      <w:shd w:val="pct20" w:color="auto" w:fill="auto"/>
    </w:rPr>
  </w:style>
  <w:style w:type="paragraph" w:styleId="80">
    <w:name w:val="HTML Preformatted"/>
    <w:basedOn w:val="1"/>
    <w:link w:val="268"/>
    <w:qFormat/>
    <w:uiPriority w:val="0"/>
    <w:rPr>
      <w:rFonts w:ascii="Courier New" w:hAnsi="Courier New" w:cs="Courier New"/>
      <w:sz w:val="20"/>
      <w:szCs w:val="20"/>
    </w:rPr>
  </w:style>
  <w:style w:type="paragraph" w:styleId="81">
    <w:name w:val="Normal (Web)"/>
    <w:basedOn w:val="1"/>
    <w:qFormat/>
    <w:uiPriority w:val="0"/>
    <w:rPr>
      <w:rFonts w:ascii="Times New Roman" w:hAnsi="Times New Roman" w:cs="Times New Roman"/>
      <w:sz w:val="24"/>
      <w:szCs w:val="24"/>
    </w:rPr>
  </w:style>
  <w:style w:type="paragraph" w:styleId="82">
    <w:name w:val="List Continue 3"/>
    <w:basedOn w:val="1"/>
    <w:qFormat/>
    <w:uiPriority w:val="0"/>
    <w:pPr>
      <w:spacing w:after="120"/>
      <w:ind w:left="1260" w:leftChars="600"/>
      <w:contextualSpacing/>
    </w:pPr>
  </w:style>
  <w:style w:type="paragraph" w:styleId="83">
    <w:name w:val="index 2"/>
    <w:basedOn w:val="1"/>
    <w:next w:val="1"/>
    <w:qFormat/>
    <w:uiPriority w:val="0"/>
    <w:pPr>
      <w:ind w:left="200" w:leftChars="200" w:firstLine="0"/>
    </w:pPr>
  </w:style>
  <w:style w:type="paragraph" w:styleId="84">
    <w:name w:val="Title"/>
    <w:link w:val="262"/>
    <w:qFormat/>
    <w:uiPriority w:val="10"/>
    <w:pPr>
      <w:bidi w:val="0"/>
      <w:adjustRightInd w:val="0"/>
      <w:snapToGrid w:val="0"/>
      <w:spacing w:before="50" w:beforeLines="50" w:after="100" w:afterLines="100" w:line="240" w:lineRule="auto"/>
      <w:jc w:val="center"/>
      <w:outlineLvl w:val="0"/>
    </w:pPr>
    <w:rPr>
      <w:rFonts w:ascii="Times New Roman" w:hAnsi="Times New Roman" w:eastAsia="黑体" w:cs="Times New Roman"/>
      <w:b/>
      <w:bCs/>
      <w:color w:val="auto"/>
      <w:spacing w:val="11"/>
      <w:sz w:val="44"/>
      <w:szCs w:val="44"/>
      <w:lang w:val="en-US" w:eastAsia="zh-CN" w:bidi="ar-SA"/>
    </w:rPr>
  </w:style>
  <w:style w:type="paragraph" w:styleId="85">
    <w:name w:val="annotation subject"/>
    <w:basedOn w:val="28"/>
    <w:next w:val="28"/>
    <w:qFormat/>
    <w:uiPriority w:val="0"/>
    <w:rPr>
      <w:b/>
    </w:rPr>
  </w:style>
  <w:style w:type="paragraph" w:styleId="86">
    <w:name w:val="Body Text First Indent"/>
    <w:basedOn w:val="34"/>
    <w:link w:val="249"/>
    <w:qFormat/>
    <w:uiPriority w:val="0"/>
    <w:pPr>
      <w:spacing w:before="0" w:after="120" w:afterLines="0"/>
      <w:ind w:firstLine="420" w:firstLineChars="100"/>
    </w:pPr>
    <w:rPr>
      <w:rFonts w:ascii="汉仪正圆-45W" w:hAnsi="汉仪正圆-45W" w:eastAsia="汉仪正圆-45W" w:cstheme="minorBidi"/>
      <w:kern w:val="2"/>
      <w:sz w:val="22"/>
      <w:szCs w:val="22"/>
    </w:rPr>
  </w:style>
  <w:style w:type="paragraph" w:styleId="87">
    <w:name w:val="Body Text First Indent 2"/>
    <w:basedOn w:val="35"/>
    <w:link w:val="251"/>
    <w:qFormat/>
    <w:uiPriority w:val="0"/>
    <w:pPr>
      <w:ind w:firstLine="420"/>
    </w:pPr>
    <w:rPr>
      <w:rFonts w:ascii="汉仪正圆-45W" w:hAnsi="汉仪正圆-45W" w:eastAsia="汉仪正圆-45W" w:cstheme="minorBidi"/>
      <w:kern w:val="2"/>
      <w:sz w:val="22"/>
      <w:szCs w:val="22"/>
    </w:rPr>
  </w:style>
  <w:style w:type="table" w:styleId="89">
    <w:name w:val="Table Grid"/>
    <w:basedOn w:val="88"/>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0">
    <w:name w:val="Light Shading"/>
    <w:basedOn w:val="88"/>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91">
    <w:name w:val="Light Shading Accent 1"/>
    <w:basedOn w:val="88"/>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92">
    <w:name w:val="Light Shading Accent 2"/>
    <w:basedOn w:val="88"/>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93">
    <w:name w:val="Light Shading Accent 3"/>
    <w:basedOn w:val="88"/>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94">
    <w:name w:val="Light Shading Accent 4"/>
    <w:basedOn w:val="88"/>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95">
    <w:name w:val="Light Shading Accent 5"/>
    <w:basedOn w:val="88"/>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96">
    <w:name w:val="Light Shading Accent 6"/>
    <w:basedOn w:val="88"/>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97">
    <w:name w:val="Light List"/>
    <w:basedOn w:val="88"/>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98">
    <w:name w:val="Light List Accent 1"/>
    <w:basedOn w:val="88"/>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99">
    <w:name w:val="Light List Accent 2"/>
    <w:basedOn w:val="88"/>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100">
    <w:name w:val="Light List Accent 3"/>
    <w:basedOn w:val="88"/>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101">
    <w:name w:val="Light List Accent 4"/>
    <w:basedOn w:val="88"/>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102">
    <w:name w:val="Light List Accent 5"/>
    <w:basedOn w:val="88"/>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103">
    <w:name w:val="Light List Accent 6"/>
    <w:basedOn w:val="88"/>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104">
    <w:name w:val="Light Grid"/>
    <w:basedOn w:val="88"/>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105">
    <w:name w:val="Light Grid Accent 1"/>
    <w:basedOn w:val="88"/>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106">
    <w:name w:val="Light Grid Accent 2"/>
    <w:basedOn w:val="88"/>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107">
    <w:name w:val="Light Grid Accent 3"/>
    <w:basedOn w:val="88"/>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108">
    <w:name w:val="Light Grid Accent 4"/>
    <w:basedOn w:val="88"/>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109">
    <w:name w:val="Light Grid Accent 5"/>
    <w:basedOn w:val="88"/>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110">
    <w:name w:val="Light Grid Accent 6"/>
    <w:basedOn w:val="88"/>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111">
    <w:name w:val="Medium Shading 1"/>
    <w:basedOn w:val="88"/>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112">
    <w:name w:val="Medium Shading 1 Accent 1"/>
    <w:basedOn w:val="88"/>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13">
    <w:name w:val="Medium Shading 1 Accent 2"/>
    <w:basedOn w:val="88"/>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114">
    <w:name w:val="Medium Shading 1 Accent 3"/>
    <w:basedOn w:val="88"/>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15">
    <w:name w:val="Medium Shading 1 Accent 4"/>
    <w:basedOn w:val="88"/>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16">
    <w:name w:val="Medium Shading 1 Accent 5"/>
    <w:basedOn w:val="88"/>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117">
    <w:name w:val="Medium Shading 1 Accent 6"/>
    <w:basedOn w:val="88"/>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118">
    <w:name w:val="Medium Shading 2"/>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19">
    <w:name w:val="Medium Shading 2 Accent 1"/>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0">
    <w:name w:val="Medium Shading 2 Accent 2"/>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1">
    <w:name w:val="Medium Shading 2 Accent 3"/>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2">
    <w:name w:val="Medium Shading 2 Accent 4"/>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3">
    <w:name w:val="Medium Shading 2 Accent 5"/>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4">
    <w:name w:val="Medium Shading 2 Accent 6"/>
    <w:basedOn w:val="88"/>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25">
    <w:name w:val="Medium List 1"/>
    <w:basedOn w:val="88"/>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126">
    <w:name w:val="Medium List 1 Accent 1"/>
    <w:basedOn w:val="88"/>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7">
    <w:name w:val="Medium List 1 Accent 2"/>
    <w:basedOn w:val="88"/>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128">
    <w:name w:val="Medium List 1 Accent 3"/>
    <w:basedOn w:val="88"/>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29">
    <w:name w:val="Medium List 1 Accent 4"/>
    <w:basedOn w:val="88"/>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30">
    <w:name w:val="Medium List 1 Accent 5"/>
    <w:basedOn w:val="88"/>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131">
    <w:name w:val="Medium List 1 Accent 6"/>
    <w:basedOn w:val="88"/>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132">
    <w:name w:val="Medium List 2"/>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33">
    <w:name w:val="Medium List 2 Accent 1"/>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34">
    <w:name w:val="Medium List 2 Accent 2"/>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35">
    <w:name w:val="Medium List 2 Accent 3"/>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36">
    <w:name w:val="Medium List 2 Accent 4"/>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37">
    <w:name w:val="Medium List 2 Accent 5"/>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38">
    <w:name w:val="Medium List 2 Accent 6"/>
    <w:basedOn w:val="88"/>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9">
    <w:name w:val="Medium Grid 1"/>
    <w:basedOn w:val="88"/>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40">
    <w:name w:val="Medium Grid 1 Accent 1"/>
    <w:basedOn w:val="88"/>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41">
    <w:name w:val="Medium Grid 1 Accent 2"/>
    <w:basedOn w:val="88"/>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2">
    <w:name w:val="Medium Grid 1 Accent 3"/>
    <w:basedOn w:val="88"/>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3">
    <w:name w:val="Medium Grid 1 Accent 4"/>
    <w:basedOn w:val="88"/>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4">
    <w:name w:val="Medium Grid 1 Accent 5"/>
    <w:basedOn w:val="88"/>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5">
    <w:name w:val="Medium Grid 1 Accent 6"/>
    <w:basedOn w:val="88"/>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146">
    <w:name w:val="Medium Grid 2"/>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47">
    <w:name w:val="Medium Grid 2 Accent 1"/>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148">
    <w:name w:val="Medium Grid 2 Accent 2"/>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149">
    <w:name w:val="Medium Grid 2 Accent 3"/>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150">
    <w:name w:val="Medium Grid 2 Accent 4"/>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51">
    <w:name w:val="Medium Grid 2 Accent 5"/>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52">
    <w:name w:val="Medium Grid 2 Accent 6"/>
    <w:basedOn w:val="88"/>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53">
    <w:name w:val="Medium Grid 3"/>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54">
    <w:name w:val="Medium Grid 3 Accent 1"/>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55">
    <w:name w:val="Medium Grid 3 Accent 2"/>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56">
    <w:name w:val="Medium Grid 3 Accent 3"/>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57">
    <w:name w:val="Medium Grid 3 Accent 4"/>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58">
    <w:name w:val="Medium Grid 3 Accent 5"/>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59">
    <w:name w:val="Medium Grid 3 Accent 6"/>
    <w:basedOn w:val="88"/>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60">
    <w:name w:val="Dark List"/>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61">
    <w:name w:val="Dark List Accent 1"/>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62">
    <w:name w:val="Dark List Accent 2"/>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63">
    <w:name w:val="Dark List Accent 3"/>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64">
    <w:name w:val="Dark List Accent 4"/>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65">
    <w:name w:val="Dark List Accent 5"/>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66">
    <w:name w:val="Dark List Accent 6"/>
    <w:basedOn w:val="88"/>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67">
    <w:name w:val="Colorful Shading"/>
    <w:basedOn w:val="88"/>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68">
    <w:name w:val="Colorful Shading Accent 1"/>
    <w:basedOn w:val="88"/>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69">
    <w:name w:val="Colorful Shading Accent 2"/>
    <w:basedOn w:val="88"/>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70">
    <w:name w:val="Colorful Shading Accent 3"/>
    <w:basedOn w:val="88"/>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71">
    <w:name w:val="Colorful Shading Accent 4"/>
    <w:basedOn w:val="88"/>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72">
    <w:name w:val="Colorful Shading Accent 5"/>
    <w:basedOn w:val="88"/>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73">
    <w:name w:val="Colorful Shading Accent 6"/>
    <w:basedOn w:val="88"/>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74">
    <w:name w:val="Colorful List"/>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75">
    <w:name w:val="Colorful List Accent 1"/>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76">
    <w:name w:val="Colorful List Accent 2"/>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77">
    <w:name w:val="Colorful List Accent 3"/>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78">
    <w:name w:val="Colorful List Accent 4"/>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79">
    <w:name w:val="Colorful List Accent 5"/>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80">
    <w:name w:val="Colorful List Accent 6"/>
    <w:basedOn w:val="88"/>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81">
    <w:name w:val="Colorful Grid"/>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82">
    <w:name w:val="Colorful Grid Accent 1"/>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83">
    <w:name w:val="Colorful Grid Accent 2"/>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84">
    <w:name w:val="Colorful Grid Accent 3"/>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85">
    <w:name w:val="Colorful Grid Accent 4"/>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86">
    <w:name w:val="Colorful Grid Accent 5"/>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87">
    <w:name w:val="Colorful Grid Accent 6"/>
    <w:basedOn w:val="88"/>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89">
    <w:name w:val="Strong"/>
    <w:basedOn w:val="188"/>
    <w:qFormat/>
    <w:uiPriority w:val="22"/>
    <w:rPr>
      <w:rFonts w:ascii="宋体" w:hAnsi="宋体" w:eastAsia="宋体" w:cs="Times New Roman"/>
      <w:b/>
      <w:bCs/>
      <w:color w:val="262626" w:themeColor="text1" w:themeTint="D9"/>
      <w:sz w:val="24"/>
      <w:szCs w:val="24"/>
      <w:u w:val="none"/>
      <w14:textFill>
        <w14:solidFill>
          <w14:schemeClr w14:val="tx1">
            <w14:lumMod w14:val="85000"/>
            <w14:lumOff w14:val="15000"/>
          </w14:schemeClr>
        </w14:solidFill>
      </w14:textFill>
    </w:rPr>
  </w:style>
  <w:style w:type="character" w:styleId="190">
    <w:name w:val="endnote reference"/>
    <w:basedOn w:val="188"/>
    <w:qFormat/>
    <w:uiPriority w:val="0"/>
    <w:rPr>
      <w:rFonts w:ascii="宋体" w:hAnsi="宋体" w:eastAsia="宋体" w:cs="Times New Roman"/>
      <w:color w:val="262626" w:themeColor="text1" w:themeTint="D9"/>
      <w:kern w:val="2"/>
      <w:sz w:val="28"/>
      <w:szCs w:val="28"/>
      <w:vertAlign w:val="superscript"/>
      <w:lang w:val="en-US" w:eastAsia="zh-CN" w:bidi="ar-SA"/>
      <w14:textFill>
        <w14:solidFill>
          <w14:schemeClr w14:val="tx1">
            <w14:lumMod w14:val="85000"/>
            <w14:lumOff w14:val="15000"/>
          </w14:schemeClr>
        </w14:solidFill>
      </w14:textFill>
    </w:rPr>
  </w:style>
  <w:style w:type="character" w:styleId="191">
    <w:name w:val="page number"/>
    <w:basedOn w:val="188"/>
    <w:qFormat/>
    <w:uiPriority w:val="0"/>
    <w:rPr>
      <w:rFonts w:ascii="宋体" w:hAnsi="宋体" w:eastAsia="宋体" w:cs="Times New Roman"/>
      <w:color w:val="404040" w:themeColor="text1" w:themeTint="BF"/>
      <w:kern w:val="2"/>
      <w:sz w:val="18"/>
      <w:szCs w:val="18"/>
      <w:lang w:val="en-US" w:eastAsia="zh-CN" w:bidi="ar-SA"/>
      <w14:textFill>
        <w14:solidFill>
          <w14:schemeClr w14:val="tx1">
            <w14:lumMod w14:val="75000"/>
            <w14:lumOff w14:val="25000"/>
          </w14:schemeClr>
        </w14:solidFill>
      </w14:textFill>
    </w:rPr>
  </w:style>
  <w:style w:type="character" w:styleId="192">
    <w:name w:val="FollowedHyperlink"/>
    <w:basedOn w:val="188"/>
    <w:qFormat/>
    <w:uiPriority w:val="0"/>
    <w:rPr>
      <w:rFonts w:ascii="宋体" w:hAnsi="宋体" w:eastAsia="宋体" w:cs="Times New Roman"/>
      <w:color w:val="800080"/>
      <w:kern w:val="2"/>
      <w:sz w:val="24"/>
      <w:szCs w:val="24"/>
      <w:u w:val="single"/>
      <w:lang w:val="en-US" w:eastAsia="zh-CN" w:bidi="ar-SA"/>
    </w:rPr>
  </w:style>
  <w:style w:type="character" w:styleId="193">
    <w:name w:val="Emphasis"/>
    <w:basedOn w:val="188"/>
    <w:qFormat/>
    <w:uiPriority w:val="20"/>
    <w:rPr>
      <w:rFonts w:ascii="宋体" w:hAnsi="宋体" w:eastAsia="宋体" w:cs="Times New Roman"/>
      <w:color w:val="C00000"/>
      <w:sz w:val="24"/>
      <w:szCs w:val="24"/>
    </w:rPr>
  </w:style>
  <w:style w:type="character" w:styleId="194">
    <w:name w:val="Hyperlink"/>
    <w:basedOn w:val="188"/>
    <w:qFormat/>
    <w:uiPriority w:val="0"/>
    <w:rPr>
      <w:rFonts w:ascii="宋体" w:hAnsi="宋体" w:eastAsia="宋体" w:cs="Times New Roman"/>
      <w:color w:val="0000FF"/>
      <w:kern w:val="2"/>
      <w:sz w:val="24"/>
      <w:szCs w:val="24"/>
      <w:u w:val="single"/>
      <w:lang w:val="en-US" w:eastAsia="zh-CN" w:bidi="ar-SA"/>
    </w:rPr>
  </w:style>
  <w:style w:type="character" w:styleId="195">
    <w:name w:val="annotation reference"/>
    <w:basedOn w:val="188"/>
    <w:qFormat/>
    <w:uiPriority w:val="0"/>
    <w:rPr>
      <w:rFonts w:ascii="宋体" w:hAnsi="宋体" w:eastAsia="宋体" w:cs="宋体"/>
      <w:kern w:val="2"/>
      <w:sz w:val="21"/>
      <w:szCs w:val="21"/>
      <w:lang w:val="en-US" w:eastAsia="zh-CN" w:bidi="ar-SA"/>
    </w:rPr>
  </w:style>
  <w:style w:type="character" w:styleId="196">
    <w:name w:val="footnote reference"/>
    <w:basedOn w:val="188"/>
    <w:qFormat/>
    <w:uiPriority w:val="0"/>
    <w:rPr>
      <w:rFonts w:ascii="宋体" w:hAnsi="宋体" w:eastAsia="宋体" w:cs="Times New Roman"/>
      <w:color w:val="262626" w:themeColor="text1" w:themeTint="D9"/>
      <w:kern w:val="2"/>
      <w:sz w:val="28"/>
      <w:szCs w:val="28"/>
      <w:vertAlign w:val="superscript"/>
      <w:lang w:val="en-US" w:eastAsia="zh-CN" w:bidi="ar-SA"/>
      <w14:textFill>
        <w14:solidFill>
          <w14:schemeClr w14:val="tx1">
            <w14:lumMod w14:val="85000"/>
            <w14:lumOff w14:val="15000"/>
          </w14:schemeClr>
        </w14:solidFill>
      </w14:textFill>
    </w:rPr>
  </w:style>
  <w:style w:type="character" w:customStyle="1" w:styleId="197">
    <w:name w:val="Header Char"/>
    <w:link w:val="57"/>
    <w:qFormat/>
    <w:uiPriority w:val="99"/>
    <w:rPr>
      <w:sz w:val="18"/>
      <w:szCs w:val="18"/>
    </w:rPr>
  </w:style>
  <w:style w:type="character" w:customStyle="1" w:styleId="198">
    <w:name w:val="Footer Char"/>
    <w:link w:val="55"/>
    <w:qFormat/>
    <w:uiPriority w:val="99"/>
    <w:rPr>
      <w:sz w:val="18"/>
      <w:szCs w:val="18"/>
    </w:rPr>
  </w:style>
  <w:style w:type="paragraph" w:styleId="199">
    <w:name w:val="No Spacing"/>
    <w:qFormat/>
    <w:uiPriority w:val="99"/>
    <w:pPr>
      <w:widowControl w:val="0"/>
      <w:adjustRightInd w:val="0"/>
      <w:snapToGrid w:val="0"/>
      <w:ind w:firstLine="440" w:firstLineChars="200"/>
      <w:jc w:val="both"/>
    </w:pPr>
    <w:rPr>
      <w:rFonts w:ascii="汉仪正圆-45W" w:hAnsi="汉仪正圆-45W" w:eastAsia="汉仪正圆-45W" w:cstheme="minorBidi"/>
      <w:kern w:val="2"/>
      <w:sz w:val="22"/>
      <w:szCs w:val="22"/>
      <w:lang w:val="en-US" w:eastAsia="zh-CN" w:bidi="ar-SA"/>
    </w:rPr>
  </w:style>
  <w:style w:type="character" w:customStyle="1" w:styleId="200">
    <w:name w:val="Heading 1 Char"/>
    <w:link w:val="3"/>
    <w:qFormat/>
    <w:uiPriority w:val="9"/>
    <w:rPr>
      <w:rFonts w:ascii="黑体" w:hAnsi="黑体" w:eastAsia="黑体" w:cs="Times New Roman"/>
      <w:b/>
      <w:bCs/>
      <w:color w:val="auto"/>
      <w:kern w:val="44"/>
      <w:sz w:val="32"/>
      <w:szCs w:val="32"/>
      <w:lang w:val="en-US" w:eastAsia="zh-CN" w:bidi="ar-SA"/>
    </w:rPr>
  </w:style>
  <w:style w:type="character" w:customStyle="1" w:styleId="201">
    <w:name w:val="Heading 2 Char"/>
    <w:link w:val="4"/>
    <w:qFormat/>
    <w:uiPriority w:val="9"/>
    <w:rPr>
      <w:rFonts w:ascii="黑体" w:hAnsi="黑体" w:eastAsia="黑体" w:cs="Times New Roman"/>
      <w:b/>
      <w:bCs/>
      <w:color w:val="auto"/>
      <w:kern w:val="2"/>
      <w:sz w:val="30"/>
      <w:szCs w:val="30"/>
      <w:lang w:val="en-US" w:eastAsia="zh-CN" w:bidi="ar-SA"/>
    </w:rPr>
  </w:style>
  <w:style w:type="character" w:customStyle="1" w:styleId="202">
    <w:name w:val="Heading 3 Char"/>
    <w:link w:val="5"/>
    <w:qFormat/>
    <w:uiPriority w:val="9"/>
    <w:rPr>
      <w:rFonts w:ascii="黑体" w:hAnsi="黑体" w:eastAsia="黑体" w:cs="Times New Roman"/>
      <w:b/>
      <w:bCs/>
      <w:color w:val="auto"/>
      <w:kern w:val="2"/>
      <w:sz w:val="28"/>
      <w:szCs w:val="28"/>
      <w:lang w:val="en-US" w:eastAsia="zh-CN" w:bidi="ar-SA"/>
    </w:rPr>
  </w:style>
  <w:style w:type="character" w:customStyle="1" w:styleId="203">
    <w:name w:val="Title Char"/>
    <w:link w:val="84"/>
    <w:qFormat/>
    <w:uiPriority w:val="10"/>
    <w:rPr>
      <w:rFonts w:ascii="方正小标宋简体" w:hAnsi="方正小标宋简体" w:eastAsia="方正小标宋简体" w:cs="Times New Roman"/>
      <w:color w:val="262626" w:themeColor="text1" w:themeTint="D9"/>
      <w:sz w:val="44"/>
      <w:szCs w:val="44"/>
      <w:lang w:val="en-US" w:eastAsia="zh-CN" w:bidi="ar-SA"/>
      <w14:textFill>
        <w14:solidFill>
          <w14:schemeClr w14:val="tx1">
            <w14:lumMod w14:val="85000"/>
            <w14:lumOff w14:val="15000"/>
          </w14:schemeClr>
        </w14:solidFill>
      </w14:textFill>
    </w:rPr>
  </w:style>
  <w:style w:type="character" w:customStyle="1" w:styleId="204">
    <w:name w:val="Subtitle Char"/>
    <w:link w:val="64"/>
    <w:qFormat/>
    <w:uiPriority w:val="11"/>
    <w:rPr>
      <w:rFonts w:ascii="黑体" w:hAnsi="黑体" w:eastAsia="黑体" w:cs="Times New Roman"/>
      <w:color w:val="auto"/>
      <w:kern w:val="28"/>
      <w:sz w:val="36"/>
      <w:szCs w:val="36"/>
      <w:lang w:val="en-US" w:eastAsia="zh-CN" w:bidi="ar-SA"/>
    </w:rPr>
  </w:style>
  <w:style w:type="paragraph" w:styleId="205">
    <w:name w:val="List Paragraph"/>
    <w:basedOn w:val="1"/>
    <w:qFormat/>
    <w:uiPriority w:val="99"/>
    <w:pPr>
      <w:ind w:firstLine="420"/>
    </w:pPr>
  </w:style>
  <w:style w:type="character" w:customStyle="1" w:styleId="206">
    <w:name w:val="Body Text Char"/>
    <w:link w:val="34"/>
    <w:qFormat/>
    <w:uiPriority w:val="99"/>
  </w:style>
  <w:style w:type="character" w:customStyle="1" w:styleId="207">
    <w:name w:val="Body Text 2 Char"/>
    <w:link w:val="76"/>
    <w:qFormat/>
    <w:uiPriority w:val="99"/>
    <w:rPr>
      <w:color w:val="262626" w:themeColor="text1" w:themeTint="D9"/>
      <w14:textFill>
        <w14:solidFill>
          <w14:schemeClr w14:val="tx1">
            <w14:lumMod w14:val="85000"/>
            <w14:lumOff w14:val="15000"/>
          </w14:schemeClr>
        </w14:solidFill>
      </w14:textFill>
    </w:rPr>
  </w:style>
  <w:style w:type="character" w:customStyle="1" w:styleId="208">
    <w:name w:val="Body Text 3 Char"/>
    <w:link w:val="31"/>
    <w:qFormat/>
    <w:uiPriority w:val="99"/>
    <w:rPr>
      <w:color w:val="262626" w:themeColor="text1" w:themeTint="D9"/>
      <w:sz w:val="16"/>
      <w:szCs w:val="16"/>
      <w14:textFill>
        <w14:solidFill>
          <w14:schemeClr w14:val="tx1">
            <w14:lumMod w14:val="85000"/>
            <w14:lumOff w14:val="15000"/>
          </w14:schemeClr>
        </w14:solidFill>
      </w14:textFill>
    </w:rPr>
  </w:style>
  <w:style w:type="character" w:customStyle="1" w:styleId="209">
    <w:name w:val="Macro Text Char"/>
    <w:link w:val="2"/>
    <w:qFormat/>
    <w:uiPriority w:val="99"/>
    <w:rPr>
      <w:rFonts w:ascii="微软雅黑" w:hAnsi="微软雅黑" w:eastAsia="微软雅黑" w:cs="Courier New"/>
      <w:kern w:val="2"/>
      <w:sz w:val="24"/>
      <w:szCs w:val="24"/>
      <w:lang w:val="en-US" w:eastAsia="zh-CN" w:bidi="ar-SA"/>
    </w:rPr>
  </w:style>
  <w:style w:type="paragraph" w:styleId="210">
    <w:name w:val="Quote"/>
    <w:basedOn w:val="1"/>
    <w:next w:val="1"/>
    <w:link w:val="271"/>
    <w:qFormat/>
    <w:uiPriority w:val="9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211">
    <w:name w:val="Quote Char"/>
    <w:link w:val="210"/>
    <w:qFormat/>
    <w:uiPriority w:val="29"/>
    <w:rPr>
      <w:i/>
      <w:iCs/>
      <w:color w:val="404040" w:themeColor="text1" w:themeTint="BF"/>
      <w14:textFill>
        <w14:solidFill>
          <w14:schemeClr w14:val="tx1">
            <w14:lumMod w14:val="75000"/>
            <w14:lumOff w14:val="25000"/>
          </w14:schemeClr>
        </w14:solidFill>
      </w14:textFill>
    </w:rPr>
  </w:style>
  <w:style w:type="character" w:customStyle="1" w:styleId="212">
    <w:name w:val="Heading 4 Char"/>
    <w:link w:val="6"/>
    <w:semiHidden/>
    <w:qFormat/>
    <w:uiPriority w:val="9"/>
    <w:rPr>
      <w:rFonts w:ascii="仿宋" w:hAnsi="仿宋" w:eastAsia="仿宋" w:cs="Times New Roman"/>
      <w:color w:val="auto"/>
      <w:sz w:val="32"/>
      <w:szCs w:val="32"/>
      <w:lang w:val="en-US" w:eastAsia="zh-CN" w:bidi="ar-SA"/>
    </w:rPr>
  </w:style>
  <w:style w:type="character" w:customStyle="1" w:styleId="213">
    <w:name w:val="Heading 5 Char"/>
    <w:link w:val="7"/>
    <w:semiHidden/>
    <w:qFormat/>
    <w:uiPriority w:val="9"/>
    <w:rPr>
      <w:rFonts w:ascii="黑体" w:hAnsi="黑体" w:eastAsia="黑体" w:cs="Times New Roman"/>
      <w:b/>
      <w:bCs/>
      <w:color w:val="262626" w:themeColor="text1" w:themeTint="D9"/>
      <w:sz w:val="28"/>
      <w:szCs w:val="28"/>
      <w:lang w:val="en-US" w:eastAsia="zh-CN" w:bidi="ar-SA"/>
      <w14:textFill>
        <w14:solidFill>
          <w14:schemeClr w14:val="tx1">
            <w14:lumMod w14:val="85000"/>
            <w14:lumOff w14:val="15000"/>
          </w14:schemeClr>
        </w14:solidFill>
      </w14:textFill>
    </w:rPr>
  </w:style>
  <w:style w:type="character" w:customStyle="1" w:styleId="214">
    <w:name w:val="Heading 6 Char"/>
    <w:link w:val="8"/>
    <w:semiHidden/>
    <w:qFormat/>
    <w:uiPriority w:val="9"/>
    <w:rPr>
      <w:rFonts w:ascii="黑体" w:hAnsi="黑体" w:eastAsia="黑体" w:cs="黑体"/>
      <w:b/>
      <w:bCs/>
      <w:color w:val="auto"/>
      <w:sz w:val="24"/>
      <w:szCs w:val="24"/>
      <w:lang w:val="en-US" w:eastAsia="zh-CN" w:bidi="ar-SA"/>
    </w:rPr>
  </w:style>
  <w:style w:type="character" w:customStyle="1" w:styleId="215">
    <w:name w:val="Heading 7 Char"/>
    <w:link w:val="9"/>
    <w:semiHidden/>
    <w:qFormat/>
    <w:uiPriority w:val="9"/>
    <w:rPr>
      <w:rFonts w:ascii="黑体" w:hAnsi="黑体" w:eastAsia="黑体" w:cs="Times New Roman"/>
      <w:b/>
      <w:bCs/>
      <w:color w:val="auto"/>
      <w:sz w:val="24"/>
      <w:szCs w:val="24"/>
      <w:lang w:val="en-US" w:eastAsia="zh-CN" w:bidi="ar-SA"/>
    </w:rPr>
  </w:style>
  <w:style w:type="character" w:customStyle="1" w:styleId="216">
    <w:name w:val="Heading 8 Char"/>
    <w:link w:val="10"/>
    <w:semiHidden/>
    <w:qFormat/>
    <w:uiPriority w:val="9"/>
    <w:rPr>
      <w:rFonts w:ascii="黑体" w:hAnsi="黑体" w:eastAsia="黑体" w:cs="Times New Roman"/>
      <w:color w:val="auto"/>
      <w:sz w:val="24"/>
      <w:szCs w:val="24"/>
      <w:lang w:val="en-US" w:eastAsia="zh-CN" w:bidi="ar-SA"/>
    </w:rPr>
  </w:style>
  <w:style w:type="character" w:customStyle="1" w:styleId="217">
    <w:name w:val="Heading 9 Char"/>
    <w:link w:val="11"/>
    <w:semiHidden/>
    <w:qFormat/>
    <w:uiPriority w:val="9"/>
    <w:rPr>
      <w:rFonts w:ascii="黑体" w:hAnsi="黑体" w:eastAsia="黑体" w:cs="Times New Roman"/>
      <w:color w:val="auto"/>
      <w:sz w:val="24"/>
      <w:szCs w:val="24"/>
      <w:lang w:val="en-US" w:eastAsia="zh-CN" w:bidi="ar-SA"/>
    </w:rPr>
  </w:style>
  <w:style w:type="paragraph" w:styleId="218">
    <w:name w:val="Intense Quote"/>
    <w:basedOn w:val="1"/>
    <w:next w:val="1"/>
    <w:link w:val="269"/>
    <w:qFormat/>
    <w:uiPriority w:val="99"/>
    <w:pPr>
      <w:pBdr>
        <w:top w:val="single" w:color="4F81BD" w:themeColor="accent1" w:sz="4" w:space="10"/>
        <w:bottom w:val="single" w:color="4F81BD" w:themeColor="accent1" w:sz="4" w:space="10"/>
      </w:pBdr>
      <w:spacing w:before="360" w:after="360"/>
      <w:ind w:left="864" w:right="864"/>
      <w:jc w:val="center"/>
    </w:pPr>
    <w:rPr>
      <w:i/>
      <w:iCs/>
      <w:color w:val="4F81BD" w:themeColor="accent1"/>
      <w14:textFill>
        <w14:solidFill>
          <w14:schemeClr w14:val="accent1"/>
        </w14:solidFill>
      </w14:textFill>
    </w:rPr>
  </w:style>
  <w:style w:type="character" w:customStyle="1" w:styleId="219">
    <w:name w:val="Intense Quote Char"/>
    <w:link w:val="218"/>
    <w:qFormat/>
    <w:uiPriority w:val="30"/>
    <w:rPr>
      <w:i/>
      <w:iCs/>
      <w:color w:val="4F81BD" w:themeColor="accent1"/>
      <w14:textFill>
        <w14:solidFill>
          <w14:schemeClr w14:val="accent1"/>
        </w14:solidFill>
      </w14:textFill>
    </w:rPr>
  </w:style>
  <w:style w:type="character" w:customStyle="1" w:styleId="220">
    <w:name w:val="Subtle Emphasis"/>
    <w:basedOn w:val="188"/>
    <w:qFormat/>
    <w:uiPriority w:val="19"/>
    <w:rPr>
      <w:i/>
      <w:iCs/>
      <w:color w:val="808080" w:themeColor="text1" w:themeTint="80"/>
      <w14:textFill>
        <w14:solidFill>
          <w14:schemeClr w14:val="tx1">
            <w14:lumMod w14:val="50000"/>
            <w14:lumOff w14:val="50000"/>
          </w14:schemeClr>
        </w14:solidFill>
      </w14:textFill>
    </w:rPr>
  </w:style>
  <w:style w:type="character" w:customStyle="1" w:styleId="221">
    <w:name w:val="Intense Emphasis"/>
    <w:basedOn w:val="188"/>
    <w:qFormat/>
    <w:uiPriority w:val="21"/>
    <w:rPr>
      <w:b/>
      <w:bCs/>
      <w:i/>
      <w:iCs/>
      <w:color w:val="4F81BD" w:themeColor="accent1"/>
      <w14:textFill>
        <w14:solidFill>
          <w14:schemeClr w14:val="accent1"/>
        </w14:solidFill>
      </w14:textFill>
    </w:rPr>
  </w:style>
  <w:style w:type="character" w:customStyle="1" w:styleId="222">
    <w:name w:val="Subtle Reference"/>
    <w:basedOn w:val="188"/>
    <w:qFormat/>
    <w:uiPriority w:val="31"/>
    <w:rPr>
      <w:smallCaps/>
      <w:color w:val="C0504D" w:themeColor="accent2"/>
      <w:u w:val="single"/>
      <w14:textFill>
        <w14:solidFill>
          <w14:schemeClr w14:val="accent2"/>
        </w14:solidFill>
      </w14:textFill>
    </w:rPr>
  </w:style>
  <w:style w:type="character" w:customStyle="1" w:styleId="223">
    <w:name w:val="Intense Reference"/>
    <w:basedOn w:val="188"/>
    <w:qFormat/>
    <w:uiPriority w:val="32"/>
    <w:rPr>
      <w:b/>
      <w:bCs/>
      <w:smallCaps/>
      <w:color w:val="C0504D" w:themeColor="accent2"/>
      <w:spacing w:val="5"/>
      <w:u w:val="single"/>
      <w14:textFill>
        <w14:solidFill>
          <w14:schemeClr w14:val="accent2"/>
        </w14:solidFill>
      </w14:textFill>
    </w:rPr>
  </w:style>
  <w:style w:type="character" w:customStyle="1" w:styleId="224">
    <w:name w:val="Book Title"/>
    <w:basedOn w:val="188"/>
    <w:qFormat/>
    <w:uiPriority w:val="33"/>
    <w:rPr>
      <w:b/>
      <w:bCs/>
      <w:smallCaps/>
      <w:spacing w:val="5"/>
    </w:rPr>
  </w:style>
  <w:style w:type="paragraph" w:customStyle="1" w:styleId="225">
    <w:name w:val="TOC Heading"/>
    <w:basedOn w:val="3"/>
    <w:next w:val="1"/>
    <w:semiHidden/>
    <w:unhideWhenUsed/>
    <w:qFormat/>
    <w:uiPriority w:val="39"/>
    <w:pPr>
      <w:widowControl w:val="0"/>
      <w:numPr>
        <w:numId w:val="0"/>
      </w:numPr>
      <w:tabs>
        <w:tab w:val="clear" w:pos="-420"/>
        <w:tab w:val="clear" w:pos="0"/>
      </w:tabs>
      <w:spacing w:before="340" w:beforeLines="0" w:after="330" w:line="578" w:lineRule="auto"/>
      <w:ind w:firstLine="440" w:firstLineChars="200"/>
      <w:jc w:val="both"/>
      <w:outlineLvl w:val="9"/>
    </w:pPr>
    <w:rPr>
      <w:rFonts w:ascii="汉仪正圆-45W" w:hAnsi="汉仪正圆-45W" w:eastAsia="汉仪正圆-45W"/>
      <w:sz w:val="44"/>
      <w:szCs w:val="44"/>
    </w:rPr>
  </w:style>
  <w:style w:type="paragraph" w:customStyle="1" w:styleId="226">
    <w:name w:val="目录标题"/>
    <w:link w:val="227"/>
    <w:qFormat/>
    <w:uiPriority w:val="0"/>
    <w:pPr>
      <w:bidi w:val="0"/>
      <w:adjustRightInd w:val="0"/>
      <w:snapToGrid w:val="0"/>
      <w:spacing w:line="360" w:lineRule="auto"/>
      <w:jc w:val="center"/>
    </w:pPr>
    <w:rPr>
      <w:rFonts w:ascii="宋体" w:hAnsi="宋体" w:eastAsia="宋体" w:cs="Times New Roman"/>
      <w:color w:val="262626" w:themeColor="text1" w:themeTint="D9"/>
      <w:sz w:val="24"/>
      <w:szCs w:val="24"/>
      <w:lang w:val="en-US" w:eastAsia="zh-CN" w:bidi="ar-SA"/>
      <w14:textFill>
        <w14:solidFill>
          <w14:schemeClr w14:val="tx1">
            <w14:lumMod w14:val="85000"/>
            <w14:lumOff w14:val="15000"/>
          </w14:schemeClr>
        </w14:solidFill>
      </w14:textFill>
    </w:rPr>
  </w:style>
  <w:style w:type="character" w:customStyle="1" w:styleId="227">
    <w:name w:val="目录标题 Char"/>
    <w:link w:val="226"/>
    <w:qFormat/>
    <w:uiPriority w:val="0"/>
    <w:rPr>
      <w:rFonts w:ascii="宋体" w:hAnsi="宋体" w:eastAsia="宋体" w:cs="Times New Roman"/>
      <w:color w:val="262626" w:themeColor="text1" w:themeTint="D9"/>
      <w:sz w:val="24"/>
      <w:szCs w:val="24"/>
      <w:lang w:val="en-US" w:eastAsia="zh-CN" w:bidi="ar-SA"/>
      <w14:textFill>
        <w14:solidFill>
          <w14:schemeClr w14:val="tx1">
            <w14:lumMod w14:val="85000"/>
            <w14:lumOff w14:val="15000"/>
          </w14:schemeClr>
        </w14:solidFill>
      </w14:textFill>
    </w:rPr>
  </w:style>
  <w:style w:type="paragraph" w:customStyle="1" w:styleId="228">
    <w:name w:val="题注1"/>
    <w:basedOn w:val="1"/>
    <w:qFormat/>
    <w:uiPriority w:val="0"/>
    <w:pPr>
      <w:spacing w:before="50" w:after="50"/>
      <w:ind w:firstLine="0" w:firstLineChars="0"/>
    </w:pPr>
    <w:rPr>
      <w:sz w:val="20"/>
      <w:szCs w:val="20"/>
    </w:rPr>
  </w:style>
  <w:style w:type="paragraph" w:customStyle="1" w:styleId="229">
    <w:name w:val="文档说明标题"/>
    <w:next w:val="1"/>
    <w:qFormat/>
    <w:uiPriority w:val="0"/>
    <w:pPr>
      <w:keepNext/>
      <w:keepLines/>
      <w:tabs>
        <w:tab w:val="left" w:pos="0"/>
      </w:tabs>
      <w:bidi w:val="0"/>
      <w:adjustRightInd w:val="0"/>
      <w:snapToGrid w:val="0"/>
      <w:spacing w:before="50" w:beforeLines="50" w:after="150" w:afterLines="150" w:line="240" w:lineRule="auto"/>
      <w:jc w:val="center"/>
      <w:outlineLvl w:val="0"/>
    </w:pPr>
    <w:rPr>
      <w:rFonts w:ascii="黑体" w:hAnsi="黑体" w:eastAsia="黑体" w:cs="Times New Roman"/>
      <w:b/>
      <w:bCs/>
      <w:color w:val="auto"/>
      <w:spacing w:val="11"/>
      <w:kern w:val="44"/>
      <w:sz w:val="36"/>
      <w:szCs w:val="36"/>
      <w:lang w:val="en-US" w:eastAsia="zh-CN" w:bidi="ar-SA"/>
    </w:rPr>
  </w:style>
  <w:style w:type="paragraph" w:customStyle="1" w:styleId="230">
    <w:name w:val="章标题"/>
    <w:next w:val="1"/>
    <w:qFormat/>
    <w:uiPriority w:val="0"/>
    <w:pPr>
      <w:keepNext/>
      <w:keepLines/>
      <w:tabs>
        <w:tab w:val="left" w:pos="0"/>
      </w:tabs>
      <w:bidi w:val="0"/>
      <w:adjustRightInd w:val="0"/>
      <w:snapToGrid w:val="0"/>
      <w:spacing w:before="50" w:beforeLines="50" w:after="150" w:afterLines="150" w:line="240" w:lineRule="auto"/>
      <w:jc w:val="center"/>
      <w:outlineLvl w:val="0"/>
    </w:pPr>
    <w:rPr>
      <w:rFonts w:ascii="黑体" w:hAnsi="黑体" w:eastAsia="黑体" w:cs="Times New Roman"/>
      <w:b/>
      <w:bCs/>
      <w:color w:val="262626" w:themeColor="text1" w:themeTint="D9"/>
      <w:spacing w:val="11"/>
      <w:kern w:val="44"/>
      <w:sz w:val="36"/>
      <w:szCs w:val="36"/>
      <w:lang w:val="en-US" w:eastAsia="zh-CN" w:bidi="ar-SA"/>
      <w14:textFill>
        <w14:solidFill>
          <w14:schemeClr w14:val="tx1">
            <w14:lumMod w14:val="85000"/>
            <w14:lumOff w14:val="15000"/>
          </w14:schemeClr>
        </w14:solidFill>
      </w14:textFill>
    </w:rPr>
  </w:style>
  <w:style w:type="paragraph" w:customStyle="1" w:styleId="231">
    <w:name w:val="节标题"/>
    <w:next w:val="1"/>
    <w:qFormat/>
    <w:uiPriority w:val="0"/>
    <w:pPr>
      <w:tabs>
        <w:tab w:val="left" w:pos="0"/>
      </w:tabs>
      <w:bidi w:val="0"/>
      <w:adjustRightInd w:val="0"/>
      <w:snapToGrid w:val="0"/>
      <w:spacing w:before="50" w:beforeLines="50" w:after="150" w:afterLines="150" w:line="240" w:lineRule="auto"/>
      <w:jc w:val="center"/>
    </w:pPr>
    <w:rPr>
      <w:rFonts w:ascii="黑体" w:hAnsi="黑体" w:eastAsia="黑体" w:cs="Times New Roman"/>
      <w:b/>
      <w:bCs/>
      <w:color w:val="262626" w:themeColor="text1" w:themeTint="D9"/>
      <w:spacing w:val="11"/>
      <w:sz w:val="32"/>
      <w:szCs w:val="32"/>
      <w:lang w:val="en-US" w:eastAsia="zh-CN" w:bidi="ar-SA"/>
      <w14:textFill>
        <w14:solidFill>
          <w14:schemeClr w14:val="tx1">
            <w14:lumMod w14:val="85000"/>
            <w14:lumOff w14:val="15000"/>
          </w14:schemeClr>
        </w14:solidFill>
      </w14:textFill>
    </w:rPr>
  </w:style>
  <w:style w:type="paragraph" w:customStyle="1" w:styleId="232">
    <w:name w:val="附录标题"/>
    <w:next w:val="34"/>
    <w:qFormat/>
    <w:uiPriority w:val="0"/>
    <w:pPr>
      <w:keepNext/>
      <w:keepLines/>
      <w:tabs>
        <w:tab w:val="left" w:pos="0"/>
      </w:tabs>
      <w:bidi w:val="0"/>
      <w:adjustRightInd w:val="0"/>
      <w:snapToGrid w:val="0"/>
      <w:spacing w:before="100" w:beforeLines="100" w:after="150" w:afterLines="150" w:line="240" w:lineRule="auto"/>
      <w:jc w:val="center"/>
      <w:outlineLvl w:val="0"/>
    </w:pPr>
    <w:rPr>
      <w:rFonts w:ascii="黑体" w:hAnsi="黑体" w:eastAsia="黑体" w:cs="Times New Roman"/>
      <w:b/>
      <w:bCs/>
      <w:color w:val="auto"/>
      <w:kern w:val="44"/>
      <w:sz w:val="36"/>
      <w:szCs w:val="36"/>
      <w:lang w:val="en-US" w:eastAsia="zh-CN" w:bidi="ar-SA"/>
    </w:rPr>
  </w:style>
  <w:style w:type="character" w:customStyle="1" w:styleId="233">
    <w:name w:val="摘要"/>
    <w:basedOn w:val="188"/>
    <w:qFormat/>
    <w:uiPriority w:val="0"/>
    <w:rPr>
      <w:rFonts w:ascii="宋体" w:hAnsi="宋体" w:eastAsia="宋体" w:cs="Times New Roman"/>
      <w:b/>
      <w:bCs/>
      <w:color w:val="262626" w:themeColor="text1" w:themeTint="D9"/>
      <w:kern w:val="2"/>
      <w:sz w:val="28"/>
      <w:szCs w:val="28"/>
      <w:lang w:val="en-US" w:eastAsia="zh-CN" w:bidi="ar-SA"/>
      <w14:textFill>
        <w14:solidFill>
          <w14:schemeClr w14:val="tx1">
            <w14:lumMod w14:val="85000"/>
            <w14:lumOff w14:val="15000"/>
          </w14:schemeClr>
        </w14:solidFill>
      </w14:textFill>
    </w:rPr>
  </w:style>
  <w:style w:type="character" w:customStyle="1" w:styleId="234">
    <w:name w:val="参考文献条目"/>
    <w:basedOn w:val="188"/>
    <w:qFormat/>
    <w:uiPriority w:val="0"/>
    <w:rPr>
      <w:rFonts w:ascii="宋体" w:hAnsi="宋体" w:eastAsia="宋体" w:cs="Times New Roman"/>
      <w:color w:val="262626" w:themeColor="text1" w:themeTint="D9"/>
      <w:kern w:val="2"/>
      <w:sz w:val="24"/>
      <w:szCs w:val="24"/>
      <w:lang w:val="en-US" w:eastAsia="zh-CN" w:bidi="ar-SA"/>
      <w14:textFill>
        <w14:solidFill>
          <w14:schemeClr w14:val="tx1">
            <w14:lumMod w14:val="85000"/>
            <w14:lumOff w14:val="15000"/>
          </w14:schemeClr>
        </w14:solidFill>
      </w14:textFill>
    </w:rPr>
  </w:style>
  <w:style w:type="character" w:customStyle="1" w:styleId="235">
    <w:name w:val="关键词"/>
    <w:basedOn w:val="188"/>
    <w:qFormat/>
    <w:uiPriority w:val="0"/>
    <w:rPr>
      <w:rFonts w:ascii="宋体" w:hAnsi="宋体" w:eastAsia="宋体" w:cs="Times New Roman"/>
      <w:b/>
      <w:bCs/>
      <w:color w:val="262626" w:themeColor="text1" w:themeTint="D9"/>
      <w:kern w:val="2"/>
      <w:sz w:val="24"/>
      <w:szCs w:val="24"/>
      <w:lang w:val="en-US" w:eastAsia="zh-CN" w:bidi="ar-SA"/>
      <w14:textFill>
        <w14:solidFill>
          <w14:schemeClr w14:val="tx1">
            <w14:lumMod w14:val="85000"/>
            <w14:lumOff w14:val="15000"/>
          </w14:schemeClr>
        </w14:solidFill>
      </w14:textFill>
    </w:rPr>
  </w:style>
  <w:style w:type="character" w:customStyle="1" w:styleId="236">
    <w:name w:val="着重标题"/>
    <w:basedOn w:val="188"/>
    <w:qFormat/>
    <w:uiPriority w:val="0"/>
    <w:rPr>
      <w:rFonts w:ascii="宋体" w:hAnsi="宋体" w:eastAsia="宋体" w:cs="宋体"/>
      <w:kern w:val="2"/>
      <w:sz w:val="28"/>
      <w:szCs w:val="28"/>
      <w:lang w:val="en-US" w:eastAsia="zh-CN" w:bidi="ar-SA"/>
    </w:rPr>
  </w:style>
  <w:style w:type="character" w:customStyle="1" w:styleId="237">
    <w:name w:val="称呼 字符"/>
    <w:basedOn w:val="188"/>
    <w:link w:val="30"/>
    <w:qFormat/>
    <w:uiPriority w:val="0"/>
    <w:rPr>
      <w:rFonts w:ascii="汉仪正圆-45W" w:hAnsi="汉仪正圆-45W" w:eastAsia="宋体" w:cstheme="minorBidi"/>
      <w:kern w:val="2"/>
      <w:sz w:val="22"/>
      <w:szCs w:val="22"/>
    </w:rPr>
  </w:style>
  <w:style w:type="character" w:customStyle="1" w:styleId="238">
    <w:name w:val="纯文本 字符"/>
    <w:basedOn w:val="188"/>
    <w:link w:val="45"/>
    <w:qFormat/>
    <w:uiPriority w:val="0"/>
    <w:rPr>
      <w:rFonts w:hAnsi="Courier New" w:cs="Courier New" w:asciiTheme="minorEastAsia" w:eastAsiaTheme="minorEastAsia"/>
      <w:kern w:val="2"/>
      <w:sz w:val="22"/>
      <w:szCs w:val="22"/>
    </w:rPr>
  </w:style>
  <w:style w:type="character" w:customStyle="1" w:styleId="239">
    <w:name w:val="电子邮件签名 字符"/>
    <w:basedOn w:val="188"/>
    <w:link w:val="19"/>
    <w:qFormat/>
    <w:uiPriority w:val="0"/>
    <w:rPr>
      <w:rFonts w:ascii="汉仪正圆-45W" w:hAnsi="汉仪正圆-45W" w:eastAsia="汉仪正圆-45W" w:cstheme="minorBidi"/>
      <w:kern w:val="2"/>
      <w:sz w:val="22"/>
      <w:szCs w:val="22"/>
    </w:rPr>
  </w:style>
  <w:style w:type="character" w:customStyle="1" w:styleId="240">
    <w:name w:val="宏文本 字符"/>
    <w:basedOn w:val="188"/>
    <w:link w:val="2"/>
    <w:qFormat/>
    <w:uiPriority w:val="0"/>
    <w:rPr>
      <w:rFonts w:ascii="Courier New" w:hAnsi="Courier New" w:eastAsia="宋体" w:cs="Courier New"/>
      <w:kern w:val="2"/>
      <w:sz w:val="24"/>
      <w:szCs w:val="24"/>
    </w:rPr>
  </w:style>
  <w:style w:type="character" w:customStyle="1" w:styleId="241">
    <w:name w:val="结束语 字符"/>
    <w:basedOn w:val="188"/>
    <w:link w:val="32"/>
    <w:qFormat/>
    <w:uiPriority w:val="0"/>
    <w:rPr>
      <w:rFonts w:ascii="汉仪正圆-45W" w:hAnsi="汉仪正圆-45W" w:eastAsia="汉仪正圆-45W" w:cstheme="minorBidi"/>
      <w:kern w:val="2"/>
      <w:sz w:val="22"/>
      <w:szCs w:val="22"/>
    </w:rPr>
  </w:style>
  <w:style w:type="character" w:customStyle="1" w:styleId="242">
    <w:name w:val="签名 字符"/>
    <w:basedOn w:val="188"/>
    <w:link w:val="58"/>
    <w:qFormat/>
    <w:uiPriority w:val="0"/>
    <w:rPr>
      <w:rFonts w:ascii="汉仪正圆-45W" w:hAnsi="汉仪正圆-45W" w:eastAsia="宋体" w:cstheme="minorBidi"/>
      <w:kern w:val="2"/>
      <w:sz w:val="22"/>
      <w:szCs w:val="22"/>
    </w:rPr>
  </w:style>
  <w:style w:type="character" w:customStyle="1" w:styleId="243">
    <w:name w:val="日期 字符"/>
    <w:basedOn w:val="188"/>
    <w:link w:val="50"/>
    <w:qFormat/>
    <w:uiPriority w:val="0"/>
    <w:rPr>
      <w:rFonts w:ascii="汉仪正圆-45W" w:hAnsi="汉仪正圆-45W" w:eastAsia="宋体" w:cstheme="minorBidi"/>
      <w:kern w:val="2"/>
      <w:sz w:val="22"/>
      <w:szCs w:val="22"/>
    </w:rPr>
  </w:style>
  <w:style w:type="character" w:customStyle="1" w:styleId="244">
    <w:name w:val="文档结构图 字符"/>
    <w:basedOn w:val="188"/>
    <w:link w:val="26"/>
    <w:qFormat/>
    <w:uiPriority w:val="0"/>
    <w:rPr>
      <w:rFonts w:ascii="Microsoft YaHei UI" w:hAnsi="汉仪正圆-45W" w:eastAsia="Microsoft YaHei UI" w:cstheme="minorBidi"/>
      <w:kern w:val="2"/>
      <w:sz w:val="18"/>
      <w:szCs w:val="18"/>
    </w:rPr>
  </w:style>
  <w:style w:type="character" w:customStyle="1" w:styleId="245">
    <w:name w:val="信息标题 字符"/>
    <w:basedOn w:val="188"/>
    <w:link w:val="79"/>
    <w:qFormat/>
    <w:uiPriority w:val="0"/>
    <w:rPr>
      <w:rFonts w:asciiTheme="majorHAnsi" w:hAnsiTheme="majorHAnsi" w:eastAsiaTheme="majorEastAsia" w:cstheme="majorBidi"/>
      <w:kern w:val="2"/>
      <w:sz w:val="24"/>
      <w:szCs w:val="24"/>
      <w:shd w:val="pct20" w:color="auto" w:fill="auto"/>
    </w:rPr>
  </w:style>
  <w:style w:type="character" w:customStyle="1" w:styleId="246">
    <w:name w:val="正文文本 2 字符"/>
    <w:basedOn w:val="188"/>
    <w:link w:val="76"/>
    <w:qFormat/>
    <w:uiPriority w:val="0"/>
    <w:rPr>
      <w:rFonts w:ascii="汉仪正圆-45W" w:hAnsi="汉仪正圆-45W" w:eastAsia="汉仪正圆-45W" w:cstheme="minorBidi"/>
      <w:kern w:val="2"/>
      <w:sz w:val="22"/>
      <w:szCs w:val="22"/>
    </w:rPr>
  </w:style>
  <w:style w:type="character" w:customStyle="1" w:styleId="247">
    <w:name w:val="正文文本 3 字符"/>
    <w:basedOn w:val="188"/>
    <w:link w:val="31"/>
    <w:qFormat/>
    <w:uiPriority w:val="0"/>
    <w:rPr>
      <w:rFonts w:ascii="汉仪正圆-45W" w:hAnsi="汉仪正圆-45W" w:eastAsia="汉仪正圆-45W" w:cstheme="minorBidi"/>
      <w:kern w:val="2"/>
      <w:sz w:val="16"/>
      <w:szCs w:val="16"/>
    </w:rPr>
  </w:style>
  <w:style w:type="character" w:customStyle="1" w:styleId="248">
    <w:name w:val="正文文本 字符"/>
    <w:link w:val="34"/>
    <w:qFormat/>
    <w:uiPriority w:val="0"/>
    <w:rPr>
      <w:rFonts w:ascii="宋体" w:hAnsi="宋体" w:eastAsia="宋体" w:cs="宋体"/>
      <w:kern w:val="2"/>
      <w:sz w:val="28"/>
      <w:szCs w:val="28"/>
      <w:lang w:val="en-US" w:eastAsia="zh-CN" w:bidi="ar-SA"/>
    </w:rPr>
  </w:style>
  <w:style w:type="character" w:customStyle="1" w:styleId="249">
    <w:name w:val="正文文本首行缩进 字符"/>
    <w:basedOn w:val="248"/>
    <w:link w:val="86"/>
    <w:qFormat/>
    <w:uiPriority w:val="0"/>
    <w:rPr>
      <w:rFonts w:ascii="汉仪正圆-45W" w:hAnsi="汉仪正圆-45W" w:eastAsia="汉仪正圆-45W" w:cstheme="minorBidi"/>
      <w:kern w:val="2"/>
      <w:sz w:val="22"/>
      <w:szCs w:val="22"/>
    </w:rPr>
  </w:style>
  <w:style w:type="character" w:customStyle="1" w:styleId="250">
    <w:name w:val="正文文本缩进 字符"/>
    <w:basedOn w:val="188"/>
    <w:link w:val="35"/>
    <w:qFormat/>
    <w:uiPriority w:val="0"/>
    <w:rPr>
      <w:rFonts w:ascii="汉仪正圆-45W" w:hAnsi="汉仪正圆-45W" w:eastAsia="汉仪正圆-45W" w:cstheme="minorBidi"/>
      <w:kern w:val="2"/>
      <w:sz w:val="22"/>
      <w:szCs w:val="22"/>
    </w:rPr>
  </w:style>
  <w:style w:type="character" w:customStyle="1" w:styleId="251">
    <w:name w:val="正文文本首行缩进 2 字符"/>
    <w:basedOn w:val="250"/>
    <w:link w:val="87"/>
    <w:qFormat/>
    <w:uiPriority w:val="0"/>
    <w:rPr>
      <w:rFonts w:ascii="汉仪正圆-45W" w:hAnsi="汉仪正圆-45W" w:eastAsia="汉仪正圆-45W" w:cstheme="minorBidi"/>
      <w:kern w:val="2"/>
      <w:sz w:val="22"/>
      <w:szCs w:val="22"/>
    </w:rPr>
  </w:style>
  <w:style w:type="character" w:customStyle="1" w:styleId="252">
    <w:name w:val="正文文本缩进 2 字符"/>
    <w:basedOn w:val="188"/>
    <w:link w:val="51"/>
    <w:qFormat/>
    <w:uiPriority w:val="0"/>
    <w:rPr>
      <w:rFonts w:ascii="汉仪正圆-45W" w:hAnsi="汉仪正圆-45W" w:eastAsia="汉仪正圆-45W" w:cstheme="minorBidi"/>
      <w:kern w:val="2"/>
      <w:sz w:val="22"/>
      <w:szCs w:val="22"/>
    </w:rPr>
  </w:style>
  <w:style w:type="character" w:customStyle="1" w:styleId="253">
    <w:name w:val="正文文本缩进 3 字符"/>
    <w:basedOn w:val="188"/>
    <w:link w:val="70"/>
    <w:qFormat/>
    <w:uiPriority w:val="0"/>
    <w:rPr>
      <w:rFonts w:ascii="汉仪正圆-45W" w:hAnsi="汉仪正圆-45W" w:eastAsia="汉仪正圆-45W" w:cstheme="minorBidi"/>
      <w:kern w:val="2"/>
      <w:sz w:val="16"/>
      <w:szCs w:val="16"/>
    </w:rPr>
  </w:style>
  <w:style w:type="character" w:customStyle="1" w:styleId="254">
    <w:name w:val="注释标题 字符"/>
    <w:basedOn w:val="188"/>
    <w:link w:val="16"/>
    <w:qFormat/>
    <w:uiPriority w:val="0"/>
    <w:rPr>
      <w:rFonts w:ascii="汉仪正圆-45W" w:hAnsi="汉仪正圆-45W" w:eastAsia="汉仪正圆-45W" w:cstheme="minorBidi"/>
      <w:kern w:val="2"/>
      <w:sz w:val="22"/>
      <w:szCs w:val="22"/>
    </w:rPr>
  </w:style>
  <w:style w:type="character" w:customStyle="1" w:styleId="255">
    <w:name w:val="TOC 9 字符"/>
    <w:link w:val="75"/>
    <w:qFormat/>
    <w:uiPriority w:val="0"/>
  </w:style>
  <w:style w:type="paragraph" w:customStyle="1" w:styleId="256">
    <w:name w:val="主送对象"/>
    <w:next w:val="34"/>
    <w:qFormat/>
    <w:uiPriority w:val="0"/>
    <w:pPr>
      <w:adjustRightInd w:val="0"/>
      <w:snapToGrid w:val="0"/>
      <w:spacing w:line="360" w:lineRule="auto"/>
    </w:pPr>
    <w:rPr>
      <w:rFonts w:hint="eastAsia" w:ascii="宋体" w:hAnsi="宋体" w:eastAsia="宋体" w:cs="Times New Roman"/>
      <w:color w:val="262626" w:themeColor="text1" w:themeTint="D9"/>
      <w:sz w:val="24"/>
      <w:szCs w:val="24"/>
      <w:lang w:val="en-US" w:eastAsia="zh-CN" w:bidi="ar-SA"/>
      <w14:textFill>
        <w14:solidFill>
          <w14:schemeClr w14:val="tx1">
            <w14:lumMod w14:val="85000"/>
            <w14:lumOff w14:val="15000"/>
          </w14:schemeClr>
        </w14:solidFill>
      </w14:textFill>
    </w:rPr>
  </w:style>
  <w:style w:type="paragraph" w:customStyle="1" w:styleId="257">
    <w:name w:val="致谢标题"/>
    <w:qFormat/>
    <w:uiPriority w:val="0"/>
    <w:pPr>
      <w:adjustRightInd w:val="0"/>
      <w:snapToGrid w:val="0"/>
      <w:spacing w:before="50" w:beforeLines="50" w:after="100" w:afterLines="100"/>
      <w:jc w:val="center"/>
      <w:outlineLvl w:val="0"/>
    </w:pPr>
    <w:rPr>
      <w:rFonts w:ascii="黑体" w:hAnsi="黑体" w:eastAsia="黑体" w:cstheme="minorBidi"/>
      <w:b/>
      <w:bCs/>
      <w:kern w:val="0"/>
      <w:sz w:val="36"/>
      <w:szCs w:val="36"/>
    </w:rPr>
  </w:style>
  <w:style w:type="paragraph" w:customStyle="1" w:styleId="258">
    <w:name w:val="参考文献标题"/>
    <w:qFormat/>
    <w:uiPriority w:val="0"/>
    <w:pPr>
      <w:tabs>
        <w:tab w:val="left" w:pos="0"/>
      </w:tabs>
      <w:adjustRightInd w:val="0"/>
      <w:snapToGrid w:val="0"/>
      <w:spacing w:before="50" w:beforeLines="50" w:after="100" w:afterLines="100"/>
      <w:jc w:val="center"/>
      <w:outlineLvl w:val="0"/>
    </w:pPr>
    <w:rPr>
      <w:rFonts w:hint="eastAsia" w:ascii="黑体" w:hAnsi="黑体" w:eastAsia="黑体" w:cstheme="minorBidi"/>
      <w:b/>
      <w:bCs/>
      <w:sz w:val="36"/>
      <w:szCs w:val="36"/>
    </w:rPr>
  </w:style>
  <w:style w:type="paragraph" w:customStyle="1" w:styleId="259">
    <w:name w:val="声明标题"/>
    <w:qFormat/>
    <w:uiPriority w:val="0"/>
    <w:pPr>
      <w:tabs>
        <w:tab w:val="left" w:pos="0"/>
      </w:tabs>
      <w:adjustRightInd w:val="0"/>
      <w:snapToGrid w:val="0"/>
      <w:spacing w:before="50" w:beforeLines="50" w:after="100" w:afterLines="100"/>
      <w:jc w:val="center"/>
      <w:outlineLvl w:val="0"/>
    </w:pPr>
    <w:rPr>
      <w:rFonts w:hint="eastAsia" w:ascii="黑体" w:hAnsi="黑体" w:eastAsia="黑体" w:cstheme="minorBidi"/>
      <w:b/>
      <w:bCs/>
      <w:sz w:val="36"/>
      <w:szCs w:val="36"/>
    </w:rPr>
  </w:style>
  <w:style w:type="character" w:customStyle="1" w:styleId="260">
    <w:name w:val="标题 4 字符"/>
    <w:link w:val="6"/>
    <w:qFormat/>
    <w:uiPriority w:val="9"/>
    <w:rPr>
      <w:rFonts w:ascii="黑体" w:hAnsi="黑体" w:eastAsia="黑体" w:cs="Times New Roman"/>
      <w:b/>
      <w:bCs/>
      <w:color w:val="auto"/>
      <w:sz w:val="28"/>
      <w:szCs w:val="28"/>
      <w:lang w:val="en-US" w:eastAsia="zh-CN" w:bidi="ar-SA"/>
    </w:rPr>
  </w:style>
  <w:style w:type="character" w:customStyle="1" w:styleId="261">
    <w:name w:val="副标题 字符"/>
    <w:link w:val="64"/>
    <w:qFormat/>
    <w:uiPriority w:val="0"/>
    <w:rPr>
      <w:rFonts w:ascii="Times New Roman" w:hAnsi="Times New Roman" w:eastAsia="黑体" w:cs="Times New Roman"/>
      <w:color w:val="auto"/>
      <w:spacing w:val="11"/>
      <w:kern w:val="28"/>
      <w:sz w:val="36"/>
      <w:szCs w:val="36"/>
      <w:lang w:val="en-US" w:eastAsia="zh-CN" w:bidi="ar-SA"/>
    </w:rPr>
  </w:style>
  <w:style w:type="character" w:customStyle="1" w:styleId="262">
    <w:name w:val="标题 字符"/>
    <w:link w:val="84"/>
    <w:qFormat/>
    <w:uiPriority w:val="0"/>
    <w:rPr>
      <w:rFonts w:ascii="Times New Roman" w:hAnsi="Times New Roman" w:eastAsia="黑体" w:cs="Times New Roman"/>
      <w:b/>
      <w:bCs/>
      <w:color w:val="auto"/>
      <w:spacing w:val="11"/>
      <w:sz w:val="44"/>
      <w:szCs w:val="44"/>
      <w:lang w:val="en-US" w:eastAsia="zh-CN" w:bidi="ar-SA"/>
    </w:rPr>
  </w:style>
  <w:style w:type="paragraph" w:customStyle="1" w:styleId="263">
    <w:name w:val="表格标题"/>
    <w:next w:val="1"/>
    <w:qFormat/>
    <w:uiPriority w:val="0"/>
    <w:pPr>
      <w:overflowPunct w:val="0"/>
      <w:topLinePunct/>
      <w:jc w:val="center"/>
    </w:pPr>
    <w:rPr>
      <w:rFonts w:hint="eastAsia" w:ascii="仿宋" w:hAnsi="仿宋" w:eastAsia="仿宋" w:cs="Times New Roman"/>
      <w:color w:val="262626" w:themeColor="text1" w:themeTint="D9"/>
      <w:spacing w:val="-6"/>
      <w:sz w:val="32"/>
      <w:szCs w:val="32"/>
      <w:lang w:val="en-US" w:eastAsia="zh-CN" w:bidi="ar-SA"/>
      <w14:textFill>
        <w14:solidFill>
          <w14:schemeClr w14:val="tx1">
            <w14:lumMod w14:val="85000"/>
            <w14:lumOff w14:val="15000"/>
          </w14:schemeClr>
        </w14:solidFill>
      </w14:textFill>
    </w:rPr>
  </w:style>
  <w:style w:type="character" w:customStyle="1" w:styleId="264">
    <w:name w:val="列表编号 字符"/>
    <w:link w:val="20"/>
    <w:qFormat/>
    <w:uiPriority w:val="0"/>
  </w:style>
  <w:style w:type="character" w:customStyle="1" w:styleId="265">
    <w:name w:val="列表项目符号 字符"/>
    <w:link w:val="24"/>
    <w:qFormat/>
    <w:uiPriority w:val="0"/>
  </w:style>
  <w:style w:type="character" w:customStyle="1" w:styleId="266">
    <w:name w:val="列表项目符号 2 字符"/>
    <w:link w:val="40"/>
    <w:qFormat/>
    <w:uiPriority w:val="0"/>
  </w:style>
  <w:style w:type="character" w:customStyle="1" w:styleId="267">
    <w:name w:val="HTML 地址 字符"/>
    <w:basedOn w:val="188"/>
    <w:link w:val="41"/>
    <w:qFormat/>
    <w:uiPriority w:val="0"/>
    <w:rPr>
      <w:i/>
      <w:iCs/>
    </w:rPr>
  </w:style>
  <w:style w:type="character" w:customStyle="1" w:styleId="268">
    <w:name w:val="HTML 预设格式 字符"/>
    <w:basedOn w:val="188"/>
    <w:link w:val="80"/>
    <w:qFormat/>
    <w:uiPriority w:val="0"/>
    <w:rPr>
      <w:rFonts w:ascii="Courier New" w:hAnsi="Courier New" w:cs="Courier New"/>
      <w:sz w:val="20"/>
      <w:szCs w:val="20"/>
    </w:rPr>
  </w:style>
  <w:style w:type="character" w:customStyle="1" w:styleId="269">
    <w:name w:val="明显引用 字符"/>
    <w:basedOn w:val="188"/>
    <w:link w:val="218"/>
    <w:qFormat/>
    <w:uiPriority w:val="99"/>
    <w:rPr>
      <w:i/>
      <w:iCs/>
      <w:color w:val="4F81BD" w:themeColor="accent1"/>
      <w14:textFill>
        <w14:solidFill>
          <w14:schemeClr w14:val="accent1"/>
        </w14:solidFill>
      </w14:textFill>
    </w:rPr>
  </w:style>
  <w:style w:type="paragraph" w:customStyle="1" w:styleId="270">
    <w:name w:val="Bibliography"/>
    <w:basedOn w:val="1"/>
    <w:next w:val="1"/>
    <w:semiHidden/>
    <w:unhideWhenUsed/>
    <w:qFormat/>
    <w:uiPriority w:val="37"/>
  </w:style>
  <w:style w:type="character" w:customStyle="1" w:styleId="271">
    <w:name w:val="引用 字符"/>
    <w:basedOn w:val="188"/>
    <w:link w:val="210"/>
    <w:qFormat/>
    <w:uiPriority w:val="99"/>
    <w:rPr>
      <w:i/>
      <w:iCs/>
      <w:color w:val="404040" w:themeColor="text1" w:themeTint="BF"/>
      <w14:textFill>
        <w14:solidFill>
          <w14:schemeClr w14:val="tx1">
            <w14:lumMod w14:val="75000"/>
            <w14:lumOff w14:val="25000"/>
          </w14:schemeClr>
        </w14:solidFill>
      </w14:textFill>
    </w:rPr>
  </w:style>
  <w:style w:type="character" w:customStyle="1" w:styleId="272">
    <w:name w:val="批注框文本 Char"/>
    <w:link w:val="54"/>
    <w:qFormat/>
    <w:uiPriority w:val="0"/>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8606</Words>
  <Characters>9771</Characters>
  <Lines>0</Lines>
  <Paragraphs>0</Paragraphs>
  <TotalTime>1</TotalTime>
  <ScaleCrop>false</ScaleCrop>
  <LinksUpToDate>false</LinksUpToDate>
  <CharactersWithSpaces>10192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Jelloun</cp:lastModifiedBy>
  <dcterms:modified xsi:type="dcterms:W3CDTF">2026-10-12T08:33:38Z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7DEA3061D7FC4023BBBE202EEE735B50_13</vt:lpwstr>
  </property>
  <property fmtid="{D5CDD505-2E9C-101B-9397-08002B2CF9AE}" pid="4" name="KSOTemplateDocerSaveRecord">
    <vt:lpwstr>eyJoZGlkIjoiODE2MGE1OTkyNzllNWFjMWQ4YWRlYzk2OWZkNTQ2OTEiLCJ1c2VySWQiOiIyNDM2MDA0NTEifQ==</vt:lpwstr>
  </property>
</Properties>
</file>